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9AA" w:rsidRPr="006A2E2C" w:rsidRDefault="00F729AA">
      <w:pPr>
        <w:ind w:firstLineChars="0" w:firstLine="0"/>
        <w:jc w:val="center"/>
        <w:rPr>
          <w:b/>
          <w:bCs/>
          <w:sz w:val="32"/>
          <w:szCs w:val="32"/>
        </w:rPr>
      </w:pPr>
      <w:bookmarkStart w:id="0" w:name="_Toc249760023"/>
      <w:bookmarkStart w:id="1" w:name="_GoBack"/>
      <w:r w:rsidRPr="006A2E2C">
        <w:rPr>
          <w:b/>
          <w:bCs/>
          <w:sz w:val="32"/>
          <w:szCs w:val="32"/>
        </w:rPr>
        <w:t>民生加银岁岁增利定期开放债券型证券投资基金</w:t>
      </w:r>
    </w:p>
    <w:p w:rsidR="00F729AA" w:rsidRPr="006A2E2C" w:rsidRDefault="00F729AA">
      <w:pPr>
        <w:ind w:firstLineChars="0" w:firstLine="0"/>
        <w:jc w:val="center"/>
        <w:rPr>
          <w:b/>
          <w:bCs/>
          <w:sz w:val="32"/>
          <w:szCs w:val="32"/>
        </w:rPr>
      </w:pPr>
      <w:r w:rsidRPr="006A2E2C">
        <w:rPr>
          <w:b/>
          <w:bCs/>
          <w:sz w:val="32"/>
          <w:szCs w:val="32"/>
        </w:rPr>
        <w:t>开放申购、赎回和转换业务的公告</w:t>
      </w:r>
    </w:p>
    <w:p w:rsidR="00F729AA" w:rsidRPr="006A2E2C" w:rsidRDefault="00F729AA">
      <w:pPr>
        <w:ind w:firstLineChars="0" w:firstLine="0"/>
        <w:jc w:val="center"/>
        <w:rPr>
          <w:bCs/>
          <w:sz w:val="24"/>
        </w:rPr>
      </w:pPr>
      <w:r w:rsidRPr="006A2E2C">
        <w:rPr>
          <w:bCs/>
          <w:sz w:val="24"/>
        </w:rPr>
        <w:t>公告送出日期：</w:t>
      </w:r>
      <w:r w:rsidR="00F80BF0" w:rsidRPr="006A2E2C">
        <w:rPr>
          <w:bCs/>
          <w:sz w:val="24"/>
        </w:rPr>
        <w:t>2025</w:t>
      </w:r>
      <w:r w:rsidR="00A958A3" w:rsidRPr="006A2E2C">
        <w:rPr>
          <w:bCs/>
          <w:sz w:val="24"/>
        </w:rPr>
        <w:t>年</w:t>
      </w:r>
      <w:r w:rsidR="00A958A3" w:rsidRPr="006A2E2C">
        <w:rPr>
          <w:bCs/>
          <w:sz w:val="24"/>
        </w:rPr>
        <w:t>11</w:t>
      </w:r>
      <w:r w:rsidR="00A958A3" w:rsidRPr="006A2E2C">
        <w:rPr>
          <w:bCs/>
          <w:sz w:val="24"/>
        </w:rPr>
        <w:t>月</w:t>
      </w:r>
      <w:r w:rsidR="00F80BF0" w:rsidRPr="006A2E2C">
        <w:rPr>
          <w:bCs/>
          <w:sz w:val="24"/>
        </w:rPr>
        <w:t>27</w:t>
      </w:r>
      <w:r w:rsidR="00A958A3" w:rsidRPr="006A2E2C">
        <w:rPr>
          <w:bCs/>
          <w:sz w:val="24"/>
        </w:rPr>
        <w:t>日</w:t>
      </w:r>
    </w:p>
    <w:p w:rsidR="00F729AA" w:rsidRPr="006A2E2C" w:rsidRDefault="00F729AA">
      <w:pPr>
        <w:pStyle w:val="af6"/>
        <w:spacing w:line="360" w:lineRule="auto"/>
        <w:jc w:val="left"/>
        <w:outlineLvl w:val="2"/>
        <w:rPr>
          <w:rFonts w:ascii="Times New Roman" w:hAnsi="Times New Roman"/>
          <w:kern w:val="0"/>
          <w:sz w:val="24"/>
          <w:szCs w:val="24"/>
        </w:rPr>
      </w:pPr>
      <w:r w:rsidRPr="006A2E2C">
        <w:rPr>
          <w:rFonts w:ascii="Times New Roman" w:hAnsi="Times New Roman"/>
          <w:kern w:val="0"/>
          <w:sz w:val="24"/>
          <w:szCs w:val="24"/>
        </w:rPr>
        <w:t xml:space="preserve">1 </w:t>
      </w:r>
      <w:r w:rsidRPr="006A2E2C">
        <w:rPr>
          <w:rFonts w:ascii="Times New Roman" w:hAnsi="Times New Roman"/>
          <w:kern w:val="0"/>
          <w:sz w:val="24"/>
          <w:szCs w:val="24"/>
        </w:rPr>
        <w:t>公告基本信息</w:t>
      </w:r>
    </w:p>
    <w:tbl>
      <w:tblPr>
        <w:tblW w:w="8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3"/>
        <w:gridCol w:w="1738"/>
        <w:gridCol w:w="1701"/>
        <w:gridCol w:w="1876"/>
      </w:tblGrid>
      <w:tr w:rsidR="006A2E2C" w:rsidRPr="006A2E2C" w:rsidTr="00B71F75">
        <w:trPr>
          <w:trHeight w:val="285"/>
          <w:jc w:val="center"/>
        </w:trPr>
        <w:tc>
          <w:tcPr>
            <w:tcW w:w="2883" w:type="dxa"/>
            <w:noWrap/>
            <w:vAlign w:val="center"/>
          </w:tcPr>
          <w:p w:rsidR="00F729AA" w:rsidRPr="006A2E2C" w:rsidRDefault="00F729AA">
            <w:pPr>
              <w:ind w:firstLineChars="0" w:firstLine="0"/>
              <w:rPr>
                <w:sz w:val="24"/>
              </w:rPr>
            </w:pPr>
            <w:r w:rsidRPr="006A2E2C">
              <w:rPr>
                <w:sz w:val="24"/>
              </w:rPr>
              <w:t>基金名称</w:t>
            </w:r>
          </w:p>
        </w:tc>
        <w:tc>
          <w:tcPr>
            <w:tcW w:w="5315" w:type="dxa"/>
            <w:gridSpan w:val="3"/>
            <w:noWrap/>
            <w:vAlign w:val="center"/>
          </w:tcPr>
          <w:p w:rsidR="00F729AA" w:rsidRPr="006A2E2C" w:rsidRDefault="00F729AA">
            <w:pPr>
              <w:ind w:firstLineChars="0" w:firstLine="0"/>
              <w:rPr>
                <w:sz w:val="24"/>
              </w:rPr>
            </w:pPr>
            <w:r w:rsidRPr="006A2E2C">
              <w:rPr>
                <w:sz w:val="24"/>
              </w:rPr>
              <w:t>民生加银岁岁增利定期开放债券型证券投资基金</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基金简称</w:t>
            </w:r>
          </w:p>
        </w:tc>
        <w:tc>
          <w:tcPr>
            <w:tcW w:w="5315" w:type="dxa"/>
            <w:gridSpan w:val="3"/>
            <w:noWrap/>
            <w:vAlign w:val="center"/>
          </w:tcPr>
          <w:p w:rsidR="00F729AA" w:rsidRPr="006A2E2C" w:rsidRDefault="00F729AA">
            <w:pPr>
              <w:ind w:firstLineChars="0" w:firstLine="0"/>
              <w:rPr>
                <w:sz w:val="24"/>
              </w:rPr>
            </w:pPr>
            <w:r w:rsidRPr="006A2E2C">
              <w:rPr>
                <w:sz w:val="24"/>
              </w:rPr>
              <w:t>民生加银岁岁增利债券</w:t>
            </w:r>
          </w:p>
        </w:tc>
      </w:tr>
      <w:tr w:rsidR="006A2E2C" w:rsidRPr="006A2E2C" w:rsidTr="00B71F75">
        <w:trPr>
          <w:trHeight w:val="270"/>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基金主代码</w:t>
            </w:r>
          </w:p>
        </w:tc>
        <w:tc>
          <w:tcPr>
            <w:tcW w:w="5315" w:type="dxa"/>
            <w:gridSpan w:val="3"/>
            <w:noWrap/>
            <w:vAlign w:val="center"/>
          </w:tcPr>
          <w:p w:rsidR="00F729AA" w:rsidRPr="006A2E2C" w:rsidRDefault="00F729AA">
            <w:pPr>
              <w:ind w:firstLineChars="0" w:firstLine="0"/>
              <w:rPr>
                <w:sz w:val="24"/>
              </w:rPr>
            </w:pPr>
            <w:r w:rsidRPr="006A2E2C">
              <w:rPr>
                <w:sz w:val="24"/>
              </w:rPr>
              <w:t>000137</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基金运作方式</w:t>
            </w:r>
          </w:p>
        </w:tc>
        <w:tc>
          <w:tcPr>
            <w:tcW w:w="5315" w:type="dxa"/>
            <w:gridSpan w:val="3"/>
            <w:noWrap/>
            <w:vAlign w:val="center"/>
          </w:tcPr>
          <w:p w:rsidR="00F729AA" w:rsidRPr="006A2E2C" w:rsidRDefault="00F729AA" w:rsidP="00803935">
            <w:pPr>
              <w:spacing w:line="276" w:lineRule="auto"/>
              <w:ind w:firstLineChars="0" w:firstLine="0"/>
              <w:rPr>
                <w:sz w:val="24"/>
              </w:rPr>
            </w:pPr>
            <w:r w:rsidRPr="006A2E2C">
              <w:rPr>
                <w:sz w:val="24"/>
              </w:rPr>
              <w:t>契约型开放式</w:t>
            </w:r>
          </w:p>
          <w:p w:rsidR="007E7F48" w:rsidRPr="006A2E2C" w:rsidRDefault="007E7F48" w:rsidP="00803935">
            <w:pPr>
              <w:spacing w:line="276" w:lineRule="auto"/>
              <w:ind w:firstLineChars="0" w:firstLine="0"/>
              <w:rPr>
                <w:sz w:val="24"/>
              </w:rPr>
            </w:pPr>
            <w:r w:rsidRPr="006A2E2C">
              <w:rPr>
                <w:sz w:val="24"/>
              </w:rPr>
              <w:t>本基金自基金合同生效日起每封闭一年集中开放申购与赎回一次</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基金合同生效日</w:t>
            </w:r>
          </w:p>
        </w:tc>
        <w:tc>
          <w:tcPr>
            <w:tcW w:w="5315" w:type="dxa"/>
            <w:gridSpan w:val="3"/>
            <w:noWrap/>
            <w:vAlign w:val="center"/>
          </w:tcPr>
          <w:p w:rsidR="00F729AA" w:rsidRPr="006A2E2C" w:rsidRDefault="00F729AA">
            <w:pPr>
              <w:ind w:firstLineChars="0" w:firstLine="0"/>
              <w:rPr>
                <w:sz w:val="24"/>
              </w:rPr>
            </w:pPr>
            <w:r w:rsidRPr="006A2E2C">
              <w:rPr>
                <w:sz w:val="24"/>
              </w:rPr>
              <w:t>2013</w:t>
            </w:r>
            <w:r w:rsidRPr="006A2E2C">
              <w:rPr>
                <w:sz w:val="24"/>
              </w:rPr>
              <w:t>年</w:t>
            </w:r>
            <w:r w:rsidRPr="006A2E2C">
              <w:rPr>
                <w:sz w:val="24"/>
              </w:rPr>
              <w:t>8</w:t>
            </w:r>
            <w:r w:rsidRPr="006A2E2C">
              <w:rPr>
                <w:sz w:val="24"/>
              </w:rPr>
              <w:t>月</w:t>
            </w:r>
            <w:r w:rsidRPr="006A2E2C">
              <w:rPr>
                <w:sz w:val="24"/>
              </w:rPr>
              <w:t>1</w:t>
            </w:r>
            <w:r w:rsidRPr="006A2E2C">
              <w:rPr>
                <w:sz w:val="24"/>
              </w:rPr>
              <w:t>日</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基金管理人名称</w:t>
            </w:r>
          </w:p>
        </w:tc>
        <w:tc>
          <w:tcPr>
            <w:tcW w:w="5315" w:type="dxa"/>
            <w:gridSpan w:val="3"/>
            <w:noWrap/>
            <w:vAlign w:val="center"/>
          </w:tcPr>
          <w:p w:rsidR="00F729AA" w:rsidRPr="006A2E2C" w:rsidRDefault="00F729AA">
            <w:pPr>
              <w:ind w:firstLineChars="0" w:firstLine="0"/>
              <w:rPr>
                <w:sz w:val="24"/>
              </w:rPr>
            </w:pPr>
            <w:r w:rsidRPr="006A2E2C">
              <w:rPr>
                <w:sz w:val="24"/>
              </w:rPr>
              <w:t>民生加银基金管理有限公司</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基金托管人名称</w:t>
            </w:r>
          </w:p>
        </w:tc>
        <w:tc>
          <w:tcPr>
            <w:tcW w:w="5315" w:type="dxa"/>
            <w:gridSpan w:val="3"/>
            <w:noWrap/>
            <w:vAlign w:val="center"/>
          </w:tcPr>
          <w:p w:rsidR="00F729AA" w:rsidRPr="006A2E2C" w:rsidRDefault="00F729AA">
            <w:pPr>
              <w:ind w:firstLineChars="0" w:firstLine="0"/>
              <w:rPr>
                <w:sz w:val="24"/>
              </w:rPr>
            </w:pPr>
            <w:r w:rsidRPr="006A2E2C">
              <w:rPr>
                <w:sz w:val="24"/>
              </w:rPr>
              <w:t>中国建设银行股份有限公司</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基金注册登记机构名称</w:t>
            </w:r>
          </w:p>
        </w:tc>
        <w:tc>
          <w:tcPr>
            <w:tcW w:w="5315" w:type="dxa"/>
            <w:gridSpan w:val="3"/>
            <w:noWrap/>
            <w:vAlign w:val="center"/>
          </w:tcPr>
          <w:p w:rsidR="00F729AA" w:rsidRPr="006A2E2C" w:rsidRDefault="00F729AA">
            <w:pPr>
              <w:ind w:firstLineChars="0" w:firstLine="0"/>
              <w:rPr>
                <w:sz w:val="24"/>
              </w:rPr>
            </w:pPr>
            <w:r w:rsidRPr="006A2E2C">
              <w:rPr>
                <w:sz w:val="24"/>
              </w:rPr>
              <w:t>民生加银基金管理有限公司</w:t>
            </w:r>
          </w:p>
        </w:tc>
      </w:tr>
      <w:tr w:rsidR="006A2E2C" w:rsidRPr="006A2E2C" w:rsidTr="00B71F75">
        <w:trPr>
          <w:trHeight w:val="1260"/>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公告依据</w:t>
            </w:r>
          </w:p>
        </w:tc>
        <w:tc>
          <w:tcPr>
            <w:tcW w:w="5315" w:type="dxa"/>
            <w:gridSpan w:val="3"/>
            <w:noWrap/>
            <w:vAlign w:val="center"/>
          </w:tcPr>
          <w:p w:rsidR="00F729AA" w:rsidRPr="006A2E2C" w:rsidRDefault="008B56C5" w:rsidP="00803935">
            <w:pPr>
              <w:spacing w:line="276" w:lineRule="auto"/>
              <w:ind w:firstLineChars="0" w:firstLine="0"/>
              <w:rPr>
                <w:sz w:val="24"/>
              </w:rPr>
            </w:pPr>
            <w:r w:rsidRPr="006A2E2C">
              <w:rPr>
                <w:sz w:val="24"/>
              </w:rPr>
              <w:t>《中华人民共和国证券投资基金法》、《公开募集证券投资基金运作管理办法》、</w:t>
            </w:r>
            <w:r w:rsidRPr="006A2E2C">
              <w:rPr>
                <w:bCs/>
                <w:sz w:val="24"/>
              </w:rPr>
              <w:t>《公开募集证券投资基金信息披露管理办法》（以下简称《信息披露办法》）及其不时修订</w:t>
            </w:r>
            <w:r w:rsidRPr="006A2E2C">
              <w:rPr>
                <w:sz w:val="24"/>
              </w:rPr>
              <w:t>等法律法规以及</w:t>
            </w:r>
            <w:r w:rsidR="00F729AA" w:rsidRPr="006A2E2C">
              <w:rPr>
                <w:sz w:val="24"/>
              </w:rPr>
              <w:t>《民生加银岁岁增利定期开放债券型证券投资基金基金合同》</w:t>
            </w:r>
            <w:r w:rsidRPr="006A2E2C">
              <w:rPr>
                <w:sz w:val="24"/>
              </w:rPr>
              <w:t>（以下简称《基金合同》）</w:t>
            </w:r>
            <w:r w:rsidR="00F729AA" w:rsidRPr="006A2E2C">
              <w:rPr>
                <w:sz w:val="24"/>
              </w:rPr>
              <w:t>、《民生加银岁岁增利定期开放债券型证券投资基金招募说明书》及其更新</w:t>
            </w:r>
            <w:r w:rsidRPr="006A2E2C">
              <w:rPr>
                <w:sz w:val="24"/>
              </w:rPr>
              <w:t>（以下简称《招募说明书》）</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申购起始日</w:t>
            </w:r>
          </w:p>
        </w:tc>
        <w:tc>
          <w:tcPr>
            <w:tcW w:w="5315" w:type="dxa"/>
            <w:gridSpan w:val="3"/>
            <w:noWrap/>
            <w:vAlign w:val="center"/>
          </w:tcPr>
          <w:p w:rsidR="00F729AA" w:rsidRPr="006A2E2C" w:rsidRDefault="00F80BF0" w:rsidP="00F80BF0">
            <w:pPr>
              <w:ind w:firstLineChars="0" w:firstLine="0"/>
              <w:rPr>
                <w:sz w:val="24"/>
              </w:rPr>
            </w:pPr>
            <w:r w:rsidRPr="006A2E2C">
              <w:rPr>
                <w:bCs/>
                <w:sz w:val="24"/>
              </w:rPr>
              <w:t>2025</w:t>
            </w:r>
            <w:r w:rsidR="00A958A3" w:rsidRPr="006A2E2C">
              <w:rPr>
                <w:bCs/>
                <w:sz w:val="24"/>
              </w:rPr>
              <w:t>年</w:t>
            </w:r>
            <w:r w:rsidRPr="006A2E2C">
              <w:rPr>
                <w:bCs/>
                <w:sz w:val="24"/>
              </w:rPr>
              <w:t>12</w:t>
            </w:r>
            <w:r w:rsidR="00A958A3" w:rsidRPr="006A2E2C">
              <w:rPr>
                <w:bCs/>
                <w:sz w:val="24"/>
              </w:rPr>
              <w:t>月</w:t>
            </w:r>
            <w:r w:rsidRPr="006A2E2C">
              <w:rPr>
                <w:bCs/>
                <w:sz w:val="24"/>
              </w:rPr>
              <w:t>1</w:t>
            </w:r>
            <w:r w:rsidR="00A958A3" w:rsidRPr="006A2E2C">
              <w:rPr>
                <w:bCs/>
                <w:sz w:val="24"/>
              </w:rPr>
              <w:t>日</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赎回起始日</w:t>
            </w:r>
          </w:p>
        </w:tc>
        <w:tc>
          <w:tcPr>
            <w:tcW w:w="5315" w:type="dxa"/>
            <w:gridSpan w:val="3"/>
            <w:noWrap/>
            <w:vAlign w:val="center"/>
          </w:tcPr>
          <w:p w:rsidR="00F729AA" w:rsidRPr="006A2E2C" w:rsidRDefault="00F80BF0">
            <w:pPr>
              <w:ind w:firstLineChars="0" w:firstLine="0"/>
              <w:rPr>
                <w:sz w:val="24"/>
              </w:rPr>
            </w:pPr>
            <w:r w:rsidRPr="006A2E2C">
              <w:rPr>
                <w:bCs/>
                <w:sz w:val="24"/>
              </w:rPr>
              <w:t>2025</w:t>
            </w:r>
            <w:r w:rsidRPr="006A2E2C">
              <w:rPr>
                <w:bCs/>
                <w:sz w:val="24"/>
              </w:rPr>
              <w:t>年</w:t>
            </w:r>
            <w:r w:rsidRPr="006A2E2C">
              <w:rPr>
                <w:bCs/>
                <w:sz w:val="24"/>
              </w:rPr>
              <w:t>12</w:t>
            </w:r>
            <w:r w:rsidRPr="006A2E2C">
              <w:rPr>
                <w:bCs/>
                <w:sz w:val="24"/>
              </w:rPr>
              <w:t>月</w:t>
            </w:r>
            <w:r w:rsidRPr="006A2E2C">
              <w:rPr>
                <w:bCs/>
                <w:sz w:val="24"/>
              </w:rPr>
              <w:t>1</w:t>
            </w:r>
            <w:r w:rsidRPr="006A2E2C">
              <w:rPr>
                <w:bCs/>
                <w:sz w:val="24"/>
              </w:rPr>
              <w:t>日</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转换转入起始日</w:t>
            </w:r>
          </w:p>
        </w:tc>
        <w:tc>
          <w:tcPr>
            <w:tcW w:w="5315" w:type="dxa"/>
            <w:gridSpan w:val="3"/>
            <w:noWrap/>
            <w:vAlign w:val="center"/>
          </w:tcPr>
          <w:p w:rsidR="00F729AA" w:rsidRPr="006A2E2C" w:rsidRDefault="00F80BF0">
            <w:pPr>
              <w:ind w:firstLineChars="0" w:firstLine="0"/>
              <w:rPr>
                <w:kern w:val="0"/>
                <w:sz w:val="24"/>
              </w:rPr>
            </w:pPr>
            <w:r w:rsidRPr="006A2E2C">
              <w:rPr>
                <w:bCs/>
                <w:sz w:val="24"/>
              </w:rPr>
              <w:t>2025</w:t>
            </w:r>
            <w:r w:rsidRPr="006A2E2C">
              <w:rPr>
                <w:bCs/>
                <w:sz w:val="24"/>
              </w:rPr>
              <w:t>年</w:t>
            </w:r>
            <w:r w:rsidRPr="006A2E2C">
              <w:rPr>
                <w:bCs/>
                <w:sz w:val="24"/>
              </w:rPr>
              <w:t>12</w:t>
            </w:r>
            <w:r w:rsidRPr="006A2E2C">
              <w:rPr>
                <w:bCs/>
                <w:sz w:val="24"/>
              </w:rPr>
              <w:t>月</w:t>
            </w:r>
            <w:r w:rsidRPr="006A2E2C">
              <w:rPr>
                <w:bCs/>
                <w:sz w:val="24"/>
              </w:rPr>
              <w:t>1</w:t>
            </w:r>
            <w:r w:rsidRPr="006A2E2C">
              <w:rPr>
                <w:bCs/>
                <w:sz w:val="24"/>
              </w:rPr>
              <w:t>日</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转换转出起始日</w:t>
            </w:r>
          </w:p>
        </w:tc>
        <w:tc>
          <w:tcPr>
            <w:tcW w:w="5315" w:type="dxa"/>
            <w:gridSpan w:val="3"/>
            <w:noWrap/>
            <w:vAlign w:val="center"/>
          </w:tcPr>
          <w:p w:rsidR="00F729AA" w:rsidRPr="006A2E2C" w:rsidRDefault="00F80BF0">
            <w:pPr>
              <w:ind w:firstLineChars="0" w:firstLine="0"/>
              <w:rPr>
                <w:kern w:val="0"/>
                <w:sz w:val="24"/>
              </w:rPr>
            </w:pPr>
            <w:r w:rsidRPr="006A2E2C">
              <w:rPr>
                <w:bCs/>
                <w:sz w:val="24"/>
              </w:rPr>
              <w:t>2025</w:t>
            </w:r>
            <w:r w:rsidRPr="006A2E2C">
              <w:rPr>
                <w:bCs/>
                <w:sz w:val="24"/>
              </w:rPr>
              <w:t>年</w:t>
            </w:r>
            <w:r w:rsidRPr="006A2E2C">
              <w:rPr>
                <w:bCs/>
                <w:sz w:val="24"/>
              </w:rPr>
              <w:t>12</w:t>
            </w:r>
            <w:r w:rsidRPr="006A2E2C">
              <w:rPr>
                <w:bCs/>
                <w:sz w:val="24"/>
              </w:rPr>
              <w:t>月</w:t>
            </w:r>
            <w:r w:rsidRPr="006A2E2C">
              <w:rPr>
                <w:bCs/>
                <w:sz w:val="24"/>
              </w:rPr>
              <w:t>1</w:t>
            </w:r>
            <w:r w:rsidRPr="006A2E2C">
              <w:rPr>
                <w:bCs/>
                <w:sz w:val="24"/>
              </w:rPr>
              <w:t>日</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下属分级基金的基金简称</w:t>
            </w:r>
          </w:p>
        </w:tc>
        <w:tc>
          <w:tcPr>
            <w:tcW w:w="1738" w:type="dxa"/>
            <w:noWrap/>
            <w:vAlign w:val="center"/>
          </w:tcPr>
          <w:p w:rsidR="00F729AA" w:rsidRPr="006A2E2C" w:rsidRDefault="00F729AA" w:rsidP="00803935">
            <w:pPr>
              <w:spacing w:line="276" w:lineRule="auto"/>
              <w:ind w:firstLineChars="0" w:firstLine="0"/>
              <w:rPr>
                <w:sz w:val="24"/>
              </w:rPr>
            </w:pPr>
            <w:r w:rsidRPr="006A2E2C">
              <w:rPr>
                <w:sz w:val="24"/>
              </w:rPr>
              <w:t>民生加银岁岁增利债券</w:t>
            </w:r>
            <w:r w:rsidRPr="006A2E2C">
              <w:rPr>
                <w:sz w:val="24"/>
              </w:rPr>
              <w:t>A</w:t>
            </w:r>
          </w:p>
        </w:tc>
        <w:tc>
          <w:tcPr>
            <w:tcW w:w="1701" w:type="dxa"/>
            <w:vAlign w:val="center"/>
          </w:tcPr>
          <w:p w:rsidR="00F729AA" w:rsidRPr="006A2E2C" w:rsidRDefault="00F729AA" w:rsidP="00803935">
            <w:pPr>
              <w:spacing w:line="276" w:lineRule="auto"/>
              <w:ind w:firstLineChars="0" w:firstLine="0"/>
              <w:rPr>
                <w:sz w:val="24"/>
              </w:rPr>
            </w:pPr>
            <w:r w:rsidRPr="006A2E2C">
              <w:rPr>
                <w:sz w:val="24"/>
              </w:rPr>
              <w:t>民生加银岁岁增利债券</w:t>
            </w:r>
            <w:r w:rsidRPr="006A2E2C">
              <w:rPr>
                <w:sz w:val="24"/>
              </w:rPr>
              <w:t>C</w:t>
            </w:r>
          </w:p>
        </w:tc>
        <w:tc>
          <w:tcPr>
            <w:tcW w:w="1876" w:type="dxa"/>
            <w:vAlign w:val="center"/>
          </w:tcPr>
          <w:p w:rsidR="00F729AA" w:rsidRPr="006A2E2C" w:rsidRDefault="00F729AA" w:rsidP="00803935">
            <w:pPr>
              <w:spacing w:line="276" w:lineRule="auto"/>
              <w:ind w:firstLineChars="0" w:firstLine="0"/>
              <w:rPr>
                <w:sz w:val="24"/>
              </w:rPr>
            </w:pPr>
            <w:r w:rsidRPr="006A2E2C">
              <w:rPr>
                <w:sz w:val="24"/>
              </w:rPr>
              <w:t>民生加银岁岁增利债券</w:t>
            </w:r>
            <w:r w:rsidRPr="006A2E2C">
              <w:rPr>
                <w:sz w:val="24"/>
              </w:rPr>
              <w:t>D</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下属分级基金的交易代码</w:t>
            </w:r>
          </w:p>
        </w:tc>
        <w:tc>
          <w:tcPr>
            <w:tcW w:w="1738" w:type="dxa"/>
            <w:noWrap/>
            <w:vAlign w:val="center"/>
          </w:tcPr>
          <w:p w:rsidR="00F729AA" w:rsidRPr="006A2E2C" w:rsidRDefault="00F729AA">
            <w:pPr>
              <w:ind w:firstLineChars="83" w:firstLine="199"/>
              <w:rPr>
                <w:sz w:val="24"/>
              </w:rPr>
            </w:pPr>
            <w:r w:rsidRPr="006A2E2C">
              <w:rPr>
                <w:sz w:val="24"/>
              </w:rPr>
              <w:t>000137</w:t>
            </w:r>
          </w:p>
        </w:tc>
        <w:tc>
          <w:tcPr>
            <w:tcW w:w="1701" w:type="dxa"/>
            <w:vAlign w:val="center"/>
          </w:tcPr>
          <w:p w:rsidR="00F729AA" w:rsidRPr="006A2E2C" w:rsidRDefault="00F729AA">
            <w:pPr>
              <w:ind w:firstLineChars="183" w:firstLine="439"/>
              <w:rPr>
                <w:sz w:val="24"/>
              </w:rPr>
            </w:pPr>
            <w:r w:rsidRPr="006A2E2C">
              <w:rPr>
                <w:sz w:val="24"/>
              </w:rPr>
              <w:t>000138</w:t>
            </w:r>
          </w:p>
        </w:tc>
        <w:tc>
          <w:tcPr>
            <w:tcW w:w="1876" w:type="dxa"/>
            <w:vAlign w:val="center"/>
          </w:tcPr>
          <w:p w:rsidR="00F729AA" w:rsidRPr="006A2E2C" w:rsidRDefault="00F729AA">
            <w:pPr>
              <w:ind w:firstLine="480"/>
              <w:rPr>
                <w:sz w:val="24"/>
              </w:rPr>
            </w:pPr>
            <w:r w:rsidRPr="006A2E2C">
              <w:rPr>
                <w:sz w:val="24"/>
              </w:rPr>
              <w:t>001785</w:t>
            </w:r>
          </w:p>
        </w:tc>
      </w:tr>
      <w:tr w:rsidR="006A2E2C" w:rsidRPr="006A2E2C" w:rsidTr="00B71F75">
        <w:trPr>
          <w:trHeight w:val="285"/>
          <w:jc w:val="center"/>
        </w:trPr>
        <w:tc>
          <w:tcPr>
            <w:tcW w:w="2883" w:type="dxa"/>
            <w:noWrap/>
            <w:vAlign w:val="center"/>
          </w:tcPr>
          <w:p w:rsidR="00F729AA" w:rsidRPr="006A2E2C" w:rsidRDefault="00F729AA" w:rsidP="00803935">
            <w:pPr>
              <w:spacing w:line="276" w:lineRule="auto"/>
              <w:ind w:firstLineChars="0" w:firstLine="0"/>
              <w:rPr>
                <w:sz w:val="24"/>
              </w:rPr>
            </w:pPr>
            <w:r w:rsidRPr="006A2E2C">
              <w:rPr>
                <w:sz w:val="24"/>
              </w:rPr>
              <w:t>该分级基金是否开放申购、赎回、转换</w:t>
            </w:r>
          </w:p>
        </w:tc>
        <w:tc>
          <w:tcPr>
            <w:tcW w:w="1738" w:type="dxa"/>
            <w:noWrap/>
            <w:vAlign w:val="center"/>
          </w:tcPr>
          <w:p w:rsidR="00F729AA" w:rsidRPr="006A2E2C" w:rsidRDefault="00F729AA">
            <w:pPr>
              <w:ind w:firstLine="480"/>
              <w:rPr>
                <w:sz w:val="24"/>
              </w:rPr>
            </w:pPr>
            <w:r w:rsidRPr="006A2E2C">
              <w:rPr>
                <w:sz w:val="24"/>
              </w:rPr>
              <w:t>是</w:t>
            </w:r>
          </w:p>
        </w:tc>
        <w:tc>
          <w:tcPr>
            <w:tcW w:w="1701" w:type="dxa"/>
            <w:vAlign w:val="center"/>
          </w:tcPr>
          <w:p w:rsidR="00F729AA" w:rsidRPr="006A2E2C" w:rsidRDefault="00F729AA">
            <w:pPr>
              <w:ind w:firstLine="480"/>
              <w:rPr>
                <w:sz w:val="24"/>
              </w:rPr>
            </w:pPr>
            <w:r w:rsidRPr="006A2E2C">
              <w:rPr>
                <w:sz w:val="24"/>
              </w:rPr>
              <w:t>是</w:t>
            </w:r>
          </w:p>
        </w:tc>
        <w:tc>
          <w:tcPr>
            <w:tcW w:w="1876" w:type="dxa"/>
            <w:vAlign w:val="center"/>
          </w:tcPr>
          <w:p w:rsidR="00F729AA" w:rsidRPr="006A2E2C" w:rsidRDefault="009370E6" w:rsidP="001E602A">
            <w:pPr>
              <w:ind w:firstLineChars="0" w:firstLine="0"/>
              <w:jc w:val="center"/>
              <w:rPr>
                <w:sz w:val="24"/>
              </w:rPr>
            </w:pPr>
            <w:r w:rsidRPr="006A2E2C">
              <w:rPr>
                <w:sz w:val="24"/>
              </w:rPr>
              <w:t>否</w:t>
            </w:r>
          </w:p>
        </w:tc>
      </w:tr>
    </w:tbl>
    <w:p w:rsidR="00F729AA" w:rsidRPr="006A2E2C" w:rsidRDefault="00F729AA" w:rsidP="00B71F75">
      <w:pPr>
        <w:ind w:leftChars="33" w:left="69" w:firstLineChars="0" w:firstLine="1"/>
        <w:rPr>
          <w:sz w:val="24"/>
        </w:rPr>
      </w:pPr>
      <w:r w:rsidRPr="006A2E2C">
        <w:rPr>
          <w:sz w:val="24"/>
        </w:rPr>
        <w:lastRenderedPageBreak/>
        <w:t>注：民生加银岁岁增利定期开放债券型证券投资基金</w:t>
      </w:r>
      <w:r w:rsidR="005C4258" w:rsidRPr="006A2E2C">
        <w:rPr>
          <w:sz w:val="24"/>
        </w:rPr>
        <w:t>（</w:t>
      </w:r>
      <w:r w:rsidRPr="006A2E2C">
        <w:rPr>
          <w:sz w:val="24"/>
        </w:rPr>
        <w:t>以下简称：本基金</w:t>
      </w:r>
      <w:r w:rsidR="005C4258" w:rsidRPr="006A2E2C">
        <w:rPr>
          <w:kern w:val="0"/>
          <w:sz w:val="24"/>
        </w:rPr>
        <w:t>）</w:t>
      </w:r>
      <w:r w:rsidRPr="006A2E2C">
        <w:rPr>
          <w:sz w:val="24"/>
        </w:rPr>
        <w:t>D</w:t>
      </w:r>
      <w:r w:rsidRPr="006A2E2C">
        <w:rPr>
          <w:sz w:val="24"/>
        </w:rPr>
        <w:t>类份额</w:t>
      </w:r>
      <w:r w:rsidR="009370E6" w:rsidRPr="006A2E2C">
        <w:rPr>
          <w:sz w:val="24"/>
        </w:rPr>
        <w:t>本次不开放</w:t>
      </w:r>
      <w:r w:rsidRPr="006A2E2C">
        <w:rPr>
          <w:sz w:val="24"/>
        </w:rPr>
        <w:t>申购、赎回</w:t>
      </w:r>
      <w:r w:rsidR="009370E6" w:rsidRPr="006A2E2C">
        <w:rPr>
          <w:sz w:val="24"/>
        </w:rPr>
        <w:t>及</w:t>
      </w:r>
      <w:r w:rsidRPr="006A2E2C">
        <w:rPr>
          <w:sz w:val="24"/>
        </w:rPr>
        <w:t>转换业务。</w:t>
      </w:r>
    </w:p>
    <w:bookmarkEnd w:id="0"/>
    <w:p w:rsidR="00F729AA" w:rsidRPr="006A2E2C" w:rsidRDefault="00F729AA">
      <w:pPr>
        <w:pStyle w:val="af6"/>
        <w:spacing w:line="360" w:lineRule="auto"/>
        <w:jc w:val="both"/>
        <w:outlineLvl w:val="2"/>
        <w:rPr>
          <w:rFonts w:ascii="Times New Roman" w:hAnsi="Times New Roman"/>
          <w:kern w:val="0"/>
          <w:sz w:val="24"/>
          <w:szCs w:val="24"/>
        </w:rPr>
      </w:pPr>
      <w:r w:rsidRPr="006A2E2C">
        <w:rPr>
          <w:rFonts w:ascii="Times New Roman" w:hAnsi="Times New Roman"/>
          <w:kern w:val="0"/>
          <w:sz w:val="24"/>
          <w:szCs w:val="24"/>
        </w:rPr>
        <w:t xml:space="preserve">2 </w:t>
      </w:r>
      <w:r w:rsidRPr="006A2E2C">
        <w:rPr>
          <w:rFonts w:ascii="Times New Roman" w:hAnsi="Times New Roman"/>
          <w:kern w:val="0"/>
          <w:sz w:val="24"/>
          <w:szCs w:val="24"/>
        </w:rPr>
        <w:t>申购、赎回和转换业务的办理时间</w:t>
      </w:r>
    </w:p>
    <w:p w:rsidR="00F729AA" w:rsidRPr="006A2E2C" w:rsidRDefault="00F729AA" w:rsidP="00B71F75">
      <w:pPr>
        <w:pStyle w:val="af6"/>
        <w:spacing w:before="120" w:after="0" w:line="360" w:lineRule="auto"/>
        <w:jc w:val="both"/>
        <w:outlineLvl w:val="2"/>
        <w:rPr>
          <w:rFonts w:ascii="Times New Roman" w:hAnsi="Times New Roman"/>
          <w:b w:val="0"/>
          <w:kern w:val="0"/>
          <w:sz w:val="24"/>
          <w:szCs w:val="24"/>
        </w:rPr>
      </w:pPr>
      <w:r w:rsidRPr="006A2E2C">
        <w:rPr>
          <w:rFonts w:ascii="Times New Roman" w:hAnsi="Times New Roman"/>
          <w:b w:val="0"/>
          <w:kern w:val="0"/>
          <w:sz w:val="24"/>
          <w:szCs w:val="24"/>
        </w:rPr>
        <w:t>2.1</w:t>
      </w:r>
      <w:r w:rsidRPr="006A2E2C">
        <w:rPr>
          <w:rFonts w:ascii="Times New Roman" w:hAnsi="Times New Roman"/>
          <w:b w:val="0"/>
          <w:kern w:val="0"/>
          <w:sz w:val="24"/>
          <w:szCs w:val="24"/>
        </w:rPr>
        <w:t>开放日</w:t>
      </w:r>
    </w:p>
    <w:p w:rsidR="00F729AA" w:rsidRPr="006A2E2C" w:rsidRDefault="00F729AA" w:rsidP="00612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根据本基金《基金合同》、《招募说明书》的规定，</w:t>
      </w:r>
      <w:r w:rsidR="00BC25A1" w:rsidRPr="006A2E2C">
        <w:rPr>
          <w:kern w:val="0"/>
          <w:sz w:val="24"/>
        </w:rPr>
        <w:t>本基金以定期开放方式运作，本基金的</w:t>
      </w:r>
      <w:r w:rsidR="0061284C" w:rsidRPr="006A2E2C">
        <w:rPr>
          <w:kern w:val="0"/>
          <w:sz w:val="24"/>
        </w:rPr>
        <w:t>封闭期为自基金合同生效日起一年（包括基金合同生效日）或自每一开放期结束之日次日起（包括该日）一年的期间。本</w:t>
      </w:r>
      <w:r w:rsidR="00B24E8C" w:rsidRPr="006A2E2C">
        <w:rPr>
          <w:kern w:val="0"/>
          <w:sz w:val="24"/>
        </w:rPr>
        <w:t>基金封闭期内采取封闭运作模式，不办理申购、</w:t>
      </w:r>
      <w:r w:rsidR="0061284C" w:rsidRPr="006A2E2C">
        <w:rPr>
          <w:kern w:val="0"/>
          <w:sz w:val="24"/>
        </w:rPr>
        <w:t>赎回</w:t>
      </w:r>
      <w:r w:rsidR="00B24E8C" w:rsidRPr="006A2E2C">
        <w:rPr>
          <w:kern w:val="0"/>
          <w:sz w:val="24"/>
        </w:rPr>
        <w:t>以及转换</w:t>
      </w:r>
      <w:r w:rsidR="0061284C" w:rsidRPr="006A2E2C">
        <w:rPr>
          <w:kern w:val="0"/>
          <w:sz w:val="24"/>
        </w:rPr>
        <w:t>业务。</w:t>
      </w:r>
      <w:r w:rsidRPr="006A2E2C">
        <w:rPr>
          <w:kern w:val="0"/>
          <w:sz w:val="24"/>
        </w:rPr>
        <w:t>本基金办理申购、赎回以及转换业务的开放期为每个封闭期结束之</w:t>
      </w:r>
      <w:r w:rsidR="00BC25A1" w:rsidRPr="006A2E2C">
        <w:rPr>
          <w:kern w:val="0"/>
          <w:sz w:val="24"/>
        </w:rPr>
        <w:t>日</w:t>
      </w:r>
      <w:r w:rsidRPr="006A2E2C">
        <w:rPr>
          <w:kern w:val="0"/>
          <w:sz w:val="24"/>
        </w:rPr>
        <w:t>后第一个工作日起（含该日）</w:t>
      </w:r>
      <w:r w:rsidRPr="006A2E2C">
        <w:rPr>
          <w:kern w:val="0"/>
          <w:sz w:val="24"/>
        </w:rPr>
        <w:t>5</w:t>
      </w:r>
      <w:r w:rsidRPr="006A2E2C">
        <w:rPr>
          <w:kern w:val="0"/>
          <w:sz w:val="24"/>
        </w:rPr>
        <w:t>至</w:t>
      </w:r>
      <w:r w:rsidRPr="006A2E2C">
        <w:rPr>
          <w:kern w:val="0"/>
          <w:sz w:val="24"/>
        </w:rPr>
        <w:t>10</w:t>
      </w:r>
      <w:r w:rsidRPr="006A2E2C">
        <w:rPr>
          <w:kern w:val="0"/>
          <w:sz w:val="24"/>
        </w:rPr>
        <w:t>个工作日的期间。</w:t>
      </w:r>
      <w:r w:rsidR="00B24E8C" w:rsidRPr="006A2E2C">
        <w:rPr>
          <w:kern w:val="0"/>
          <w:sz w:val="24"/>
        </w:rPr>
        <w:t>如在开放期尚不足五个工作日时发生不可抗力或其他情形致使基金无法继续开放申购与赎回业务的，开放期时间中止计算。在不可抗力或其他情形影响因素消除之日次日起，继续计算该开放期时间，直至满足基金合同关于开放期的时间要求，即确保每一开放期至少达到</w:t>
      </w:r>
      <w:r w:rsidR="00B24E8C" w:rsidRPr="006A2E2C">
        <w:rPr>
          <w:kern w:val="0"/>
          <w:sz w:val="24"/>
        </w:rPr>
        <w:t>5</w:t>
      </w:r>
      <w:r w:rsidR="00B24E8C" w:rsidRPr="006A2E2C">
        <w:rPr>
          <w:kern w:val="0"/>
          <w:sz w:val="24"/>
        </w:rPr>
        <w:t>个工作日（如发生上述情形时开放期已达到五个工作日，则本基金将在上述情形消失</w:t>
      </w:r>
      <w:r w:rsidR="00027629" w:rsidRPr="006A2E2C">
        <w:rPr>
          <w:kern w:val="0"/>
          <w:sz w:val="24"/>
        </w:rPr>
        <w:t>后</w:t>
      </w:r>
      <w:r w:rsidR="00B24E8C" w:rsidRPr="006A2E2C">
        <w:rPr>
          <w:kern w:val="0"/>
          <w:sz w:val="24"/>
        </w:rPr>
        <w:t>继续开放以达到</w:t>
      </w:r>
      <w:r w:rsidR="00027629" w:rsidRPr="006A2E2C">
        <w:rPr>
          <w:kern w:val="0"/>
          <w:sz w:val="24"/>
        </w:rPr>
        <w:t>预先</w:t>
      </w:r>
      <w:r w:rsidR="00B24E8C" w:rsidRPr="006A2E2C">
        <w:rPr>
          <w:kern w:val="0"/>
          <w:sz w:val="24"/>
        </w:rPr>
        <w:t>公告的时间长度）。</w:t>
      </w:r>
    </w:p>
    <w:p w:rsidR="00AE15B1"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本基金的第十</w:t>
      </w:r>
      <w:r w:rsidR="00F80BF0" w:rsidRPr="006A2E2C">
        <w:rPr>
          <w:kern w:val="0"/>
          <w:sz w:val="24"/>
        </w:rPr>
        <w:t>二</w:t>
      </w:r>
      <w:r w:rsidRPr="006A2E2C">
        <w:rPr>
          <w:kern w:val="0"/>
          <w:sz w:val="24"/>
        </w:rPr>
        <w:t>个封闭期为自</w:t>
      </w:r>
      <w:r w:rsidR="00F80BF0" w:rsidRPr="006A2E2C">
        <w:rPr>
          <w:kern w:val="0"/>
          <w:sz w:val="24"/>
        </w:rPr>
        <w:t>2024</w:t>
      </w:r>
      <w:r w:rsidR="00F80BF0" w:rsidRPr="006A2E2C">
        <w:rPr>
          <w:kern w:val="0"/>
          <w:sz w:val="24"/>
        </w:rPr>
        <w:t>年</w:t>
      </w:r>
      <w:r w:rsidR="00F80BF0" w:rsidRPr="006A2E2C">
        <w:rPr>
          <w:kern w:val="0"/>
          <w:sz w:val="24"/>
        </w:rPr>
        <w:t>11</w:t>
      </w:r>
      <w:r w:rsidR="00F80BF0" w:rsidRPr="006A2E2C">
        <w:rPr>
          <w:kern w:val="0"/>
          <w:sz w:val="24"/>
        </w:rPr>
        <w:t>月</w:t>
      </w:r>
      <w:r w:rsidR="00F80BF0" w:rsidRPr="006A2E2C">
        <w:rPr>
          <w:kern w:val="0"/>
          <w:sz w:val="24"/>
        </w:rPr>
        <w:t>30</w:t>
      </w:r>
      <w:r w:rsidR="00F80BF0" w:rsidRPr="006A2E2C">
        <w:rPr>
          <w:kern w:val="0"/>
          <w:sz w:val="24"/>
        </w:rPr>
        <w:t>日起至</w:t>
      </w:r>
      <w:r w:rsidR="00F80BF0" w:rsidRPr="006A2E2C">
        <w:rPr>
          <w:kern w:val="0"/>
          <w:sz w:val="24"/>
        </w:rPr>
        <w:t>2025</w:t>
      </w:r>
      <w:r w:rsidR="00F80BF0" w:rsidRPr="006A2E2C">
        <w:rPr>
          <w:kern w:val="0"/>
          <w:sz w:val="24"/>
        </w:rPr>
        <w:t>年</w:t>
      </w:r>
      <w:r w:rsidR="00F80BF0" w:rsidRPr="006A2E2C">
        <w:rPr>
          <w:kern w:val="0"/>
          <w:sz w:val="24"/>
        </w:rPr>
        <w:t>11</w:t>
      </w:r>
      <w:r w:rsidR="00F80BF0" w:rsidRPr="006A2E2C">
        <w:rPr>
          <w:kern w:val="0"/>
          <w:sz w:val="24"/>
        </w:rPr>
        <w:t>月</w:t>
      </w:r>
      <w:r w:rsidR="00F80BF0" w:rsidRPr="006A2E2C">
        <w:rPr>
          <w:kern w:val="0"/>
          <w:sz w:val="24"/>
        </w:rPr>
        <w:t>30</w:t>
      </w:r>
      <w:r w:rsidR="00F80BF0" w:rsidRPr="006A2E2C">
        <w:rPr>
          <w:kern w:val="0"/>
          <w:sz w:val="24"/>
        </w:rPr>
        <w:t>日</w:t>
      </w:r>
      <w:r w:rsidRPr="006A2E2C">
        <w:rPr>
          <w:kern w:val="0"/>
          <w:sz w:val="24"/>
        </w:rPr>
        <w:t>止。本基金第十</w:t>
      </w:r>
      <w:r w:rsidR="00F80BF0" w:rsidRPr="006A2E2C">
        <w:rPr>
          <w:kern w:val="0"/>
          <w:sz w:val="24"/>
        </w:rPr>
        <w:t>二</w:t>
      </w:r>
      <w:r w:rsidRPr="006A2E2C">
        <w:rPr>
          <w:kern w:val="0"/>
          <w:sz w:val="24"/>
        </w:rPr>
        <w:t>次办理申购、赎回以及转换业务的开放期为</w:t>
      </w:r>
      <w:r w:rsidR="00273A8E" w:rsidRPr="006A2E2C">
        <w:rPr>
          <w:b/>
          <w:kern w:val="0"/>
          <w:sz w:val="24"/>
        </w:rPr>
        <w:t>2025</w:t>
      </w:r>
      <w:r w:rsidR="00273A8E" w:rsidRPr="006A2E2C">
        <w:rPr>
          <w:b/>
          <w:kern w:val="0"/>
          <w:sz w:val="24"/>
        </w:rPr>
        <w:t>年</w:t>
      </w:r>
      <w:r w:rsidR="00273A8E" w:rsidRPr="006A2E2C">
        <w:rPr>
          <w:b/>
          <w:kern w:val="0"/>
          <w:sz w:val="24"/>
        </w:rPr>
        <w:t>12</w:t>
      </w:r>
      <w:r w:rsidR="00273A8E" w:rsidRPr="006A2E2C">
        <w:rPr>
          <w:b/>
          <w:kern w:val="0"/>
          <w:sz w:val="24"/>
        </w:rPr>
        <w:t>月</w:t>
      </w:r>
      <w:r w:rsidR="00273A8E" w:rsidRPr="006A2E2C">
        <w:rPr>
          <w:b/>
          <w:kern w:val="0"/>
          <w:sz w:val="24"/>
        </w:rPr>
        <w:t>1</w:t>
      </w:r>
      <w:r w:rsidR="00273A8E" w:rsidRPr="006A2E2C">
        <w:rPr>
          <w:b/>
          <w:kern w:val="0"/>
          <w:sz w:val="24"/>
        </w:rPr>
        <w:t>日（含该日）起的连续</w:t>
      </w:r>
      <w:r w:rsidR="00273A8E" w:rsidRPr="006A2E2C">
        <w:rPr>
          <w:b/>
          <w:kern w:val="0"/>
          <w:sz w:val="24"/>
        </w:rPr>
        <w:t>10</w:t>
      </w:r>
      <w:r w:rsidR="00273A8E" w:rsidRPr="006A2E2C">
        <w:rPr>
          <w:b/>
          <w:kern w:val="0"/>
          <w:sz w:val="24"/>
        </w:rPr>
        <w:t>个工作日</w:t>
      </w:r>
      <w:r w:rsidRPr="006A2E2C">
        <w:rPr>
          <w:kern w:val="0"/>
          <w:sz w:val="24"/>
        </w:rPr>
        <w:t>，即</w:t>
      </w:r>
      <w:r w:rsidR="001E602A" w:rsidRPr="006A2E2C">
        <w:rPr>
          <w:kern w:val="0"/>
          <w:sz w:val="24"/>
        </w:rPr>
        <w:t>2025</w:t>
      </w:r>
      <w:r w:rsidR="00A958A3" w:rsidRPr="006A2E2C">
        <w:rPr>
          <w:kern w:val="0"/>
          <w:sz w:val="24"/>
        </w:rPr>
        <w:t>年</w:t>
      </w:r>
      <w:r w:rsidR="001E602A" w:rsidRPr="006A2E2C">
        <w:rPr>
          <w:kern w:val="0"/>
          <w:sz w:val="24"/>
        </w:rPr>
        <w:t>12</w:t>
      </w:r>
      <w:r w:rsidR="00A958A3" w:rsidRPr="006A2E2C">
        <w:rPr>
          <w:kern w:val="0"/>
          <w:sz w:val="24"/>
        </w:rPr>
        <w:t>月</w:t>
      </w:r>
      <w:r w:rsidR="001E602A" w:rsidRPr="006A2E2C">
        <w:rPr>
          <w:kern w:val="0"/>
          <w:sz w:val="24"/>
        </w:rPr>
        <w:t>1</w:t>
      </w:r>
      <w:r w:rsidR="00A958A3" w:rsidRPr="006A2E2C">
        <w:rPr>
          <w:kern w:val="0"/>
          <w:sz w:val="24"/>
        </w:rPr>
        <w:t>日</w:t>
      </w:r>
      <w:r w:rsidR="00B24E8C" w:rsidRPr="006A2E2C">
        <w:rPr>
          <w:kern w:val="0"/>
          <w:sz w:val="24"/>
        </w:rPr>
        <w:t>至</w:t>
      </w:r>
      <w:r w:rsidR="001E602A" w:rsidRPr="006A2E2C">
        <w:rPr>
          <w:kern w:val="0"/>
          <w:sz w:val="24"/>
        </w:rPr>
        <w:t>2025</w:t>
      </w:r>
      <w:r w:rsidR="001E602A" w:rsidRPr="006A2E2C">
        <w:rPr>
          <w:kern w:val="0"/>
          <w:sz w:val="24"/>
        </w:rPr>
        <w:t>年</w:t>
      </w:r>
      <w:r w:rsidR="001E602A" w:rsidRPr="006A2E2C">
        <w:rPr>
          <w:kern w:val="0"/>
          <w:sz w:val="24"/>
        </w:rPr>
        <w:t>12</w:t>
      </w:r>
      <w:r w:rsidR="001E602A" w:rsidRPr="006A2E2C">
        <w:rPr>
          <w:kern w:val="0"/>
          <w:sz w:val="24"/>
        </w:rPr>
        <w:t>月</w:t>
      </w:r>
      <w:r w:rsidR="001E602A" w:rsidRPr="006A2E2C">
        <w:rPr>
          <w:kern w:val="0"/>
          <w:sz w:val="24"/>
        </w:rPr>
        <w:t>12</w:t>
      </w:r>
      <w:r w:rsidR="001E602A" w:rsidRPr="006A2E2C">
        <w:rPr>
          <w:kern w:val="0"/>
          <w:sz w:val="24"/>
        </w:rPr>
        <w:t>日</w:t>
      </w:r>
      <w:r w:rsidRPr="006A2E2C">
        <w:rPr>
          <w:kern w:val="0"/>
          <w:sz w:val="24"/>
        </w:rPr>
        <w:t>。</w:t>
      </w:r>
      <w:r w:rsidR="00B24E8C" w:rsidRPr="006A2E2C">
        <w:rPr>
          <w:kern w:val="0"/>
          <w:sz w:val="24"/>
        </w:rPr>
        <w:t>本基金在上述开放期内的每个工作日接受办理本基金份额的申购、赎回以及转换业务，具体办理时间为上海证券交易所、深圳证券交易所的正常交易日的交易时间。</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自</w:t>
      </w:r>
      <w:r w:rsidR="001E602A" w:rsidRPr="006A2E2C">
        <w:rPr>
          <w:kern w:val="0"/>
          <w:sz w:val="24"/>
        </w:rPr>
        <w:t>2025</w:t>
      </w:r>
      <w:r w:rsidR="001E602A" w:rsidRPr="006A2E2C">
        <w:rPr>
          <w:kern w:val="0"/>
          <w:sz w:val="24"/>
        </w:rPr>
        <w:t>年</w:t>
      </w:r>
      <w:r w:rsidR="001E602A" w:rsidRPr="006A2E2C">
        <w:rPr>
          <w:kern w:val="0"/>
          <w:sz w:val="24"/>
        </w:rPr>
        <w:t>12</w:t>
      </w:r>
      <w:r w:rsidR="001E602A" w:rsidRPr="006A2E2C">
        <w:rPr>
          <w:kern w:val="0"/>
          <w:sz w:val="24"/>
        </w:rPr>
        <w:t>月</w:t>
      </w:r>
      <w:r w:rsidR="001E602A" w:rsidRPr="006A2E2C">
        <w:rPr>
          <w:kern w:val="0"/>
          <w:sz w:val="24"/>
        </w:rPr>
        <w:t>13</w:t>
      </w:r>
      <w:r w:rsidR="001E602A" w:rsidRPr="006A2E2C">
        <w:rPr>
          <w:kern w:val="0"/>
          <w:sz w:val="24"/>
        </w:rPr>
        <w:t>日</w:t>
      </w:r>
      <w:r w:rsidRPr="006A2E2C">
        <w:rPr>
          <w:kern w:val="0"/>
          <w:sz w:val="24"/>
        </w:rPr>
        <w:t>起至</w:t>
      </w:r>
      <w:r w:rsidR="001E602A" w:rsidRPr="006A2E2C">
        <w:rPr>
          <w:kern w:val="0"/>
          <w:sz w:val="24"/>
        </w:rPr>
        <w:t>2026</w:t>
      </w:r>
      <w:r w:rsidR="001E602A" w:rsidRPr="006A2E2C">
        <w:rPr>
          <w:kern w:val="0"/>
          <w:sz w:val="24"/>
        </w:rPr>
        <w:t>年</w:t>
      </w:r>
      <w:r w:rsidR="001E602A" w:rsidRPr="006A2E2C">
        <w:rPr>
          <w:kern w:val="0"/>
          <w:sz w:val="24"/>
        </w:rPr>
        <w:t>12</w:t>
      </w:r>
      <w:r w:rsidR="001E602A" w:rsidRPr="006A2E2C">
        <w:rPr>
          <w:kern w:val="0"/>
          <w:sz w:val="24"/>
        </w:rPr>
        <w:t>月</w:t>
      </w:r>
      <w:r w:rsidR="001E602A" w:rsidRPr="006A2E2C">
        <w:rPr>
          <w:kern w:val="0"/>
          <w:sz w:val="24"/>
        </w:rPr>
        <w:t>13</w:t>
      </w:r>
      <w:r w:rsidR="001E602A" w:rsidRPr="006A2E2C">
        <w:rPr>
          <w:kern w:val="0"/>
          <w:sz w:val="24"/>
        </w:rPr>
        <w:t>日</w:t>
      </w:r>
      <w:r w:rsidRPr="006A2E2C">
        <w:rPr>
          <w:kern w:val="0"/>
          <w:sz w:val="24"/>
        </w:rPr>
        <w:t>止，为本基金的第十</w:t>
      </w:r>
      <w:r w:rsidR="008B56C5" w:rsidRPr="006A2E2C">
        <w:rPr>
          <w:kern w:val="0"/>
          <w:sz w:val="24"/>
        </w:rPr>
        <w:t>三</w:t>
      </w:r>
      <w:r w:rsidRPr="006A2E2C">
        <w:rPr>
          <w:kern w:val="0"/>
          <w:sz w:val="24"/>
        </w:rPr>
        <w:t>个封闭期，封闭期内本基金不办理申购、赎回以及转换业务。</w:t>
      </w:r>
    </w:p>
    <w:p w:rsidR="00F729AA" w:rsidRPr="006A2E2C" w:rsidRDefault="00F729AA" w:rsidP="00B71F75">
      <w:pPr>
        <w:pStyle w:val="af6"/>
        <w:spacing w:before="120" w:after="0" w:line="360" w:lineRule="auto"/>
        <w:jc w:val="both"/>
        <w:outlineLvl w:val="2"/>
        <w:rPr>
          <w:rFonts w:ascii="Times New Roman" w:hAnsi="Times New Roman"/>
          <w:b w:val="0"/>
          <w:kern w:val="0"/>
          <w:sz w:val="24"/>
          <w:szCs w:val="24"/>
        </w:rPr>
      </w:pPr>
      <w:r w:rsidRPr="006A2E2C">
        <w:rPr>
          <w:rFonts w:ascii="Times New Roman" w:hAnsi="Times New Roman"/>
          <w:b w:val="0"/>
          <w:kern w:val="0"/>
          <w:sz w:val="24"/>
          <w:szCs w:val="24"/>
        </w:rPr>
        <w:t>2.2</w:t>
      </w:r>
      <w:r w:rsidRPr="006A2E2C">
        <w:rPr>
          <w:rFonts w:ascii="Times New Roman" w:hAnsi="Times New Roman"/>
          <w:b w:val="0"/>
          <w:kern w:val="0"/>
          <w:sz w:val="24"/>
          <w:szCs w:val="24"/>
        </w:rPr>
        <w:t>开放时间</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投资人在</w:t>
      </w:r>
      <w:r w:rsidR="00B24E8C" w:rsidRPr="006A2E2C">
        <w:rPr>
          <w:kern w:val="0"/>
          <w:sz w:val="24"/>
        </w:rPr>
        <w:t>开放期内的</w:t>
      </w:r>
      <w:r w:rsidRPr="006A2E2C">
        <w:rPr>
          <w:kern w:val="0"/>
          <w:sz w:val="24"/>
        </w:rPr>
        <w:t>开放日办理基金份额的申购、赎回以及转换业务，具体办理时间为上海证券交易所、深圳证券交易所的正常交易日的交易时间，但基金管理人根据法律法规、中国证监会的要求或基金合同的规定公告暂停申购、赎回以及转换业务时除外。</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lastRenderedPageBreak/>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F729AA" w:rsidRPr="006A2E2C" w:rsidRDefault="00F729AA">
      <w:pPr>
        <w:pStyle w:val="af6"/>
        <w:spacing w:line="360" w:lineRule="auto"/>
        <w:jc w:val="both"/>
        <w:outlineLvl w:val="2"/>
        <w:rPr>
          <w:rFonts w:ascii="Times New Roman" w:hAnsi="Times New Roman"/>
          <w:kern w:val="0"/>
          <w:sz w:val="24"/>
          <w:szCs w:val="24"/>
        </w:rPr>
      </w:pPr>
      <w:r w:rsidRPr="006A2E2C">
        <w:rPr>
          <w:rFonts w:ascii="Times New Roman" w:hAnsi="Times New Roman"/>
          <w:kern w:val="0"/>
          <w:sz w:val="24"/>
          <w:szCs w:val="24"/>
        </w:rPr>
        <w:t xml:space="preserve">3 </w:t>
      </w:r>
      <w:r w:rsidRPr="006A2E2C">
        <w:rPr>
          <w:rFonts w:ascii="Times New Roman" w:hAnsi="Times New Roman"/>
          <w:kern w:val="0"/>
          <w:sz w:val="24"/>
          <w:szCs w:val="24"/>
        </w:rPr>
        <w:t>申购业务</w:t>
      </w:r>
    </w:p>
    <w:p w:rsidR="00F729AA" w:rsidRPr="006A2E2C" w:rsidRDefault="00F729AA" w:rsidP="00B71F75">
      <w:pPr>
        <w:pStyle w:val="af6"/>
        <w:spacing w:before="120" w:after="0" w:line="360" w:lineRule="auto"/>
        <w:jc w:val="both"/>
        <w:outlineLvl w:val="2"/>
        <w:rPr>
          <w:rFonts w:ascii="Times New Roman" w:hAnsi="Times New Roman"/>
          <w:b w:val="0"/>
          <w:kern w:val="0"/>
          <w:sz w:val="24"/>
          <w:szCs w:val="24"/>
        </w:rPr>
      </w:pPr>
      <w:r w:rsidRPr="006A2E2C">
        <w:rPr>
          <w:rFonts w:ascii="Times New Roman" w:hAnsi="Times New Roman"/>
          <w:b w:val="0"/>
          <w:kern w:val="0"/>
          <w:sz w:val="24"/>
          <w:szCs w:val="24"/>
        </w:rPr>
        <w:t>3.1</w:t>
      </w:r>
      <w:r w:rsidRPr="006A2E2C">
        <w:rPr>
          <w:rFonts w:ascii="Times New Roman" w:hAnsi="Times New Roman"/>
          <w:b w:val="0"/>
          <w:kern w:val="0"/>
          <w:sz w:val="24"/>
          <w:szCs w:val="24"/>
        </w:rPr>
        <w:t>申购金额限制</w:t>
      </w:r>
    </w:p>
    <w:p w:rsidR="00F729AA" w:rsidRPr="006A2E2C" w:rsidRDefault="004B1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投资者申购本基金份额时，通过销售机构每笔申购金额不得低于</w:t>
      </w:r>
      <w:r w:rsidRPr="006A2E2C">
        <w:rPr>
          <w:kern w:val="0"/>
          <w:sz w:val="24"/>
        </w:rPr>
        <w:t>10</w:t>
      </w:r>
      <w:r w:rsidRPr="006A2E2C">
        <w:rPr>
          <w:kern w:val="0"/>
          <w:sz w:val="24"/>
        </w:rPr>
        <w:t>元</w:t>
      </w:r>
      <w:r w:rsidRPr="006A2E2C">
        <w:rPr>
          <w:kern w:val="0"/>
          <w:sz w:val="24"/>
        </w:rPr>
        <w:t>(</w:t>
      </w:r>
      <w:r w:rsidRPr="006A2E2C">
        <w:rPr>
          <w:kern w:val="0"/>
          <w:sz w:val="24"/>
        </w:rPr>
        <w:t>含申购费</w:t>
      </w:r>
      <w:r w:rsidRPr="006A2E2C">
        <w:rPr>
          <w:kern w:val="0"/>
          <w:sz w:val="24"/>
        </w:rPr>
        <w:t>)</w:t>
      </w:r>
      <w:r w:rsidRPr="006A2E2C">
        <w:rPr>
          <w:kern w:val="0"/>
          <w:sz w:val="24"/>
        </w:rPr>
        <w:t>，超过最低申购金额的部分不设金额级差；定期定额投资计划、比例配售和红利再投资不受此最低申购金额规定限制；销售机构若有不同规定，以销售机构规定为准，但不得低于</w:t>
      </w:r>
      <w:r w:rsidRPr="006A2E2C">
        <w:rPr>
          <w:kern w:val="0"/>
          <w:sz w:val="24"/>
        </w:rPr>
        <w:t>10</w:t>
      </w:r>
      <w:r w:rsidRPr="006A2E2C">
        <w:rPr>
          <w:kern w:val="0"/>
          <w:sz w:val="24"/>
        </w:rPr>
        <w:t>元的最低限额规定。</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招募说明书或相关公告。</w:t>
      </w:r>
    </w:p>
    <w:p w:rsidR="00F729AA" w:rsidRPr="006A2E2C" w:rsidRDefault="00F729AA" w:rsidP="00B71F75">
      <w:pPr>
        <w:pStyle w:val="af6"/>
        <w:spacing w:before="120" w:after="0" w:line="360" w:lineRule="auto"/>
        <w:jc w:val="both"/>
        <w:outlineLvl w:val="2"/>
        <w:rPr>
          <w:rFonts w:ascii="Times New Roman" w:hAnsi="Times New Roman"/>
          <w:b w:val="0"/>
          <w:kern w:val="0"/>
          <w:sz w:val="24"/>
          <w:szCs w:val="24"/>
        </w:rPr>
      </w:pPr>
      <w:r w:rsidRPr="006A2E2C">
        <w:rPr>
          <w:rFonts w:ascii="Times New Roman" w:hAnsi="Times New Roman"/>
          <w:b w:val="0"/>
          <w:kern w:val="0"/>
          <w:sz w:val="24"/>
          <w:szCs w:val="24"/>
        </w:rPr>
        <w:t>3.2</w:t>
      </w:r>
      <w:r w:rsidRPr="006A2E2C">
        <w:rPr>
          <w:rFonts w:ascii="Times New Roman" w:hAnsi="Times New Roman"/>
          <w:b w:val="0"/>
          <w:kern w:val="0"/>
          <w:sz w:val="24"/>
          <w:szCs w:val="24"/>
        </w:rPr>
        <w:t>申购费率</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本基金</w:t>
      </w:r>
      <w:r w:rsidRPr="006A2E2C">
        <w:rPr>
          <w:kern w:val="0"/>
          <w:sz w:val="24"/>
        </w:rPr>
        <w:t>A</w:t>
      </w:r>
      <w:r w:rsidRPr="006A2E2C">
        <w:rPr>
          <w:kern w:val="0"/>
          <w:sz w:val="24"/>
        </w:rPr>
        <w:t>类基金份额在申购时收取基金申购费用；</w:t>
      </w:r>
      <w:r w:rsidRPr="006A2E2C">
        <w:rPr>
          <w:kern w:val="0"/>
          <w:sz w:val="24"/>
        </w:rPr>
        <w:t>C</w:t>
      </w:r>
      <w:r w:rsidRPr="006A2E2C">
        <w:rPr>
          <w:kern w:val="0"/>
          <w:sz w:val="24"/>
        </w:rPr>
        <w:t>类和</w:t>
      </w:r>
      <w:r w:rsidRPr="006A2E2C">
        <w:rPr>
          <w:kern w:val="0"/>
          <w:sz w:val="24"/>
        </w:rPr>
        <w:t>D</w:t>
      </w:r>
      <w:r w:rsidRPr="006A2E2C">
        <w:rPr>
          <w:kern w:val="0"/>
          <w:sz w:val="24"/>
        </w:rPr>
        <w:t>类基金份额不收取申购费用。本基金申购费用主要用于本基金的市场推广、销售、登记等各项费用，不列入基金财产。</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本基金各类基金份额的申购费率如下：</w:t>
      </w:r>
    </w:p>
    <w:tbl>
      <w:tblPr>
        <w:tblW w:w="5000" w:type="pct"/>
        <w:jc w:val="center"/>
        <w:tblLook w:val="0000"/>
      </w:tblPr>
      <w:tblGrid>
        <w:gridCol w:w="2660"/>
        <w:gridCol w:w="2977"/>
        <w:gridCol w:w="2891"/>
      </w:tblGrid>
      <w:tr w:rsidR="006A2E2C" w:rsidRPr="006A2E2C">
        <w:trPr>
          <w:trHeight w:val="270"/>
          <w:jc w:val="center"/>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29AA" w:rsidRPr="006A2E2C" w:rsidRDefault="00F729AA" w:rsidP="00803935">
            <w:pPr>
              <w:widowControl/>
              <w:spacing w:line="276" w:lineRule="auto"/>
              <w:ind w:firstLineChars="0" w:firstLine="0"/>
              <w:jc w:val="center"/>
              <w:rPr>
                <w:kern w:val="0"/>
                <w:sz w:val="24"/>
              </w:rPr>
            </w:pPr>
            <w:r w:rsidRPr="006A2E2C">
              <w:rPr>
                <w:kern w:val="0"/>
                <w:sz w:val="24"/>
              </w:rPr>
              <w:t>单笔申购金额</w:t>
            </w:r>
            <w:r w:rsidRPr="006A2E2C">
              <w:rPr>
                <w:kern w:val="0"/>
                <w:sz w:val="24"/>
              </w:rPr>
              <w:t>M</w:t>
            </w:r>
            <w:r w:rsidRPr="006A2E2C">
              <w:rPr>
                <w:kern w:val="0"/>
                <w:sz w:val="24"/>
              </w:rPr>
              <w:t>（元）</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F729AA" w:rsidRPr="006A2E2C" w:rsidRDefault="00F729AA" w:rsidP="00803935">
            <w:pPr>
              <w:widowControl/>
              <w:spacing w:line="276" w:lineRule="auto"/>
              <w:ind w:firstLineChars="0" w:firstLine="0"/>
              <w:jc w:val="center"/>
              <w:rPr>
                <w:kern w:val="0"/>
                <w:sz w:val="24"/>
              </w:rPr>
            </w:pPr>
            <w:r w:rsidRPr="006A2E2C">
              <w:rPr>
                <w:kern w:val="0"/>
                <w:sz w:val="24"/>
              </w:rPr>
              <w:t>A</w:t>
            </w:r>
            <w:r w:rsidRPr="006A2E2C">
              <w:rPr>
                <w:kern w:val="0"/>
                <w:sz w:val="24"/>
              </w:rPr>
              <w:t>类基金份额申购费率</w:t>
            </w:r>
          </w:p>
        </w:tc>
        <w:tc>
          <w:tcPr>
            <w:tcW w:w="2891" w:type="dxa"/>
            <w:tcBorders>
              <w:top w:val="single" w:sz="4" w:space="0" w:color="auto"/>
              <w:left w:val="nil"/>
              <w:bottom w:val="single" w:sz="4" w:space="0" w:color="auto"/>
              <w:right w:val="single" w:sz="4" w:space="0" w:color="auto"/>
            </w:tcBorders>
            <w:shd w:val="clear" w:color="auto" w:fill="auto"/>
            <w:noWrap/>
            <w:vAlign w:val="center"/>
          </w:tcPr>
          <w:p w:rsidR="00F729AA" w:rsidRPr="006A2E2C" w:rsidRDefault="00F729AA" w:rsidP="00803935">
            <w:pPr>
              <w:widowControl/>
              <w:spacing w:line="276" w:lineRule="auto"/>
              <w:ind w:firstLineChars="0" w:firstLine="0"/>
              <w:jc w:val="center"/>
              <w:rPr>
                <w:kern w:val="0"/>
                <w:sz w:val="24"/>
              </w:rPr>
            </w:pPr>
            <w:r w:rsidRPr="006A2E2C">
              <w:rPr>
                <w:kern w:val="0"/>
                <w:sz w:val="24"/>
              </w:rPr>
              <w:t>C</w:t>
            </w:r>
            <w:r w:rsidRPr="006A2E2C">
              <w:rPr>
                <w:kern w:val="0"/>
                <w:sz w:val="24"/>
              </w:rPr>
              <w:t>、</w:t>
            </w:r>
            <w:r w:rsidRPr="006A2E2C">
              <w:rPr>
                <w:kern w:val="0"/>
                <w:sz w:val="24"/>
              </w:rPr>
              <w:t>D</w:t>
            </w:r>
            <w:r w:rsidRPr="006A2E2C">
              <w:rPr>
                <w:kern w:val="0"/>
                <w:sz w:val="24"/>
              </w:rPr>
              <w:t>类基金份额申购费率</w:t>
            </w:r>
          </w:p>
        </w:tc>
      </w:tr>
      <w:tr w:rsidR="006A2E2C" w:rsidRPr="006A2E2C">
        <w:trPr>
          <w:trHeight w:val="270"/>
          <w:jc w:val="center"/>
        </w:trPr>
        <w:tc>
          <w:tcPr>
            <w:tcW w:w="2660" w:type="dxa"/>
            <w:tcBorders>
              <w:top w:val="nil"/>
              <w:left w:val="single" w:sz="4" w:space="0" w:color="auto"/>
              <w:bottom w:val="single" w:sz="4" w:space="0" w:color="auto"/>
              <w:right w:val="single" w:sz="4" w:space="0" w:color="auto"/>
            </w:tcBorders>
            <w:shd w:val="clear" w:color="auto" w:fill="auto"/>
            <w:noWrap/>
            <w:vAlign w:val="center"/>
          </w:tcPr>
          <w:p w:rsidR="00F729AA" w:rsidRPr="006A2E2C" w:rsidRDefault="00F729AA">
            <w:pPr>
              <w:widowControl/>
              <w:ind w:firstLineChars="0" w:firstLine="0"/>
              <w:jc w:val="center"/>
              <w:rPr>
                <w:kern w:val="0"/>
                <w:sz w:val="24"/>
              </w:rPr>
            </w:pPr>
            <w:r w:rsidRPr="006A2E2C">
              <w:rPr>
                <w:kern w:val="0"/>
                <w:sz w:val="24"/>
              </w:rPr>
              <w:t>M</w:t>
            </w:r>
            <w:r w:rsidRPr="006A2E2C">
              <w:rPr>
                <w:kern w:val="0"/>
                <w:sz w:val="24"/>
              </w:rPr>
              <w:t>＜</w:t>
            </w:r>
            <w:r w:rsidRPr="006A2E2C">
              <w:rPr>
                <w:kern w:val="0"/>
                <w:sz w:val="24"/>
              </w:rPr>
              <w:t>100</w:t>
            </w:r>
            <w:r w:rsidRPr="006A2E2C">
              <w:rPr>
                <w:kern w:val="0"/>
                <w:sz w:val="24"/>
              </w:rPr>
              <w:t>万</w:t>
            </w:r>
          </w:p>
        </w:tc>
        <w:tc>
          <w:tcPr>
            <w:tcW w:w="2977" w:type="dxa"/>
            <w:tcBorders>
              <w:top w:val="nil"/>
              <w:left w:val="nil"/>
              <w:bottom w:val="single" w:sz="4" w:space="0" w:color="auto"/>
              <w:right w:val="single" w:sz="4" w:space="0" w:color="auto"/>
            </w:tcBorders>
            <w:shd w:val="clear" w:color="auto" w:fill="auto"/>
            <w:noWrap/>
            <w:vAlign w:val="center"/>
          </w:tcPr>
          <w:p w:rsidR="00F729AA" w:rsidRPr="006A2E2C" w:rsidRDefault="00F729AA">
            <w:pPr>
              <w:widowControl/>
              <w:ind w:firstLineChars="0" w:firstLine="0"/>
              <w:jc w:val="center"/>
              <w:rPr>
                <w:kern w:val="0"/>
                <w:sz w:val="24"/>
              </w:rPr>
            </w:pPr>
            <w:r w:rsidRPr="006A2E2C">
              <w:rPr>
                <w:kern w:val="0"/>
                <w:sz w:val="24"/>
              </w:rPr>
              <w:t>0.60%</w:t>
            </w:r>
          </w:p>
        </w:tc>
        <w:tc>
          <w:tcPr>
            <w:tcW w:w="2891" w:type="dxa"/>
            <w:vMerge w:val="restart"/>
            <w:tcBorders>
              <w:top w:val="nil"/>
              <w:left w:val="single" w:sz="4" w:space="0" w:color="auto"/>
              <w:bottom w:val="single" w:sz="4" w:space="0" w:color="auto"/>
              <w:right w:val="single" w:sz="4" w:space="0" w:color="auto"/>
            </w:tcBorders>
            <w:shd w:val="clear" w:color="auto" w:fill="auto"/>
            <w:noWrap/>
            <w:vAlign w:val="center"/>
          </w:tcPr>
          <w:p w:rsidR="00F729AA" w:rsidRPr="006A2E2C" w:rsidRDefault="00F729AA">
            <w:pPr>
              <w:widowControl/>
              <w:ind w:firstLineChars="0" w:firstLine="0"/>
              <w:jc w:val="center"/>
              <w:rPr>
                <w:kern w:val="0"/>
                <w:sz w:val="24"/>
              </w:rPr>
            </w:pPr>
            <w:r w:rsidRPr="006A2E2C">
              <w:rPr>
                <w:kern w:val="0"/>
                <w:sz w:val="24"/>
              </w:rPr>
              <w:t>0</w:t>
            </w:r>
          </w:p>
        </w:tc>
      </w:tr>
      <w:tr w:rsidR="006A2E2C" w:rsidRPr="006A2E2C">
        <w:trPr>
          <w:trHeight w:val="270"/>
          <w:jc w:val="center"/>
        </w:trPr>
        <w:tc>
          <w:tcPr>
            <w:tcW w:w="2660" w:type="dxa"/>
            <w:tcBorders>
              <w:top w:val="nil"/>
              <w:left w:val="single" w:sz="4" w:space="0" w:color="auto"/>
              <w:bottom w:val="single" w:sz="4" w:space="0" w:color="auto"/>
              <w:right w:val="single" w:sz="4" w:space="0" w:color="auto"/>
            </w:tcBorders>
            <w:shd w:val="clear" w:color="auto" w:fill="auto"/>
            <w:noWrap/>
            <w:vAlign w:val="center"/>
          </w:tcPr>
          <w:p w:rsidR="00F729AA" w:rsidRPr="006A2E2C" w:rsidRDefault="00F729AA">
            <w:pPr>
              <w:widowControl/>
              <w:ind w:firstLineChars="0" w:firstLine="0"/>
              <w:jc w:val="center"/>
              <w:rPr>
                <w:kern w:val="0"/>
                <w:sz w:val="24"/>
              </w:rPr>
            </w:pPr>
            <w:r w:rsidRPr="006A2E2C">
              <w:rPr>
                <w:kern w:val="0"/>
                <w:sz w:val="24"/>
              </w:rPr>
              <w:t>100</w:t>
            </w:r>
            <w:r w:rsidRPr="006A2E2C">
              <w:rPr>
                <w:kern w:val="0"/>
                <w:sz w:val="24"/>
              </w:rPr>
              <w:t>万</w:t>
            </w:r>
            <w:r w:rsidRPr="006A2E2C">
              <w:rPr>
                <w:kern w:val="0"/>
                <w:sz w:val="24"/>
              </w:rPr>
              <w:t>≤M</w:t>
            </w:r>
            <w:r w:rsidRPr="006A2E2C">
              <w:rPr>
                <w:kern w:val="0"/>
                <w:sz w:val="24"/>
              </w:rPr>
              <w:t>＜</w:t>
            </w:r>
            <w:r w:rsidRPr="006A2E2C">
              <w:rPr>
                <w:kern w:val="0"/>
                <w:sz w:val="24"/>
              </w:rPr>
              <w:t>200</w:t>
            </w:r>
            <w:r w:rsidRPr="006A2E2C">
              <w:rPr>
                <w:kern w:val="0"/>
                <w:sz w:val="24"/>
              </w:rPr>
              <w:t>万</w:t>
            </w:r>
          </w:p>
        </w:tc>
        <w:tc>
          <w:tcPr>
            <w:tcW w:w="2977" w:type="dxa"/>
            <w:tcBorders>
              <w:top w:val="nil"/>
              <w:left w:val="nil"/>
              <w:bottom w:val="single" w:sz="4" w:space="0" w:color="auto"/>
              <w:right w:val="single" w:sz="4" w:space="0" w:color="auto"/>
            </w:tcBorders>
            <w:shd w:val="clear" w:color="auto" w:fill="auto"/>
            <w:noWrap/>
            <w:vAlign w:val="center"/>
          </w:tcPr>
          <w:p w:rsidR="00F729AA" w:rsidRPr="006A2E2C" w:rsidRDefault="00F729AA">
            <w:pPr>
              <w:widowControl/>
              <w:ind w:firstLineChars="0" w:firstLine="0"/>
              <w:jc w:val="center"/>
              <w:rPr>
                <w:kern w:val="0"/>
                <w:sz w:val="24"/>
              </w:rPr>
            </w:pPr>
            <w:r w:rsidRPr="006A2E2C">
              <w:rPr>
                <w:kern w:val="0"/>
                <w:sz w:val="24"/>
              </w:rPr>
              <w:t>0.40%</w:t>
            </w:r>
          </w:p>
        </w:tc>
        <w:tc>
          <w:tcPr>
            <w:tcW w:w="2891" w:type="dxa"/>
            <w:vMerge/>
            <w:tcBorders>
              <w:top w:val="nil"/>
              <w:left w:val="single" w:sz="4" w:space="0" w:color="auto"/>
              <w:bottom w:val="single" w:sz="4" w:space="0" w:color="auto"/>
              <w:right w:val="single" w:sz="4" w:space="0" w:color="auto"/>
            </w:tcBorders>
            <w:vAlign w:val="center"/>
          </w:tcPr>
          <w:p w:rsidR="00F729AA" w:rsidRPr="006A2E2C" w:rsidRDefault="00F729AA">
            <w:pPr>
              <w:ind w:firstLine="420"/>
            </w:pPr>
          </w:p>
        </w:tc>
      </w:tr>
      <w:tr w:rsidR="006A2E2C" w:rsidRPr="006A2E2C">
        <w:trPr>
          <w:trHeight w:val="270"/>
          <w:jc w:val="center"/>
        </w:trPr>
        <w:tc>
          <w:tcPr>
            <w:tcW w:w="2660" w:type="dxa"/>
            <w:tcBorders>
              <w:top w:val="nil"/>
              <w:left w:val="single" w:sz="4" w:space="0" w:color="auto"/>
              <w:bottom w:val="single" w:sz="4" w:space="0" w:color="auto"/>
              <w:right w:val="single" w:sz="4" w:space="0" w:color="auto"/>
            </w:tcBorders>
            <w:shd w:val="clear" w:color="auto" w:fill="auto"/>
            <w:noWrap/>
            <w:vAlign w:val="center"/>
          </w:tcPr>
          <w:p w:rsidR="00F729AA" w:rsidRPr="006A2E2C" w:rsidRDefault="00F729AA">
            <w:pPr>
              <w:widowControl/>
              <w:ind w:firstLineChars="0" w:firstLine="0"/>
              <w:jc w:val="center"/>
              <w:rPr>
                <w:kern w:val="0"/>
                <w:sz w:val="24"/>
              </w:rPr>
            </w:pPr>
            <w:r w:rsidRPr="006A2E2C">
              <w:rPr>
                <w:kern w:val="0"/>
                <w:sz w:val="24"/>
              </w:rPr>
              <w:t>200</w:t>
            </w:r>
            <w:r w:rsidRPr="006A2E2C">
              <w:rPr>
                <w:kern w:val="0"/>
                <w:sz w:val="24"/>
              </w:rPr>
              <w:t>万</w:t>
            </w:r>
            <w:r w:rsidRPr="006A2E2C">
              <w:rPr>
                <w:kern w:val="0"/>
                <w:sz w:val="24"/>
              </w:rPr>
              <w:t>≤M</w:t>
            </w:r>
            <w:r w:rsidRPr="006A2E2C">
              <w:rPr>
                <w:kern w:val="0"/>
                <w:sz w:val="24"/>
              </w:rPr>
              <w:t>＜</w:t>
            </w:r>
            <w:r w:rsidRPr="006A2E2C">
              <w:rPr>
                <w:kern w:val="0"/>
                <w:sz w:val="24"/>
              </w:rPr>
              <w:t>500</w:t>
            </w:r>
            <w:r w:rsidRPr="006A2E2C">
              <w:rPr>
                <w:kern w:val="0"/>
                <w:sz w:val="24"/>
              </w:rPr>
              <w:t>万</w:t>
            </w:r>
          </w:p>
        </w:tc>
        <w:tc>
          <w:tcPr>
            <w:tcW w:w="2977" w:type="dxa"/>
            <w:tcBorders>
              <w:top w:val="nil"/>
              <w:left w:val="nil"/>
              <w:bottom w:val="single" w:sz="4" w:space="0" w:color="auto"/>
              <w:right w:val="single" w:sz="4" w:space="0" w:color="auto"/>
            </w:tcBorders>
            <w:shd w:val="clear" w:color="auto" w:fill="auto"/>
            <w:noWrap/>
            <w:vAlign w:val="center"/>
          </w:tcPr>
          <w:p w:rsidR="00F729AA" w:rsidRPr="006A2E2C" w:rsidRDefault="00F729AA">
            <w:pPr>
              <w:widowControl/>
              <w:ind w:firstLineChars="0" w:firstLine="0"/>
              <w:jc w:val="center"/>
              <w:rPr>
                <w:kern w:val="0"/>
                <w:sz w:val="24"/>
              </w:rPr>
            </w:pPr>
            <w:r w:rsidRPr="006A2E2C">
              <w:rPr>
                <w:kern w:val="0"/>
                <w:sz w:val="24"/>
              </w:rPr>
              <w:t>0.20%</w:t>
            </w:r>
          </w:p>
        </w:tc>
        <w:tc>
          <w:tcPr>
            <w:tcW w:w="2891" w:type="dxa"/>
            <w:vMerge/>
            <w:tcBorders>
              <w:top w:val="nil"/>
              <w:left w:val="single" w:sz="4" w:space="0" w:color="auto"/>
              <w:bottom w:val="single" w:sz="4" w:space="0" w:color="auto"/>
              <w:right w:val="single" w:sz="4" w:space="0" w:color="auto"/>
            </w:tcBorders>
            <w:vAlign w:val="center"/>
          </w:tcPr>
          <w:p w:rsidR="00F729AA" w:rsidRPr="006A2E2C" w:rsidRDefault="00F729AA">
            <w:pPr>
              <w:ind w:firstLine="420"/>
            </w:pPr>
          </w:p>
        </w:tc>
      </w:tr>
      <w:tr w:rsidR="006A2E2C" w:rsidRPr="006A2E2C">
        <w:trPr>
          <w:trHeight w:val="270"/>
          <w:jc w:val="center"/>
        </w:trPr>
        <w:tc>
          <w:tcPr>
            <w:tcW w:w="2660" w:type="dxa"/>
            <w:tcBorders>
              <w:top w:val="nil"/>
              <w:left w:val="single" w:sz="4" w:space="0" w:color="auto"/>
              <w:bottom w:val="single" w:sz="4" w:space="0" w:color="auto"/>
              <w:right w:val="single" w:sz="4" w:space="0" w:color="auto"/>
            </w:tcBorders>
            <w:shd w:val="clear" w:color="auto" w:fill="auto"/>
            <w:noWrap/>
            <w:vAlign w:val="center"/>
          </w:tcPr>
          <w:p w:rsidR="00F729AA" w:rsidRPr="006A2E2C" w:rsidRDefault="00F729AA">
            <w:pPr>
              <w:widowControl/>
              <w:ind w:firstLineChars="0" w:firstLine="0"/>
              <w:jc w:val="center"/>
              <w:rPr>
                <w:kern w:val="0"/>
                <w:sz w:val="24"/>
              </w:rPr>
            </w:pPr>
            <w:r w:rsidRPr="006A2E2C">
              <w:rPr>
                <w:kern w:val="0"/>
                <w:sz w:val="24"/>
              </w:rPr>
              <w:t>M≥500</w:t>
            </w:r>
            <w:r w:rsidRPr="006A2E2C">
              <w:rPr>
                <w:kern w:val="0"/>
                <w:sz w:val="24"/>
              </w:rPr>
              <w:t>万</w:t>
            </w:r>
          </w:p>
        </w:tc>
        <w:tc>
          <w:tcPr>
            <w:tcW w:w="2977" w:type="dxa"/>
            <w:tcBorders>
              <w:top w:val="nil"/>
              <w:left w:val="nil"/>
              <w:bottom w:val="single" w:sz="4" w:space="0" w:color="auto"/>
              <w:right w:val="single" w:sz="4" w:space="0" w:color="auto"/>
            </w:tcBorders>
            <w:shd w:val="clear" w:color="auto" w:fill="auto"/>
            <w:noWrap/>
            <w:vAlign w:val="center"/>
          </w:tcPr>
          <w:p w:rsidR="00F729AA" w:rsidRPr="006A2E2C" w:rsidRDefault="00F729AA">
            <w:pPr>
              <w:widowControl/>
              <w:ind w:firstLineChars="0" w:firstLine="0"/>
              <w:jc w:val="center"/>
              <w:rPr>
                <w:kern w:val="0"/>
                <w:sz w:val="24"/>
              </w:rPr>
            </w:pPr>
            <w:r w:rsidRPr="006A2E2C">
              <w:rPr>
                <w:kern w:val="0"/>
                <w:sz w:val="24"/>
              </w:rPr>
              <w:t>每次</w:t>
            </w:r>
            <w:r w:rsidRPr="006A2E2C">
              <w:rPr>
                <w:kern w:val="0"/>
                <w:sz w:val="24"/>
              </w:rPr>
              <w:t>1000</w:t>
            </w:r>
            <w:r w:rsidRPr="006A2E2C">
              <w:rPr>
                <w:kern w:val="0"/>
                <w:sz w:val="24"/>
              </w:rPr>
              <w:t>元</w:t>
            </w:r>
          </w:p>
        </w:tc>
        <w:tc>
          <w:tcPr>
            <w:tcW w:w="2891" w:type="dxa"/>
            <w:vMerge/>
            <w:tcBorders>
              <w:top w:val="nil"/>
              <w:left w:val="single" w:sz="4" w:space="0" w:color="auto"/>
              <w:bottom w:val="single" w:sz="4" w:space="0" w:color="auto"/>
              <w:right w:val="single" w:sz="4" w:space="0" w:color="auto"/>
            </w:tcBorders>
            <w:vAlign w:val="center"/>
          </w:tcPr>
          <w:p w:rsidR="00F729AA" w:rsidRPr="006A2E2C" w:rsidRDefault="00F729AA">
            <w:pPr>
              <w:ind w:firstLine="420"/>
            </w:pPr>
          </w:p>
        </w:tc>
      </w:tr>
    </w:tbl>
    <w:p w:rsidR="00F729AA" w:rsidRPr="006A2E2C" w:rsidRDefault="00F729AA" w:rsidP="00361B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480"/>
        <w:rPr>
          <w:kern w:val="0"/>
          <w:sz w:val="24"/>
        </w:rPr>
      </w:pPr>
      <w:r w:rsidRPr="006A2E2C">
        <w:rPr>
          <w:kern w:val="0"/>
          <w:sz w:val="24"/>
        </w:rPr>
        <w:t>投资人同日或异日多次申购，须按每次申购所对应的费率档次分别计费。当需要采取比例配售方式对有效申购金额进行部分确认时，投资人申购费率按照申购申请确认金额所对应的费率计算，申购申请确认金额不受申购最低限额的限制。</w:t>
      </w:r>
    </w:p>
    <w:p w:rsidR="00CF70AE" w:rsidRPr="006A2E2C" w:rsidRDefault="00CF70AE" w:rsidP="00BF74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480"/>
        <w:rPr>
          <w:kern w:val="0"/>
          <w:sz w:val="24"/>
        </w:rPr>
      </w:pPr>
      <w:r w:rsidRPr="006A2E2C">
        <w:rPr>
          <w:sz w:val="24"/>
        </w:rPr>
        <w:t>本基金参加各销售机构发起的基金申购费率优惠活动，具体费率优惠方案以销售机构的安排为准，请关注销售机构公告或询问销售机构。</w:t>
      </w:r>
    </w:p>
    <w:p w:rsidR="00F729AA" w:rsidRPr="006A2E2C" w:rsidRDefault="00F729AA">
      <w:pPr>
        <w:pStyle w:val="af6"/>
        <w:spacing w:line="360" w:lineRule="auto"/>
        <w:jc w:val="both"/>
        <w:outlineLvl w:val="2"/>
        <w:rPr>
          <w:rFonts w:ascii="Times New Roman" w:hAnsi="Times New Roman"/>
          <w:kern w:val="0"/>
          <w:sz w:val="24"/>
          <w:szCs w:val="24"/>
        </w:rPr>
      </w:pPr>
      <w:r w:rsidRPr="006A2E2C">
        <w:rPr>
          <w:rFonts w:ascii="Times New Roman" w:hAnsi="Times New Roman"/>
          <w:kern w:val="0"/>
          <w:sz w:val="24"/>
          <w:szCs w:val="24"/>
        </w:rPr>
        <w:t xml:space="preserve">4 </w:t>
      </w:r>
      <w:r w:rsidRPr="006A2E2C">
        <w:rPr>
          <w:rFonts w:ascii="Times New Roman" w:hAnsi="Times New Roman"/>
          <w:kern w:val="0"/>
          <w:sz w:val="24"/>
          <w:szCs w:val="24"/>
        </w:rPr>
        <w:t>赎回业务</w:t>
      </w:r>
    </w:p>
    <w:p w:rsidR="00F729AA" w:rsidRPr="006A2E2C" w:rsidRDefault="00F729AA" w:rsidP="00B71F75">
      <w:pPr>
        <w:pStyle w:val="af6"/>
        <w:spacing w:before="120" w:after="0" w:line="360" w:lineRule="auto"/>
        <w:jc w:val="both"/>
        <w:outlineLvl w:val="2"/>
        <w:rPr>
          <w:rFonts w:ascii="Times New Roman" w:hAnsi="Times New Roman"/>
          <w:b w:val="0"/>
          <w:kern w:val="0"/>
          <w:sz w:val="24"/>
          <w:szCs w:val="24"/>
        </w:rPr>
      </w:pPr>
      <w:r w:rsidRPr="006A2E2C">
        <w:rPr>
          <w:rFonts w:ascii="Times New Roman" w:hAnsi="Times New Roman"/>
          <w:b w:val="0"/>
          <w:kern w:val="0"/>
          <w:sz w:val="24"/>
          <w:szCs w:val="24"/>
        </w:rPr>
        <w:t>4.1</w:t>
      </w:r>
      <w:r w:rsidRPr="006A2E2C">
        <w:rPr>
          <w:rFonts w:ascii="Times New Roman" w:hAnsi="Times New Roman"/>
          <w:b w:val="0"/>
          <w:kern w:val="0"/>
          <w:sz w:val="24"/>
          <w:szCs w:val="24"/>
        </w:rPr>
        <w:t>赎回份额限制</w:t>
      </w:r>
    </w:p>
    <w:p w:rsidR="00F729AA" w:rsidRPr="006A2E2C" w:rsidRDefault="004B1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投资者赎回本基金份额时，可申请将其持有的部分或全部基金份额赎回。本基金的投资者每个交易账户的最低基金份额余额和每笔最低赎回份额均为</w:t>
      </w:r>
      <w:r w:rsidRPr="006A2E2C">
        <w:rPr>
          <w:kern w:val="0"/>
          <w:sz w:val="24"/>
        </w:rPr>
        <w:t>10</w:t>
      </w:r>
      <w:r w:rsidRPr="006A2E2C">
        <w:rPr>
          <w:kern w:val="0"/>
          <w:sz w:val="24"/>
        </w:rPr>
        <w:t>份。销售机构若有不同规定，以销售机构规定为准，但不得低于</w:t>
      </w:r>
      <w:r w:rsidRPr="006A2E2C">
        <w:rPr>
          <w:kern w:val="0"/>
          <w:sz w:val="24"/>
        </w:rPr>
        <w:t>10</w:t>
      </w:r>
      <w:r w:rsidRPr="006A2E2C">
        <w:rPr>
          <w:kern w:val="0"/>
          <w:sz w:val="24"/>
        </w:rPr>
        <w:t>份的最低限额规定。如遇巨额赎回等情况发生而导致延期赎回时，赎回办理和款项支付的办法将参照基金合同有关巨额赎回或连续巨额赎回的条款处理。</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基金管理人可以根据市场情况，在法律法规允许的情况下，调整上述规定申购金额和赎回份额的数量限制。基金管理人必须在调整前依照《信息披露办法》的有关规定在指定媒介上公告。</w:t>
      </w:r>
    </w:p>
    <w:p w:rsidR="00F729AA" w:rsidRPr="006A2E2C" w:rsidRDefault="00F729AA" w:rsidP="00B71F75">
      <w:pPr>
        <w:pStyle w:val="af6"/>
        <w:spacing w:before="120" w:after="0" w:line="360" w:lineRule="auto"/>
        <w:jc w:val="both"/>
        <w:outlineLvl w:val="2"/>
        <w:rPr>
          <w:rFonts w:ascii="Times New Roman" w:hAnsi="Times New Roman"/>
          <w:b w:val="0"/>
          <w:kern w:val="0"/>
          <w:sz w:val="24"/>
          <w:szCs w:val="24"/>
        </w:rPr>
      </w:pPr>
      <w:r w:rsidRPr="006A2E2C">
        <w:rPr>
          <w:rFonts w:ascii="Times New Roman" w:hAnsi="Times New Roman"/>
          <w:b w:val="0"/>
          <w:kern w:val="0"/>
          <w:sz w:val="24"/>
          <w:szCs w:val="24"/>
        </w:rPr>
        <w:t>4.2</w:t>
      </w:r>
      <w:r w:rsidRPr="006A2E2C">
        <w:rPr>
          <w:rFonts w:ascii="Times New Roman" w:hAnsi="Times New Roman"/>
          <w:b w:val="0"/>
          <w:kern w:val="0"/>
          <w:sz w:val="24"/>
          <w:szCs w:val="24"/>
        </w:rPr>
        <w:t>赎回费率</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kern w:val="0"/>
          <w:sz w:val="24"/>
        </w:rPr>
      </w:pPr>
      <w:r w:rsidRPr="006A2E2C">
        <w:rPr>
          <w:kern w:val="0"/>
          <w:sz w:val="24"/>
        </w:rPr>
        <w:t>本基金具体赎回费率如下表所示：</w:t>
      </w:r>
      <w:r w:rsidRPr="006A2E2C">
        <w:rPr>
          <w:kern w:val="0"/>
          <w:sz w:val="24"/>
        </w:rPr>
        <w:t xml:space="preserve"> </w:t>
      </w:r>
    </w:p>
    <w:tbl>
      <w:tblPr>
        <w:tblpPr w:leftFromText="180" w:rightFromText="180" w:vertAnchor="text" w:horzAnchor="margin" w:tblpXSpec="center" w:tblpY="41"/>
        <w:tblW w:w="8330" w:type="dxa"/>
        <w:tblLook w:val="0000"/>
      </w:tblPr>
      <w:tblGrid>
        <w:gridCol w:w="3936"/>
        <w:gridCol w:w="2268"/>
        <w:gridCol w:w="2126"/>
      </w:tblGrid>
      <w:tr w:rsidR="006A2E2C" w:rsidRPr="006A2E2C">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29AA" w:rsidRPr="006A2E2C" w:rsidRDefault="00587056" w:rsidP="00803935">
            <w:pPr>
              <w:widowControl/>
              <w:snapToGrid w:val="0"/>
              <w:spacing w:line="276" w:lineRule="auto"/>
              <w:ind w:firstLineChars="0" w:firstLine="0"/>
              <w:jc w:val="center"/>
              <w:rPr>
                <w:kern w:val="0"/>
                <w:sz w:val="24"/>
              </w:rPr>
            </w:pPr>
            <w:r w:rsidRPr="006A2E2C">
              <w:rPr>
                <w:kern w:val="0"/>
                <w:sz w:val="24"/>
              </w:rPr>
              <w:t>申请份额持有时间</w:t>
            </w:r>
            <w:r w:rsidRPr="006A2E2C">
              <w:rPr>
                <w:kern w:val="0"/>
                <w:sz w:val="24"/>
              </w:rPr>
              <w:t>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A</w:t>
            </w:r>
            <w:r w:rsidRPr="006A2E2C">
              <w:rPr>
                <w:kern w:val="0"/>
                <w:sz w:val="24"/>
              </w:rPr>
              <w:t>类基金份额赎回费率</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C</w:t>
            </w:r>
            <w:r w:rsidRPr="006A2E2C">
              <w:rPr>
                <w:kern w:val="0"/>
                <w:sz w:val="24"/>
              </w:rPr>
              <w:t>、</w:t>
            </w:r>
            <w:r w:rsidRPr="006A2E2C">
              <w:rPr>
                <w:kern w:val="0"/>
                <w:sz w:val="24"/>
              </w:rPr>
              <w:t>D</w:t>
            </w:r>
            <w:r w:rsidRPr="006A2E2C">
              <w:rPr>
                <w:kern w:val="0"/>
                <w:sz w:val="24"/>
              </w:rPr>
              <w:t>类基金份额赎回费率</w:t>
            </w:r>
          </w:p>
        </w:tc>
      </w:tr>
      <w:tr w:rsidR="006A2E2C" w:rsidRPr="006A2E2C">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29AA" w:rsidRPr="006A2E2C" w:rsidRDefault="000A1A22" w:rsidP="00803935">
            <w:pPr>
              <w:widowControl/>
              <w:snapToGrid w:val="0"/>
              <w:spacing w:line="276" w:lineRule="auto"/>
              <w:ind w:firstLineChars="0" w:firstLine="0"/>
              <w:jc w:val="center"/>
              <w:rPr>
                <w:kern w:val="0"/>
                <w:sz w:val="24"/>
              </w:rPr>
            </w:pPr>
            <w:r w:rsidRPr="006A2E2C">
              <w:rPr>
                <w:kern w:val="0"/>
                <w:sz w:val="24"/>
              </w:rPr>
              <w:t>T</w:t>
            </w:r>
            <w:r w:rsidRPr="006A2E2C">
              <w:rPr>
                <w:kern w:val="0"/>
                <w:sz w:val="24"/>
              </w:rPr>
              <w:t>＜</w:t>
            </w:r>
            <w:r w:rsidRPr="006A2E2C">
              <w:rPr>
                <w:kern w:val="0"/>
                <w:sz w:val="24"/>
              </w:rPr>
              <w:t>7</w:t>
            </w:r>
            <w:r w:rsidRPr="006A2E2C">
              <w:rPr>
                <w:kern w:val="0"/>
                <w:sz w:val="24"/>
              </w:rPr>
              <w:t>天</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1.50%</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1.50%</w:t>
            </w:r>
          </w:p>
        </w:tc>
      </w:tr>
      <w:tr w:rsidR="006A2E2C" w:rsidRPr="006A2E2C">
        <w:trPr>
          <w:trHeight w:val="255"/>
        </w:trPr>
        <w:tc>
          <w:tcPr>
            <w:tcW w:w="3936" w:type="dxa"/>
            <w:tcBorders>
              <w:top w:val="nil"/>
              <w:left w:val="single" w:sz="4" w:space="0" w:color="auto"/>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rPr>
                <w:kern w:val="0"/>
                <w:sz w:val="24"/>
              </w:rPr>
            </w:pPr>
            <w:r w:rsidRPr="006A2E2C">
              <w:rPr>
                <w:kern w:val="0"/>
                <w:sz w:val="24"/>
              </w:rPr>
              <w:t>在同一开放期内申购后又赎回的份额</w:t>
            </w:r>
            <w:r w:rsidR="000A1A22" w:rsidRPr="006A2E2C">
              <w:rPr>
                <w:kern w:val="0"/>
                <w:sz w:val="24"/>
              </w:rPr>
              <w:t>T≥7</w:t>
            </w:r>
            <w:r w:rsidR="000A1A22" w:rsidRPr="006A2E2C">
              <w:rPr>
                <w:kern w:val="0"/>
                <w:sz w:val="24"/>
              </w:rPr>
              <w:t>天</w:t>
            </w:r>
          </w:p>
        </w:tc>
        <w:tc>
          <w:tcPr>
            <w:tcW w:w="2268" w:type="dxa"/>
            <w:tcBorders>
              <w:top w:val="nil"/>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0.90%</w:t>
            </w:r>
          </w:p>
        </w:tc>
        <w:tc>
          <w:tcPr>
            <w:tcW w:w="2126" w:type="dxa"/>
            <w:tcBorders>
              <w:top w:val="nil"/>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0.90%</w:t>
            </w:r>
          </w:p>
        </w:tc>
      </w:tr>
      <w:tr w:rsidR="006A2E2C" w:rsidRPr="006A2E2C">
        <w:trPr>
          <w:trHeight w:val="255"/>
        </w:trPr>
        <w:tc>
          <w:tcPr>
            <w:tcW w:w="3936" w:type="dxa"/>
            <w:tcBorders>
              <w:top w:val="nil"/>
              <w:left w:val="single" w:sz="4" w:space="0" w:color="auto"/>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rPr>
                <w:kern w:val="0"/>
                <w:sz w:val="24"/>
              </w:rPr>
            </w:pPr>
            <w:r w:rsidRPr="006A2E2C">
              <w:rPr>
                <w:kern w:val="0"/>
                <w:sz w:val="24"/>
              </w:rPr>
              <w:t>认购或在某一开放期申购并在下一开放期赎回的份额</w:t>
            </w:r>
          </w:p>
        </w:tc>
        <w:tc>
          <w:tcPr>
            <w:tcW w:w="2268" w:type="dxa"/>
            <w:tcBorders>
              <w:top w:val="nil"/>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0.05%</w:t>
            </w:r>
          </w:p>
        </w:tc>
        <w:tc>
          <w:tcPr>
            <w:tcW w:w="2126" w:type="dxa"/>
            <w:tcBorders>
              <w:top w:val="nil"/>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0</w:t>
            </w:r>
          </w:p>
        </w:tc>
      </w:tr>
      <w:tr w:rsidR="006A2E2C" w:rsidRPr="006A2E2C">
        <w:trPr>
          <w:trHeight w:val="255"/>
        </w:trPr>
        <w:tc>
          <w:tcPr>
            <w:tcW w:w="3936" w:type="dxa"/>
            <w:tcBorders>
              <w:top w:val="nil"/>
              <w:left w:val="single" w:sz="4" w:space="0" w:color="auto"/>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rPr>
                <w:kern w:val="0"/>
                <w:sz w:val="24"/>
              </w:rPr>
            </w:pPr>
            <w:r w:rsidRPr="006A2E2C">
              <w:rPr>
                <w:kern w:val="0"/>
                <w:sz w:val="24"/>
              </w:rPr>
              <w:t>认购或在某一开放期申购，且在下一个开放期未赎回，而是在下一个开放期其后的开放期赎回的份额</w:t>
            </w:r>
          </w:p>
        </w:tc>
        <w:tc>
          <w:tcPr>
            <w:tcW w:w="2268" w:type="dxa"/>
            <w:tcBorders>
              <w:top w:val="nil"/>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0</w:t>
            </w:r>
          </w:p>
        </w:tc>
        <w:tc>
          <w:tcPr>
            <w:tcW w:w="2126" w:type="dxa"/>
            <w:tcBorders>
              <w:top w:val="nil"/>
              <w:left w:val="nil"/>
              <w:bottom w:val="single" w:sz="4" w:space="0" w:color="auto"/>
              <w:right w:val="single" w:sz="4" w:space="0" w:color="auto"/>
            </w:tcBorders>
            <w:shd w:val="clear" w:color="auto" w:fill="auto"/>
            <w:noWrap/>
            <w:vAlign w:val="center"/>
          </w:tcPr>
          <w:p w:rsidR="00F729AA" w:rsidRPr="006A2E2C" w:rsidRDefault="00F729AA" w:rsidP="00803935">
            <w:pPr>
              <w:widowControl/>
              <w:snapToGrid w:val="0"/>
              <w:spacing w:line="276" w:lineRule="auto"/>
              <w:ind w:firstLineChars="0" w:firstLine="0"/>
              <w:jc w:val="center"/>
              <w:rPr>
                <w:kern w:val="0"/>
                <w:sz w:val="24"/>
              </w:rPr>
            </w:pPr>
            <w:r w:rsidRPr="006A2E2C">
              <w:rPr>
                <w:kern w:val="0"/>
                <w:sz w:val="24"/>
              </w:rPr>
              <w:t>0</w:t>
            </w:r>
          </w:p>
        </w:tc>
      </w:tr>
    </w:tbl>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赎回费用由赎回基金份额的基金份额持有人承担，在基金份额持有人赎回基金份额时收取。本基金对持续持有期少于</w:t>
      </w:r>
      <w:r w:rsidRPr="006A2E2C">
        <w:rPr>
          <w:kern w:val="0"/>
          <w:sz w:val="24"/>
        </w:rPr>
        <w:t>7</w:t>
      </w:r>
      <w:r w:rsidRPr="006A2E2C">
        <w:rPr>
          <w:kern w:val="0"/>
          <w:sz w:val="24"/>
        </w:rPr>
        <w:t>日的投资者，收取不少于</w:t>
      </w:r>
      <w:r w:rsidRPr="006A2E2C">
        <w:rPr>
          <w:kern w:val="0"/>
          <w:sz w:val="24"/>
        </w:rPr>
        <w:t>1.5%</w:t>
      </w:r>
      <w:r w:rsidRPr="006A2E2C">
        <w:rPr>
          <w:kern w:val="0"/>
          <w:sz w:val="24"/>
        </w:rPr>
        <w:t>的赎回费并全额计入基金财产；对持续持有期不少于</w:t>
      </w:r>
      <w:r w:rsidRPr="006A2E2C">
        <w:rPr>
          <w:kern w:val="0"/>
          <w:sz w:val="24"/>
        </w:rPr>
        <w:t>7</w:t>
      </w:r>
      <w:r w:rsidRPr="006A2E2C">
        <w:rPr>
          <w:kern w:val="0"/>
          <w:sz w:val="24"/>
        </w:rPr>
        <w:t>日的投资者，不低于赎回费总额的</w:t>
      </w:r>
      <w:r w:rsidRPr="006A2E2C">
        <w:rPr>
          <w:kern w:val="0"/>
          <w:sz w:val="24"/>
        </w:rPr>
        <w:t>25%</w:t>
      </w:r>
      <w:r w:rsidRPr="006A2E2C">
        <w:rPr>
          <w:kern w:val="0"/>
          <w:sz w:val="24"/>
        </w:rPr>
        <w:t>应归基金财产，未归入基金财产的部分用于支付登记费和其他必要的手续费。</w:t>
      </w:r>
    </w:p>
    <w:p w:rsidR="00F729AA" w:rsidRPr="006A2E2C" w:rsidRDefault="00F729AA" w:rsidP="00B71F75">
      <w:pPr>
        <w:pStyle w:val="af6"/>
        <w:spacing w:before="120" w:after="0" w:line="360" w:lineRule="auto"/>
        <w:jc w:val="both"/>
        <w:outlineLvl w:val="2"/>
        <w:rPr>
          <w:rFonts w:ascii="Times New Roman" w:hAnsi="Times New Roman"/>
          <w:b w:val="0"/>
          <w:kern w:val="0"/>
          <w:sz w:val="24"/>
          <w:szCs w:val="24"/>
        </w:rPr>
      </w:pPr>
      <w:r w:rsidRPr="006A2E2C">
        <w:rPr>
          <w:rFonts w:ascii="Times New Roman" w:hAnsi="Times New Roman"/>
          <w:b w:val="0"/>
          <w:kern w:val="0"/>
          <w:sz w:val="24"/>
          <w:szCs w:val="24"/>
        </w:rPr>
        <w:t>4.3</w:t>
      </w:r>
      <w:r w:rsidRPr="006A2E2C">
        <w:rPr>
          <w:rFonts w:ascii="Times New Roman" w:hAnsi="Times New Roman"/>
          <w:b w:val="0"/>
          <w:kern w:val="0"/>
          <w:sz w:val="24"/>
          <w:szCs w:val="24"/>
        </w:rPr>
        <w:t>其他与赎回相关的事项</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基金管理人可以根据《基金合同》的相关约定调整费率或收费方式，基金管理人最迟应于新的费率或收费方式实施日前依照《信息披露办法》的有关规定在至少一家指定媒介公告。</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基金管理人可以在不违背法律法规规定及《基金合同》约定的情形下根据市场情况制定基金促销计划，针对以特定交易方式（如网上交易、电话交易等）等进行基金交易的投资者定期或不定期地开展基金促销活动。在基金促销活动期间，按相关监管部门要求履行相关手续后基金管理人可以适当调低基金申购费率和基金赎回费率。</w:t>
      </w:r>
    </w:p>
    <w:p w:rsidR="007A31C6" w:rsidRPr="006A2E2C" w:rsidRDefault="007A3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当本基金发生大额申购或赎回情形时，基金管理人可在履行适当程序后，采用摆动定价机制，以确保基金估值的公平性，摆动定价机制的处理原则与操作规范参见法律法规和自律组织的规定。</w:t>
      </w:r>
    </w:p>
    <w:p w:rsidR="00F729AA" w:rsidRPr="006A2E2C" w:rsidRDefault="00F729AA">
      <w:pPr>
        <w:pStyle w:val="af6"/>
        <w:spacing w:line="360" w:lineRule="auto"/>
        <w:jc w:val="both"/>
        <w:outlineLvl w:val="2"/>
        <w:rPr>
          <w:rFonts w:ascii="Times New Roman" w:hAnsi="Times New Roman"/>
          <w:kern w:val="0"/>
          <w:sz w:val="24"/>
          <w:szCs w:val="24"/>
        </w:rPr>
      </w:pPr>
      <w:r w:rsidRPr="006A2E2C">
        <w:rPr>
          <w:rFonts w:ascii="Times New Roman" w:hAnsi="Times New Roman"/>
          <w:kern w:val="0"/>
          <w:sz w:val="24"/>
          <w:szCs w:val="24"/>
        </w:rPr>
        <w:t xml:space="preserve">5 </w:t>
      </w:r>
      <w:r w:rsidRPr="006A2E2C">
        <w:rPr>
          <w:rFonts w:ascii="Times New Roman" w:hAnsi="Times New Roman"/>
          <w:kern w:val="0"/>
          <w:sz w:val="24"/>
          <w:szCs w:val="24"/>
        </w:rPr>
        <w:t>日常转换业务</w:t>
      </w:r>
    </w:p>
    <w:p w:rsidR="007A31C6" w:rsidRPr="006A2E2C" w:rsidRDefault="007A31C6" w:rsidP="001E602A">
      <w:pPr>
        <w:pStyle w:val="af6"/>
        <w:jc w:val="left"/>
        <w:outlineLvl w:val="2"/>
        <w:rPr>
          <w:rFonts w:ascii="Times New Roman" w:hAnsi="Times New Roman"/>
          <w:b w:val="0"/>
          <w:kern w:val="0"/>
          <w:sz w:val="24"/>
          <w:szCs w:val="24"/>
        </w:rPr>
      </w:pPr>
      <w:r w:rsidRPr="006A2E2C">
        <w:rPr>
          <w:rFonts w:ascii="Times New Roman" w:hAnsi="Times New Roman"/>
          <w:b w:val="0"/>
          <w:kern w:val="0"/>
          <w:sz w:val="24"/>
          <w:szCs w:val="24"/>
        </w:rPr>
        <w:t xml:space="preserve">5.1 </w:t>
      </w:r>
      <w:r w:rsidRPr="006A2E2C">
        <w:rPr>
          <w:rFonts w:ascii="Times New Roman" w:hAnsi="Times New Roman"/>
          <w:b w:val="0"/>
          <w:kern w:val="0"/>
          <w:sz w:val="24"/>
          <w:szCs w:val="24"/>
        </w:rPr>
        <w:t>转换费率</w:t>
      </w:r>
    </w:p>
    <w:p w:rsidR="007A31C6" w:rsidRPr="006A2E2C" w:rsidRDefault="007A31C6" w:rsidP="007A31C6">
      <w:pPr>
        <w:ind w:firstLineChars="0" w:firstLine="0"/>
        <w:rPr>
          <w:sz w:val="24"/>
        </w:rPr>
      </w:pPr>
      <w:r w:rsidRPr="006A2E2C">
        <w:rPr>
          <w:sz w:val="24"/>
        </w:rPr>
        <w:t xml:space="preserve">5.1.1 </w:t>
      </w:r>
      <w:r w:rsidRPr="006A2E2C">
        <w:rPr>
          <w:sz w:val="24"/>
        </w:rPr>
        <w:t>基金转换费</w:t>
      </w:r>
    </w:p>
    <w:p w:rsidR="007A31C6" w:rsidRPr="006A2E2C" w:rsidRDefault="007A31C6" w:rsidP="007A31C6">
      <w:pPr>
        <w:ind w:firstLine="480"/>
        <w:rPr>
          <w:sz w:val="24"/>
        </w:rPr>
      </w:pPr>
      <w:r w:rsidRPr="006A2E2C">
        <w:rPr>
          <w:sz w:val="24"/>
        </w:rPr>
        <w:t>1</w:t>
      </w:r>
      <w:r w:rsidRPr="006A2E2C">
        <w:rPr>
          <w:sz w:val="24"/>
        </w:rPr>
        <w:t>）基金转换费用由转出基金赎回费用及基金申购补差费用两部分构成。</w:t>
      </w:r>
    </w:p>
    <w:p w:rsidR="007A31C6" w:rsidRPr="006A2E2C" w:rsidRDefault="007A31C6" w:rsidP="007A31C6">
      <w:pPr>
        <w:ind w:firstLine="480"/>
        <w:rPr>
          <w:sz w:val="24"/>
        </w:rPr>
      </w:pPr>
      <w:r w:rsidRPr="006A2E2C">
        <w:rPr>
          <w:sz w:val="24"/>
        </w:rPr>
        <w:t>2</w:t>
      </w:r>
      <w:r w:rsidRPr="006A2E2C">
        <w:rPr>
          <w:sz w:val="24"/>
        </w:rPr>
        <w:t>）基金转换时，如涉及的转出基金有赎回费用，收取该基金的赎回费用。收取的赎回费按照各基金的基金合同、招募说明书（含更新）及最新的相关公告约定的比例归入基金财产，其余部分用于支付注册登记费等相关手续费。</w:t>
      </w:r>
    </w:p>
    <w:p w:rsidR="007A31C6" w:rsidRPr="006A2E2C" w:rsidRDefault="007A31C6" w:rsidP="007A31C6">
      <w:pPr>
        <w:ind w:firstLine="480"/>
        <w:rPr>
          <w:sz w:val="24"/>
        </w:rPr>
      </w:pPr>
      <w:r w:rsidRPr="006A2E2C">
        <w:rPr>
          <w:sz w:val="24"/>
        </w:rPr>
        <w:t>3</w:t>
      </w:r>
      <w:r w:rsidRPr="006A2E2C">
        <w:rPr>
          <w:sz w:val="24"/>
        </w:rPr>
        <w:t>）基金转换时，从申购费用低的基金向申购费用高的基金转换时，每次收取申购补差费用；从申购费用高的基金向申购费用低的基金转换或转换基金申购费率相同时，不收取申购补差费用。申购补差费用按照转换金额对应的转出基金与转入基金的申购费</w:t>
      </w:r>
      <w:r w:rsidR="00921F30" w:rsidRPr="006A2E2C">
        <w:rPr>
          <w:sz w:val="24"/>
        </w:rPr>
        <w:t>用</w:t>
      </w:r>
      <w:r w:rsidRPr="006A2E2C">
        <w:rPr>
          <w:sz w:val="24"/>
        </w:rPr>
        <w:t>差额进行补差，具体收取情况视每次转换时两只基金的申购费率的差异情况而定。</w:t>
      </w:r>
    </w:p>
    <w:p w:rsidR="007A31C6" w:rsidRPr="006A2E2C" w:rsidRDefault="007A31C6" w:rsidP="007A31C6">
      <w:pPr>
        <w:ind w:leftChars="-13" w:left="-1" w:hangingChars="11" w:hanging="26"/>
        <w:rPr>
          <w:sz w:val="24"/>
        </w:rPr>
      </w:pPr>
      <w:r w:rsidRPr="006A2E2C">
        <w:rPr>
          <w:sz w:val="24"/>
        </w:rPr>
        <w:t xml:space="preserve">5.1.2 </w:t>
      </w:r>
      <w:r w:rsidRPr="006A2E2C">
        <w:rPr>
          <w:sz w:val="24"/>
        </w:rPr>
        <w:t>基金转换的计算公式</w:t>
      </w:r>
    </w:p>
    <w:p w:rsidR="007A31C6" w:rsidRPr="006A2E2C" w:rsidRDefault="007A31C6" w:rsidP="007A31C6">
      <w:pPr>
        <w:ind w:firstLine="480"/>
        <w:rPr>
          <w:sz w:val="24"/>
        </w:rPr>
      </w:pPr>
      <w:r w:rsidRPr="006A2E2C">
        <w:rPr>
          <w:sz w:val="24"/>
        </w:rPr>
        <w:t>转出基金赎回费用＝转出的基金份额</w:t>
      </w:r>
      <w:r w:rsidRPr="006A2E2C">
        <w:rPr>
          <w:sz w:val="24"/>
        </w:rPr>
        <w:t>×</w:t>
      </w:r>
      <w:r w:rsidRPr="006A2E2C">
        <w:rPr>
          <w:sz w:val="24"/>
        </w:rPr>
        <w:t>转出基金当日基金份额净值</w:t>
      </w:r>
      <w:r w:rsidRPr="006A2E2C">
        <w:rPr>
          <w:sz w:val="24"/>
        </w:rPr>
        <w:t>×</w:t>
      </w:r>
      <w:r w:rsidRPr="006A2E2C">
        <w:rPr>
          <w:sz w:val="24"/>
        </w:rPr>
        <w:t>转出基金赎回费率</w:t>
      </w:r>
    </w:p>
    <w:p w:rsidR="007A31C6" w:rsidRPr="006A2E2C" w:rsidRDefault="007A31C6" w:rsidP="007A31C6">
      <w:pPr>
        <w:ind w:firstLine="480"/>
        <w:rPr>
          <w:sz w:val="24"/>
        </w:rPr>
      </w:pPr>
      <w:r w:rsidRPr="006A2E2C">
        <w:rPr>
          <w:sz w:val="24"/>
        </w:rPr>
        <w:t>转出金额</w:t>
      </w:r>
      <w:r w:rsidRPr="006A2E2C">
        <w:rPr>
          <w:sz w:val="24"/>
        </w:rPr>
        <w:t>=</w:t>
      </w:r>
      <w:r w:rsidRPr="006A2E2C">
        <w:rPr>
          <w:sz w:val="24"/>
        </w:rPr>
        <w:t>转出的基金份额</w:t>
      </w:r>
      <w:r w:rsidRPr="006A2E2C">
        <w:rPr>
          <w:sz w:val="24"/>
        </w:rPr>
        <w:t>×</w:t>
      </w:r>
      <w:r w:rsidRPr="006A2E2C">
        <w:rPr>
          <w:sz w:val="24"/>
        </w:rPr>
        <w:t>转出基金当日基金份额净值－转出基金赎回费用</w:t>
      </w:r>
    </w:p>
    <w:p w:rsidR="007A31C6" w:rsidRPr="006A2E2C" w:rsidRDefault="007A31C6" w:rsidP="001E602A">
      <w:pPr>
        <w:ind w:firstLine="480"/>
        <w:rPr>
          <w:sz w:val="24"/>
        </w:rPr>
      </w:pPr>
      <w:r w:rsidRPr="006A2E2C">
        <w:rPr>
          <w:sz w:val="24"/>
        </w:rPr>
        <w:t>基金申购补差费（外扣）＝转出金额</w:t>
      </w:r>
      <w:r w:rsidRPr="006A2E2C">
        <w:rPr>
          <w:sz w:val="24"/>
        </w:rPr>
        <w:t>×</w:t>
      </w:r>
      <w:r w:rsidRPr="006A2E2C">
        <w:rPr>
          <w:sz w:val="24"/>
        </w:rPr>
        <w:t>转入基金的申购费率</w:t>
      </w:r>
      <w:r w:rsidRPr="006A2E2C">
        <w:rPr>
          <w:sz w:val="24"/>
        </w:rPr>
        <w:t>/</w:t>
      </w:r>
      <w:r w:rsidRPr="006A2E2C">
        <w:rPr>
          <w:sz w:val="24"/>
        </w:rPr>
        <w:t>（</w:t>
      </w:r>
      <w:r w:rsidRPr="006A2E2C">
        <w:rPr>
          <w:sz w:val="24"/>
        </w:rPr>
        <w:t>1</w:t>
      </w:r>
      <w:r w:rsidRPr="006A2E2C">
        <w:rPr>
          <w:sz w:val="24"/>
        </w:rPr>
        <w:t>＋转入基金申购费率）－转出金额</w:t>
      </w:r>
      <w:r w:rsidRPr="006A2E2C">
        <w:rPr>
          <w:sz w:val="24"/>
        </w:rPr>
        <w:t>×</w:t>
      </w:r>
      <w:r w:rsidRPr="006A2E2C">
        <w:rPr>
          <w:sz w:val="24"/>
        </w:rPr>
        <w:t>转出基金申购费率</w:t>
      </w:r>
      <w:r w:rsidRPr="006A2E2C">
        <w:rPr>
          <w:sz w:val="24"/>
        </w:rPr>
        <w:t>/</w:t>
      </w:r>
      <w:r w:rsidRPr="006A2E2C">
        <w:rPr>
          <w:sz w:val="24"/>
        </w:rPr>
        <w:t>（</w:t>
      </w:r>
      <w:r w:rsidRPr="006A2E2C">
        <w:rPr>
          <w:sz w:val="24"/>
        </w:rPr>
        <w:t>1</w:t>
      </w:r>
      <w:r w:rsidRPr="006A2E2C">
        <w:rPr>
          <w:sz w:val="24"/>
        </w:rPr>
        <w:t>＋转出基金申购费率）</w:t>
      </w:r>
    </w:p>
    <w:p w:rsidR="007A31C6" w:rsidRPr="006A2E2C" w:rsidRDefault="007A31C6" w:rsidP="001E602A">
      <w:pPr>
        <w:ind w:firstLine="480"/>
        <w:rPr>
          <w:sz w:val="24"/>
        </w:rPr>
      </w:pPr>
      <w:r w:rsidRPr="006A2E2C">
        <w:rPr>
          <w:sz w:val="24"/>
        </w:rPr>
        <w:t>转换费用＝转出基金赎回费用＋基金申购补差费</w:t>
      </w:r>
    </w:p>
    <w:p w:rsidR="007A31C6" w:rsidRPr="006A2E2C" w:rsidRDefault="007A31C6" w:rsidP="001E602A">
      <w:pPr>
        <w:ind w:firstLine="480"/>
        <w:rPr>
          <w:sz w:val="24"/>
        </w:rPr>
      </w:pPr>
      <w:r w:rsidRPr="006A2E2C">
        <w:rPr>
          <w:sz w:val="24"/>
        </w:rPr>
        <w:t>转入份额＝（转出金额－基金申购补差费）</w:t>
      </w:r>
      <w:r w:rsidRPr="006A2E2C">
        <w:rPr>
          <w:sz w:val="24"/>
        </w:rPr>
        <w:t>/</w:t>
      </w:r>
      <w:r w:rsidRPr="006A2E2C">
        <w:rPr>
          <w:sz w:val="24"/>
        </w:rPr>
        <w:t>转入基金当日基金份额净值</w:t>
      </w:r>
    </w:p>
    <w:p w:rsidR="007A31C6" w:rsidRPr="006A2E2C" w:rsidRDefault="007A31C6" w:rsidP="001E602A">
      <w:pPr>
        <w:pStyle w:val="af6"/>
        <w:jc w:val="left"/>
        <w:outlineLvl w:val="2"/>
        <w:rPr>
          <w:rFonts w:ascii="Times New Roman" w:hAnsi="Times New Roman"/>
          <w:b w:val="0"/>
          <w:bCs w:val="0"/>
          <w:sz w:val="24"/>
          <w:szCs w:val="24"/>
        </w:rPr>
      </w:pPr>
      <w:r w:rsidRPr="006A2E2C">
        <w:rPr>
          <w:rFonts w:ascii="Times New Roman" w:hAnsi="Times New Roman"/>
          <w:b w:val="0"/>
          <w:bCs w:val="0"/>
          <w:sz w:val="24"/>
          <w:szCs w:val="24"/>
        </w:rPr>
        <w:t xml:space="preserve">5.2 </w:t>
      </w:r>
      <w:r w:rsidRPr="006A2E2C">
        <w:rPr>
          <w:rFonts w:ascii="Times New Roman" w:hAnsi="Times New Roman"/>
          <w:b w:val="0"/>
          <w:bCs w:val="0"/>
          <w:sz w:val="24"/>
          <w:szCs w:val="24"/>
        </w:rPr>
        <w:t>其他与转换相关的事项</w:t>
      </w:r>
    </w:p>
    <w:p w:rsidR="007A31C6" w:rsidRPr="006A2E2C" w:rsidRDefault="007A31C6" w:rsidP="007A31C6">
      <w:pPr>
        <w:ind w:firstLine="480"/>
        <w:rPr>
          <w:sz w:val="24"/>
        </w:rPr>
      </w:pPr>
      <w:r w:rsidRPr="006A2E2C">
        <w:rPr>
          <w:sz w:val="24"/>
        </w:rPr>
        <w:t>（</w:t>
      </w:r>
      <w:r w:rsidRPr="006A2E2C">
        <w:rPr>
          <w:sz w:val="24"/>
        </w:rPr>
        <w:t>1</w:t>
      </w:r>
      <w:r w:rsidRPr="006A2E2C">
        <w:rPr>
          <w:sz w:val="24"/>
        </w:rPr>
        <w:t>）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p>
    <w:p w:rsidR="007A31C6" w:rsidRPr="006A2E2C" w:rsidRDefault="007A31C6" w:rsidP="007A31C6">
      <w:pPr>
        <w:ind w:firstLine="480"/>
        <w:rPr>
          <w:sz w:val="24"/>
        </w:rPr>
      </w:pPr>
      <w:r w:rsidRPr="006A2E2C">
        <w:rPr>
          <w:sz w:val="24"/>
        </w:rPr>
        <w:t>（</w:t>
      </w:r>
      <w:r w:rsidRPr="006A2E2C">
        <w:rPr>
          <w:sz w:val="24"/>
        </w:rPr>
        <w:t>2</w:t>
      </w:r>
      <w:r w:rsidRPr="006A2E2C">
        <w:rPr>
          <w:sz w:val="24"/>
        </w:rPr>
        <w:t>）其他转换业务规则详见本公司网站发布的《民生加银基金管理有限公司旗下基金转换业务规则》。</w:t>
      </w:r>
    </w:p>
    <w:p w:rsidR="00F729AA" w:rsidRPr="006A2E2C" w:rsidRDefault="007A31C6">
      <w:pPr>
        <w:ind w:firstLine="480"/>
        <w:rPr>
          <w:sz w:val="24"/>
        </w:rPr>
      </w:pPr>
      <w:r w:rsidRPr="006A2E2C">
        <w:rPr>
          <w:sz w:val="24"/>
        </w:rPr>
        <w:t>（</w:t>
      </w:r>
      <w:r w:rsidRPr="006A2E2C">
        <w:rPr>
          <w:sz w:val="24"/>
        </w:rPr>
        <w:t>3</w:t>
      </w:r>
      <w:r w:rsidRPr="006A2E2C">
        <w:rPr>
          <w:sz w:val="24"/>
        </w:rPr>
        <w:t>）由于各销售机构的系统差异以及业务安排等原因，开展转换业务的时间可能有所不同，各销售机构的开通情况和具体业务规则以各销售机构安排为准。</w:t>
      </w:r>
    </w:p>
    <w:p w:rsidR="00F729AA" w:rsidRPr="006A2E2C" w:rsidRDefault="00F729AA">
      <w:pPr>
        <w:pStyle w:val="af6"/>
        <w:spacing w:line="360" w:lineRule="auto"/>
        <w:jc w:val="left"/>
        <w:outlineLvl w:val="2"/>
        <w:rPr>
          <w:rFonts w:ascii="Times New Roman" w:hAnsi="Times New Roman"/>
          <w:kern w:val="0"/>
          <w:sz w:val="24"/>
          <w:szCs w:val="24"/>
        </w:rPr>
      </w:pPr>
      <w:r w:rsidRPr="006A2E2C">
        <w:rPr>
          <w:rFonts w:ascii="Times New Roman" w:hAnsi="Times New Roman"/>
          <w:kern w:val="0"/>
          <w:sz w:val="24"/>
          <w:szCs w:val="24"/>
        </w:rPr>
        <w:t xml:space="preserve">6 </w:t>
      </w:r>
      <w:r w:rsidRPr="006A2E2C">
        <w:rPr>
          <w:rFonts w:ascii="Times New Roman" w:hAnsi="Times New Roman"/>
          <w:kern w:val="0"/>
          <w:sz w:val="24"/>
          <w:szCs w:val="24"/>
        </w:rPr>
        <w:t>基金销售机构</w:t>
      </w:r>
    </w:p>
    <w:p w:rsidR="00F729AA" w:rsidRPr="006A2E2C" w:rsidRDefault="00F729AA" w:rsidP="00B71F75">
      <w:pPr>
        <w:pStyle w:val="af6"/>
        <w:spacing w:before="120" w:after="0" w:line="360" w:lineRule="auto"/>
        <w:jc w:val="both"/>
        <w:outlineLvl w:val="2"/>
        <w:rPr>
          <w:rFonts w:ascii="Times New Roman" w:hAnsi="Times New Roman"/>
          <w:b w:val="0"/>
          <w:kern w:val="0"/>
          <w:sz w:val="24"/>
          <w:szCs w:val="24"/>
        </w:rPr>
      </w:pPr>
      <w:r w:rsidRPr="006A2E2C">
        <w:rPr>
          <w:rFonts w:ascii="Times New Roman" w:hAnsi="Times New Roman"/>
          <w:b w:val="0"/>
          <w:kern w:val="0"/>
          <w:sz w:val="24"/>
          <w:szCs w:val="24"/>
        </w:rPr>
        <w:t>6.1</w:t>
      </w:r>
      <w:r w:rsidRPr="006A2E2C">
        <w:rPr>
          <w:rFonts w:ascii="Times New Roman" w:hAnsi="Times New Roman"/>
          <w:b w:val="0"/>
          <w:kern w:val="0"/>
          <w:sz w:val="24"/>
          <w:szCs w:val="24"/>
        </w:rPr>
        <w:t>直销机构</w:t>
      </w:r>
    </w:p>
    <w:p w:rsidR="00F729AA" w:rsidRPr="006A2E2C" w:rsidRDefault="00F729AA">
      <w:pPr>
        <w:autoSpaceDE w:val="0"/>
        <w:autoSpaceDN w:val="0"/>
        <w:adjustRightInd w:val="0"/>
        <w:ind w:firstLine="480"/>
        <w:rPr>
          <w:kern w:val="0"/>
          <w:sz w:val="24"/>
        </w:rPr>
      </w:pPr>
      <w:r w:rsidRPr="006A2E2C">
        <w:rPr>
          <w:kern w:val="0"/>
          <w:sz w:val="24"/>
        </w:rPr>
        <w:t>本基金直销机构为民生加银基金管理有限公司。</w:t>
      </w:r>
    </w:p>
    <w:p w:rsidR="00F729AA" w:rsidRPr="006A2E2C" w:rsidRDefault="00F729AA">
      <w:pPr>
        <w:ind w:firstLine="480"/>
        <w:rPr>
          <w:sz w:val="24"/>
        </w:rPr>
      </w:pPr>
      <w:r w:rsidRPr="006A2E2C">
        <w:rPr>
          <w:sz w:val="24"/>
        </w:rPr>
        <w:t>地址：</w:t>
      </w:r>
      <w:r w:rsidRPr="006A2E2C">
        <w:rPr>
          <w:kern w:val="0"/>
          <w:position w:val="-2"/>
          <w:sz w:val="24"/>
        </w:rPr>
        <w:t>深圳市福田区莲花街道福中三路</w:t>
      </w:r>
      <w:r w:rsidRPr="006A2E2C">
        <w:rPr>
          <w:kern w:val="0"/>
          <w:position w:val="-2"/>
          <w:sz w:val="24"/>
        </w:rPr>
        <w:t>2005</w:t>
      </w:r>
      <w:r w:rsidRPr="006A2E2C">
        <w:rPr>
          <w:kern w:val="0"/>
          <w:position w:val="-2"/>
          <w:sz w:val="24"/>
        </w:rPr>
        <w:t>号民生金融大厦</w:t>
      </w:r>
      <w:r w:rsidRPr="006A2E2C">
        <w:rPr>
          <w:kern w:val="0"/>
          <w:position w:val="-2"/>
          <w:sz w:val="24"/>
        </w:rPr>
        <w:t>13</w:t>
      </w:r>
      <w:r w:rsidRPr="006A2E2C">
        <w:rPr>
          <w:kern w:val="0"/>
          <w:position w:val="-2"/>
          <w:sz w:val="24"/>
        </w:rPr>
        <w:t>楼</w:t>
      </w:r>
      <w:r w:rsidRPr="006A2E2C">
        <w:rPr>
          <w:kern w:val="0"/>
          <w:position w:val="-2"/>
          <w:sz w:val="24"/>
        </w:rPr>
        <w:t>13A</w:t>
      </w:r>
      <w:r w:rsidRPr="006A2E2C">
        <w:rPr>
          <w:sz w:val="24"/>
        </w:rPr>
        <w:t xml:space="preserve"> </w:t>
      </w:r>
    </w:p>
    <w:p w:rsidR="00F729AA" w:rsidRPr="006A2E2C" w:rsidRDefault="00F729AA">
      <w:pPr>
        <w:ind w:firstLine="480"/>
        <w:rPr>
          <w:sz w:val="24"/>
        </w:rPr>
      </w:pPr>
      <w:r w:rsidRPr="006A2E2C">
        <w:rPr>
          <w:sz w:val="24"/>
        </w:rPr>
        <w:t>网址：</w:t>
      </w:r>
      <w:r w:rsidRPr="006A2E2C">
        <w:rPr>
          <w:sz w:val="24"/>
        </w:rPr>
        <w:t xml:space="preserve">www.msjyfund.com.cn </w:t>
      </w:r>
    </w:p>
    <w:p w:rsidR="00F729AA" w:rsidRPr="006A2E2C" w:rsidRDefault="00F729AA">
      <w:pPr>
        <w:ind w:firstLine="480"/>
        <w:rPr>
          <w:sz w:val="24"/>
        </w:rPr>
      </w:pPr>
      <w:r w:rsidRPr="006A2E2C">
        <w:rPr>
          <w:sz w:val="24"/>
        </w:rPr>
        <w:t>客户服务电话：</w:t>
      </w:r>
      <w:r w:rsidRPr="006A2E2C">
        <w:rPr>
          <w:sz w:val="24"/>
        </w:rPr>
        <w:t>400-8888-388</w:t>
      </w:r>
    </w:p>
    <w:p w:rsidR="00F729AA" w:rsidRPr="006A2E2C" w:rsidRDefault="00F729AA" w:rsidP="00B71F75">
      <w:pPr>
        <w:pStyle w:val="af6"/>
        <w:spacing w:before="120" w:after="0" w:line="360" w:lineRule="auto"/>
        <w:jc w:val="both"/>
        <w:outlineLvl w:val="2"/>
        <w:rPr>
          <w:rFonts w:ascii="Times New Roman" w:hAnsi="Times New Roman"/>
          <w:b w:val="0"/>
          <w:kern w:val="0"/>
          <w:sz w:val="24"/>
          <w:szCs w:val="24"/>
        </w:rPr>
      </w:pPr>
      <w:r w:rsidRPr="006A2E2C">
        <w:rPr>
          <w:rFonts w:ascii="Times New Roman" w:hAnsi="Times New Roman"/>
          <w:b w:val="0"/>
          <w:kern w:val="0"/>
          <w:sz w:val="24"/>
          <w:szCs w:val="24"/>
        </w:rPr>
        <w:t>6.2</w:t>
      </w:r>
      <w:r w:rsidRPr="006A2E2C">
        <w:rPr>
          <w:rFonts w:ascii="Times New Roman" w:hAnsi="Times New Roman"/>
          <w:b w:val="0"/>
          <w:kern w:val="0"/>
          <w:sz w:val="24"/>
          <w:szCs w:val="24"/>
        </w:rPr>
        <w:t>非直销销售机构</w:t>
      </w:r>
    </w:p>
    <w:p w:rsidR="00FF3C73" w:rsidRPr="006A2E2C" w:rsidRDefault="00FF3C73" w:rsidP="001D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480"/>
        <w:rPr>
          <w:sz w:val="24"/>
        </w:rPr>
      </w:pPr>
      <w:r w:rsidRPr="006A2E2C">
        <w:rPr>
          <w:sz w:val="24"/>
        </w:rPr>
        <w:t>哈尔滨银行股份有限公司、中信银行股份有限公司、宁波银行股份有限公司、华夏银行股份有限公司、青岛银行股份有限公司、招商银行股份有限公司（招赢通）、江苏紫金农村商业银行股份有限公司、江苏银行股份有限公司、江苏江南农村商业银行股份有限公司、招商银行股份有限公司、中国邮政储蓄银行股份有限公司、交通银行股份有限公司、深圳前海微众银行股份有限公司、兴业银行股份有限公司、平安银行股份有限公司、中国建设银行股份有限公司、中国民生银行股份有限公司、渤海银行股份有限公司、杭州银行股份有限公司、国金证券股份有限公司、长城证券股份有限公司、东北证券股份有限公司、第一创业证券股份有限公司、中信证券华南股份有限公司、江海证券有限公司、联储证券有限责任公司、长沙银行股份有限公司、中信期货有限公司、申万宏源西部证券有限公司、英大证券有限责任公司、长江证券股份有限公司、光大证券股份有限公司、东海证券股份有限公司、国信证券股份有限公司、华泰证券股份有限公司、国投证券股份有限公司、平安证券股份有限公司、国泰海通证券股份有限公司、招商证券股份有限公司、中国银河证券股份有限公司、中信建投证券股份有限公司、兴业证券股份有限公司、申万宏源证券有限公司、中航证券有限公司、中信证券股份有限公司、中信证券（山东）有限责任公司、华福证券有限责任公司、东方财富证券股份有限公司、深圳市金斧子基金销售有限公司、上海华夏财富投资管理有限公司、诺亚正行基金销售有限公司、北京虹点基金销售有限公司、深圳腾元基金销售有限公司、浙江同花顺基金销售有限公司、北京展恒基金销售股份有限公司、上海汇付基金销售有限公司、北京钱景基金销售有限公司、上海陆金所基金销售有限公司、上海天天基金销售有限公司、蚂蚁（杭州）基金销售有限公司、深圳众禄基金销售股份有限公司、上海好买基金销售有限公司、珠海盈米基金销售有限公司、深圳市新兰德证券投资咨询有限公司、北京广源达信基金销售有限公司、京东肯特瑞基金销售有限公司、奕丰基金销售有限公司、北京汇成基金销售有限公司、上海基煜基金销售有限公司、北京雪球基金销售有限公司、上海万得基金销售有限公司、苏豪弘业期货股份有限公司、南京苏宁基金销售有限公司、天津国美基金销售有限公司、华源证券股份有限公司、腾安基金销售（深圳）有限公司、北京创金启富基金销售有限公司、北京度小满基金销售有限公司、上海联泰基金销售有限公司、阳光人寿保险股份有限公司、泛华普益基金销售有限公司、上海长量基金销售有限公司、上海利得基金销售有限公司、通华财富（上海）基金销售有限公司、上海大智慧基金销售有限公司、武汉佰鲲基金销售有限公司、嘉实财富管理有限公司、万家财富基金销售（天津）有限公司、上海攀赢基金销售有限公司、中国人寿保险股份有限公司、和耕传承基金销售有限公司、北京济安基金销售有限公司、上海陆享基金销售有限公司、贵州省贵文文化基金销售有限公司、大连网金基金销售有限公司、博时财富基金销售有限公司、和讯信息科技有限公司、泰信财富基金销售有限公司、上海中欧财富基金销售有限公司、上海证达通基金销售有限公司、财咨道信息技术有限公司、上海中正达广基金销售有限公司（以上排名不分先后）。</w:t>
      </w:r>
    </w:p>
    <w:p w:rsidR="00F729AA" w:rsidRPr="006A2E2C" w:rsidRDefault="00F729AA" w:rsidP="001D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480"/>
        <w:rPr>
          <w:bCs/>
          <w:sz w:val="24"/>
        </w:rPr>
      </w:pPr>
      <w:r w:rsidRPr="006A2E2C">
        <w:rPr>
          <w:kern w:val="0"/>
          <w:sz w:val="24"/>
        </w:rPr>
        <w:t>基金管理人可根据《中华人民共和国证券投资基金法》、《公开募集证券投资基金运作管理办法》、《公开募集证券投资基金销售机构监督管理办法》和《基金合同》等相关规定，选择其他符合要求的机构销售本基金，并在基金管理人网站公示。</w:t>
      </w:r>
    </w:p>
    <w:p w:rsidR="00F729AA" w:rsidRPr="006A2E2C" w:rsidRDefault="00F729AA">
      <w:pPr>
        <w:pStyle w:val="af6"/>
        <w:spacing w:line="360" w:lineRule="auto"/>
        <w:jc w:val="left"/>
        <w:outlineLvl w:val="2"/>
        <w:rPr>
          <w:rFonts w:ascii="Times New Roman" w:hAnsi="Times New Roman"/>
          <w:kern w:val="0"/>
          <w:sz w:val="24"/>
          <w:szCs w:val="24"/>
        </w:rPr>
      </w:pPr>
      <w:r w:rsidRPr="006A2E2C">
        <w:rPr>
          <w:rFonts w:ascii="Times New Roman" w:hAnsi="Times New Roman"/>
          <w:kern w:val="0"/>
          <w:sz w:val="24"/>
          <w:szCs w:val="24"/>
        </w:rPr>
        <w:t xml:space="preserve">7 </w:t>
      </w:r>
      <w:r w:rsidRPr="006A2E2C">
        <w:rPr>
          <w:rFonts w:ascii="Times New Roman" w:hAnsi="Times New Roman"/>
          <w:kern w:val="0"/>
          <w:sz w:val="24"/>
          <w:szCs w:val="24"/>
        </w:rPr>
        <w:t>基金份额净值公告的披露安排</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bCs/>
          <w:sz w:val="24"/>
          <w:lang w:val="zh-CN"/>
        </w:rPr>
      </w:pPr>
      <w:r w:rsidRPr="006A2E2C">
        <w:rPr>
          <w:bCs/>
          <w:sz w:val="24"/>
        </w:rPr>
        <w:t>本基金的封闭期内，基金管理人应当至少每周在指定网站披露一次各类基金份额净值和基金份额累计净值。</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bCs/>
          <w:kern w:val="0"/>
          <w:sz w:val="24"/>
        </w:rPr>
      </w:pPr>
      <w:r w:rsidRPr="006A2E2C">
        <w:rPr>
          <w:bCs/>
          <w:sz w:val="24"/>
        </w:rPr>
        <w:t>在开放期内，基金管理人应当在不晚于每个开放日的次日，通过指定网站、基金销售机构网站或者营业网点披露开放日的各类基金份额净值和基金份额累计净值。</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bCs/>
          <w:sz w:val="24"/>
        </w:rPr>
        <w:t>基金管理人应当在不晚于半年度和年度最后一日的次日，在指定网站披露半年度和年度最后一日的各类基金份额净值和基金份额累计净值。</w:t>
      </w:r>
    </w:p>
    <w:p w:rsidR="00F729AA" w:rsidRPr="006A2E2C" w:rsidRDefault="00F729AA">
      <w:pPr>
        <w:pStyle w:val="af6"/>
        <w:spacing w:line="360" w:lineRule="auto"/>
        <w:jc w:val="left"/>
        <w:outlineLvl w:val="2"/>
        <w:rPr>
          <w:rFonts w:ascii="Times New Roman" w:hAnsi="Times New Roman"/>
          <w:kern w:val="0"/>
          <w:sz w:val="24"/>
          <w:szCs w:val="24"/>
        </w:rPr>
      </w:pPr>
      <w:r w:rsidRPr="006A2E2C">
        <w:rPr>
          <w:rFonts w:ascii="Times New Roman" w:hAnsi="Times New Roman"/>
          <w:kern w:val="0"/>
          <w:sz w:val="24"/>
          <w:szCs w:val="24"/>
        </w:rPr>
        <w:t xml:space="preserve">8 </w:t>
      </w:r>
      <w:r w:rsidRPr="006A2E2C">
        <w:rPr>
          <w:rFonts w:ascii="Times New Roman" w:hAnsi="Times New Roman"/>
          <w:kern w:val="0"/>
          <w:sz w:val="24"/>
          <w:szCs w:val="24"/>
        </w:rPr>
        <w:t>其他需要提示的事项</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1.</w:t>
      </w:r>
      <w:r w:rsidRPr="006A2E2C">
        <w:rPr>
          <w:kern w:val="0"/>
          <w:sz w:val="24"/>
        </w:rPr>
        <w:t>本公告仅对本基金第十</w:t>
      </w:r>
      <w:r w:rsidR="008549FF" w:rsidRPr="006A2E2C">
        <w:rPr>
          <w:kern w:val="0"/>
          <w:sz w:val="24"/>
        </w:rPr>
        <w:t>二</w:t>
      </w:r>
      <w:r w:rsidRPr="006A2E2C">
        <w:rPr>
          <w:kern w:val="0"/>
          <w:sz w:val="24"/>
        </w:rPr>
        <w:t>次办理申购、赎回以及转换业务等相关事项予以说明。</w:t>
      </w:r>
      <w:r w:rsidR="008549FF" w:rsidRPr="006A2E2C">
        <w:rPr>
          <w:kern w:val="0"/>
          <w:sz w:val="24"/>
        </w:rPr>
        <w:t>投资者欲了解本基金的详细情况，请仔细阅读最新的《基金合同》和《招募说明书》等基金法律文件。本公告的解释权归本公司所有。</w:t>
      </w:r>
    </w:p>
    <w:p w:rsidR="00F729AA" w:rsidRPr="006A2E2C" w:rsidRDefault="00F729AA" w:rsidP="006E39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2.</w:t>
      </w:r>
      <w:r w:rsidRPr="006A2E2C">
        <w:rPr>
          <w:kern w:val="0"/>
          <w:sz w:val="24"/>
        </w:rPr>
        <w:t>本基金的开放期为每个封闭期结束之</w:t>
      </w:r>
      <w:r w:rsidR="00E816A6" w:rsidRPr="006A2E2C">
        <w:rPr>
          <w:kern w:val="0"/>
          <w:sz w:val="24"/>
        </w:rPr>
        <w:t>日</w:t>
      </w:r>
      <w:r w:rsidRPr="006A2E2C">
        <w:rPr>
          <w:kern w:val="0"/>
          <w:sz w:val="24"/>
        </w:rPr>
        <w:t>后第一个工作日起</w:t>
      </w:r>
      <w:r w:rsidR="00E816A6" w:rsidRPr="006A2E2C">
        <w:rPr>
          <w:kern w:val="0"/>
          <w:sz w:val="24"/>
        </w:rPr>
        <w:t>（含该日）</w:t>
      </w:r>
      <w:r w:rsidRPr="006A2E2C">
        <w:rPr>
          <w:kern w:val="0"/>
          <w:sz w:val="24"/>
        </w:rPr>
        <w:t>5</w:t>
      </w:r>
      <w:r w:rsidRPr="006A2E2C">
        <w:rPr>
          <w:kern w:val="0"/>
          <w:sz w:val="24"/>
        </w:rPr>
        <w:t>至</w:t>
      </w:r>
      <w:r w:rsidRPr="006A2E2C">
        <w:rPr>
          <w:kern w:val="0"/>
          <w:sz w:val="24"/>
        </w:rPr>
        <w:t>10</w:t>
      </w:r>
      <w:r w:rsidRPr="006A2E2C">
        <w:rPr>
          <w:kern w:val="0"/>
          <w:sz w:val="24"/>
        </w:rPr>
        <w:t>个工作日的期间，开放期内投资人可</w:t>
      </w:r>
      <w:r w:rsidR="006E392A" w:rsidRPr="006A2E2C">
        <w:rPr>
          <w:kern w:val="0"/>
          <w:sz w:val="24"/>
        </w:rPr>
        <w:t>以</w:t>
      </w:r>
      <w:r w:rsidRPr="006A2E2C">
        <w:rPr>
          <w:kern w:val="0"/>
          <w:sz w:val="24"/>
        </w:rPr>
        <w:t>办理基金份额</w:t>
      </w:r>
      <w:r w:rsidR="00BE060B" w:rsidRPr="006A2E2C">
        <w:rPr>
          <w:kern w:val="0"/>
          <w:sz w:val="24"/>
        </w:rPr>
        <w:t>的</w:t>
      </w:r>
      <w:r w:rsidRPr="006A2E2C">
        <w:rPr>
          <w:kern w:val="0"/>
          <w:sz w:val="24"/>
        </w:rPr>
        <w:t>申购、赎回以及转换业务，开放期未赎回的</w:t>
      </w:r>
      <w:r w:rsidR="00BE060B" w:rsidRPr="006A2E2C">
        <w:rPr>
          <w:kern w:val="0"/>
          <w:sz w:val="24"/>
        </w:rPr>
        <w:t>基金</w:t>
      </w:r>
      <w:r w:rsidRPr="006A2E2C">
        <w:rPr>
          <w:kern w:val="0"/>
          <w:sz w:val="24"/>
        </w:rPr>
        <w:t>份额将自动转入下一个封闭期。如在开放期</w:t>
      </w:r>
      <w:r w:rsidR="006E392A" w:rsidRPr="006A2E2C">
        <w:rPr>
          <w:kern w:val="0"/>
          <w:sz w:val="24"/>
        </w:rPr>
        <w:t>尚不足五个工作日时</w:t>
      </w:r>
      <w:r w:rsidRPr="006A2E2C">
        <w:rPr>
          <w:kern w:val="0"/>
          <w:sz w:val="24"/>
        </w:rPr>
        <w:t>发生不可抗力或其他情形致使基金无法</w:t>
      </w:r>
      <w:r w:rsidR="006E392A" w:rsidRPr="006A2E2C">
        <w:rPr>
          <w:kern w:val="0"/>
          <w:sz w:val="24"/>
        </w:rPr>
        <w:t>继续开放申购与赎回业务的，开放期时间中止计算。在不可抗力或其他情形影响因素消除之日次日起，继续计算该开放期时间，直至满足基金合同关于开放期的时间要求，即确保每一开放期至少达到五个工作日（如发生上述情形时开放期已达到五个工作日，则本基金将在上述情形消失后继续开放以达到预先公告的时间长度）。</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3.</w:t>
      </w:r>
      <w:r w:rsidR="001E602A" w:rsidRPr="006A2E2C">
        <w:rPr>
          <w:kern w:val="0"/>
          <w:sz w:val="24"/>
        </w:rPr>
        <w:t>2025</w:t>
      </w:r>
      <w:r w:rsidR="001E602A" w:rsidRPr="006A2E2C">
        <w:rPr>
          <w:kern w:val="0"/>
          <w:sz w:val="24"/>
        </w:rPr>
        <w:t>年</w:t>
      </w:r>
      <w:r w:rsidR="001E602A" w:rsidRPr="006A2E2C">
        <w:rPr>
          <w:kern w:val="0"/>
          <w:sz w:val="24"/>
        </w:rPr>
        <w:t>12</w:t>
      </w:r>
      <w:r w:rsidR="001E602A" w:rsidRPr="006A2E2C">
        <w:rPr>
          <w:kern w:val="0"/>
          <w:sz w:val="24"/>
        </w:rPr>
        <w:t>月</w:t>
      </w:r>
      <w:r w:rsidR="001E602A" w:rsidRPr="006A2E2C">
        <w:rPr>
          <w:kern w:val="0"/>
          <w:sz w:val="24"/>
        </w:rPr>
        <w:t>1</w:t>
      </w:r>
      <w:r w:rsidR="001E602A" w:rsidRPr="006A2E2C">
        <w:rPr>
          <w:kern w:val="0"/>
          <w:sz w:val="24"/>
        </w:rPr>
        <w:t>日至</w:t>
      </w:r>
      <w:r w:rsidR="001E602A" w:rsidRPr="006A2E2C">
        <w:rPr>
          <w:kern w:val="0"/>
          <w:sz w:val="24"/>
        </w:rPr>
        <w:t>2025</w:t>
      </w:r>
      <w:r w:rsidR="001E602A" w:rsidRPr="006A2E2C">
        <w:rPr>
          <w:kern w:val="0"/>
          <w:sz w:val="24"/>
        </w:rPr>
        <w:t>年</w:t>
      </w:r>
      <w:r w:rsidR="001E602A" w:rsidRPr="006A2E2C">
        <w:rPr>
          <w:kern w:val="0"/>
          <w:sz w:val="24"/>
        </w:rPr>
        <w:t>12</w:t>
      </w:r>
      <w:r w:rsidR="001E602A" w:rsidRPr="006A2E2C">
        <w:rPr>
          <w:kern w:val="0"/>
          <w:sz w:val="24"/>
        </w:rPr>
        <w:t>月</w:t>
      </w:r>
      <w:r w:rsidR="001E602A" w:rsidRPr="006A2E2C">
        <w:rPr>
          <w:kern w:val="0"/>
          <w:sz w:val="24"/>
        </w:rPr>
        <w:t>12</w:t>
      </w:r>
      <w:r w:rsidR="001E602A" w:rsidRPr="006A2E2C">
        <w:rPr>
          <w:kern w:val="0"/>
          <w:sz w:val="24"/>
        </w:rPr>
        <w:t>日</w:t>
      </w:r>
      <w:r w:rsidRPr="006A2E2C">
        <w:rPr>
          <w:kern w:val="0"/>
          <w:sz w:val="24"/>
        </w:rPr>
        <w:t>为本基金的第十</w:t>
      </w:r>
      <w:r w:rsidR="008549FF" w:rsidRPr="006A2E2C">
        <w:rPr>
          <w:kern w:val="0"/>
          <w:sz w:val="24"/>
        </w:rPr>
        <w:t>二</w:t>
      </w:r>
      <w:r w:rsidRPr="006A2E2C">
        <w:rPr>
          <w:kern w:val="0"/>
          <w:sz w:val="24"/>
        </w:rPr>
        <w:t>个开放期，即在开放期内的每个工作日接受办理本基金份额的申购、赎回以及转换业务，</w:t>
      </w:r>
      <w:r w:rsidR="001E602A" w:rsidRPr="006A2E2C">
        <w:rPr>
          <w:kern w:val="0"/>
          <w:sz w:val="24"/>
        </w:rPr>
        <w:t>2025</w:t>
      </w:r>
      <w:r w:rsidR="001E602A" w:rsidRPr="006A2E2C">
        <w:rPr>
          <w:kern w:val="0"/>
          <w:sz w:val="24"/>
        </w:rPr>
        <w:t>年</w:t>
      </w:r>
      <w:r w:rsidR="001E602A" w:rsidRPr="006A2E2C">
        <w:rPr>
          <w:kern w:val="0"/>
          <w:sz w:val="24"/>
        </w:rPr>
        <w:t>12</w:t>
      </w:r>
      <w:r w:rsidR="001E602A" w:rsidRPr="006A2E2C">
        <w:rPr>
          <w:kern w:val="0"/>
          <w:sz w:val="24"/>
        </w:rPr>
        <w:t>月</w:t>
      </w:r>
      <w:r w:rsidR="001E602A" w:rsidRPr="006A2E2C">
        <w:rPr>
          <w:kern w:val="0"/>
          <w:sz w:val="24"/>
        </w:rPr>
        <w:t>12</w:t>
      </w:r>
      <w:r w:rsidR="001E602A" w:rsidRPr="006A2E2C">
        <w:rPr>
          <w:kern w:val="0"/>
          <w:sz w:val="24"/>
        </w:rPr>
        <w:t>日</w:t>
      </w:r>
      <w:r w:rsidRPr="006A2E2C">
        <w:rPr>
          <w:kern w:val="0"/>
          <w:sz w:val="24"/>
        </w:rPr>
        <w:t>15</w:t>
      </w:r>
      <w:r w:rsidRPr="006A2E2C">
        <w:rPr>
          <w:kern w:val="0"/>
          <w:sz w:val="24"/>
        </w:rPr>
        <w:t>：</w:t>
      </w:r>
      <w:r w:rsidRPr="006A2E2C">
        <w:rPr>
          <w:kern w:val="0"/>
          <w:sz w:val="24"/>
        </w:rPr>
        <w:t>00</w:t>
      </w:r>
      <w:r w:rsidRPr="006A2E2C">
        <w:rPr>
          <w:kern w:val="0"/>
          <w:sz w:val="24"/>
        </w:rPr>
        <w:t>以后暂停接受办理本基金的申购、赎回以及转换业务直至下一个开放期。届时将不再另行公告。</w:t>
      </w:r>
    </w:p>
    <w:p w:rsidR="008549FF" w:rsidRPr="006A2E2C" w:rsidRDefault="00F729AA" w:rsidP="008549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4.</w:t>
      </w:r>
      <w:r w:rsidR="008549FF" w:rsidRPr="006A2E2C">
        <w:rPr>
          <w:kern w:val="0"/>
          <w:sz w:val="24"/>
        </w:rPr>
        <w:t>投资者可通过本基金各销售机构及以下途径咨询有关详情：</w:t>
      </w:r>
    </w:p>
    <w:p w:rsidR="008549FF" w:rsidRPr="006A2E2C" w:rsidRDefault="008549FF" w:rsidP="008549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1</w:t>
      </w:r>
      <w:r w:rsidRPr="006A2E2C">
        <w:rPr>
          <w:kern w:val="0"/>
          <w:sz w:val="24"/>
        </w:rPr>
        <w:t>）民生加银基金管理有限公司</w:t>
      </w:r>
      <w:r w:rsidRPr="006A2E2C">
        <w:rPr>
          <w:kern w:val="0"/>
          <w:sz w:val="24"/>
        </w:rPr>
        <w:t xml:space="preserve"> </w:t>
      </w:r>
      <w:r w:rsidRPr="006A2E2C">
        <w:rPr>
          <w:kern w:val="0"/>
          <w:sz w:val="24"/>
        </w:rPr>
        <w:t>网站：</w:t>
      </w:r>
      <w:r w:rsidRPr="006A2E2C">
        <w:rPr>
          <w:kern w:val="0"/>
          <w:sz w:val="24"/>
        </w:rPr>
        <w:t>www.msjyfund.com.cn</w:t>
      </w:r>
    </w:p>
    <w:p w:rsidR="00F729AA" w:rsidRPr="006A2E2C" w:rsidRDefault="008549FF" w:rsidP="00911F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kern w:val="0"/>
          <w:sz w:val="24"/>
        </w:rPr>
      </w:pPr>
      <w:r w:rsidRPr="006A2E2C">
        <w:rPr>
          <w:kern w:val="0"/>
          <w:sz w:val="24"/>
        </w:rPr>
        <w:t>2</w:t>
      </w:r>
      <w:r w:rsidRPr="006A2E2C">
        <w:rPr>
          <w:kern w:val="0"/>
          <w:sz w:val="24"/>
        </w:rPr>
        <w:t>）民生加银基金管理有限公司</w:t>
      </w:r>
      <w:r w:rsidRPr="006A2E2C">
        <w:rPr>
          <w:kern w:val="0"/>
          <w:sz w:val="24"/>
        </w:rPr>
        <w:t xml:space="preserve"> </w:t>
      </w:r>
      <w:r w:rsidRPr="006A2E2C">
        <w:rPr>
          <w:kern w:val="0"/>
          <w:sz w:val="24"/>
        </w:rPr>
        <w:t>客户服务热线：</w:t>
      </w:r>
      <w:r w:rsidRPr="006A2E2C">
        <w:rPr>
          <w:kern w:val="0"/>
          <w:sz w:val="24"/>
        </w:rPr>
        <w:t>400-8888-388</w:t>
      </w:r>
    </w:p>
    <w:p w:rsidR="008549FF"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b/>
          <w:kern w:val="0"/>
          <w:sz w:val="24"/>
        </w:rPr>
      </w:pPr>
      <w:r w:rsidRPr="006A2E2C">
        <w:rPr>
          <w:b/>
          <w:kern w:val="0"/>
          <w:sz w:val="24"/>
        </w:rPr>
        <w:t>5.</w:t>
      </w:r>
      <w:r w:rsidRPr="006A2E2C">
        <w:rPr>
          <w:b/>
          <w:kern w:val="0"/>
          <w:sz w:val="24"/>
        </w:rPr>
        <w:t>风险提示：</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b/>
          <w:kern w:val="0"/>
          <w:sz w:val="24"/>
        </w:rPr>
      </w:pPr>
      <w:r w:rsidRPr="006A2E2C">
        <w:rPr>
          <w:b/>
          <w:kern w:val="0"/>
          <w:sz w:val="24"/>
        </w:rPr>
        <w:t>本基金自基金合同生效之日起每封闭运作一年后开放</w:t>
      </w:r>
      <w:r w:rsidRPr="006A2E2C">
        <w:rPr>
          <w:b/>
          <w:kern w:val="0"/>
          <w:sz w:val="24"/>
        </w:rPr>
        <w:t>5-10</w:t>
      </w:r>
      <w:r w:rsidRPr="006A2E2C">
        <w:rPr>
          <w:b/>
          <w:kern w:val="0"/>
          <w:sz w:val="24"/>
        </w:rPr>
        <w:t>个工作日的申购赎回业务，基金份额持有人只能在开放期赎回基金份额，在封闭运作期，基金份额持有人将面临因不能赎回基金而出现的流动性风险。</w:t>
      </w:r>
    </w:p>
    <w:p w:rsidR="008549FF" w:rsidRPr="006A2E2C" w:rsidRDefault="008549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left"/>
        <w:rPr>
          <w:b/>
          <w:sz w:val="24"/>
        </w:rPr>
      </w:pPr>
      <w:r w:rsidRPr="006A2E2C">
        <w:rPr>
          <w:b/>
          <w:sz w:val="24"/>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kern w:val="0"/>
          <w:sz w:val="24"/>
        </w:rPr>
      </w:pPr>
      <w:r w:rsidRPr="006A2E2C">
        <w:rPr>
          <w:kern w:val="0"/>
          <w:sz w:val="24"/>
        </w:rPr>
        <w:t>特此公告。</w:t>
      </w: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kern w:val="0"/>
          <w:sz w:val="24"/>
        </w:rPr>
      </w:pP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left"/>
        <w:rPr>
          <w:kern w:val="0"/>
          <w:sz w:val="24"/>
        </w:rPr>
      </w:pPr>
    </w:p>
    <w:p w:rsidR="00F729AA" w:rsidRPr="006A2E2C" w:rsidRDefault="00F72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right"/>
        <w:rPr>
          <w:kern w:val="0"/>
          <w:sz w:val="24"/>
        </w:rPr>
      </w:pPr>
      <w:r w:rsidRPr="006A2E2C">
        <w:rPr>
          <w:kern w:val="0"/>
          <w:sz w:val="24"/>
        </w:rPr>
        <w:t>民生加银基金管理有限公司</w:t>
      </w:r>
    </w:p>
    <w:p w:rsidR="00F729AA" w:rsidRPr="006A2E2C" w:rsidRDefault="008549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right"/>
        <w:rPr>
          <w:kern w:val="0"/>
          <w:sz w:val="24"/>
        </w:rPr>
      </w:pPr>
      <w:r w:rsidRPr="006A2E2C">
        <w:rPr>
          <w:bCs/>
          <w:sz w:val="24"/>
        </w:rPr>
        <w:t>2025</w:t>
      </w:r>
      <w:r w:rsidR="00A958A3" w:rsidRPr="006A2E2C">
        <w:rPr>
          <w:bCs/>
          <w:sz w:val="24"/>
        </w:rPr>
        <w:t>年</w:t>
      </w:r>
      <w:r w:rsidR="00A958A3" w:rsidRPr="006A2E2C">
        <w:rPr>
          <w:bCs/>
          <w:sz w:val="24"/>
        </w:rPr>
        <w:t>11</w:t>
      </w:r>
      <w:r w:rsidR="00A958A3" w:rsidRPr="006A2E2C">
        <w:rPr>
          <w:bCs/>
          <w:sz w:val="24"/>
        </w:rPr>
        <w:t>月</w:t>
      </w:r>
      <w:r w:rsidRPr="006A2E2C">
        <w:rPr>
          <w:bCs/>
          <w:sz w:val="24"/>
        </w:rPr>
        <w:t>27</w:t>
      </w:r>
      <w:r w:rsidR="00A958A3" w:rsidRPr="006A2E2C">
        <w:rPr>
          <w:bCs/>
          <w:sz w:val="24"/>
        </w:rPr>
        <w:t>日</w:t>
      </w:r>
      <w:bookmarkEnd w:id="1"/>
    </w:p>
    <w:sectPr w:rsidR="00F729AA" w:rsidRPr="006A2E2C" w:rsidSect="0004462D">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66B" w:rsidRDefault="004A266B">
      <w:pPr>
        <w:spacing w:line="240" w:lineRule="auto"/>
        <w:ind w:firstLine="420"/>
      </w:pPr>
      <w:r>
        <w:separator/>
      </w:r>
    </w:p>
  </w:endnote>
  <w:endnote w:type="continuationSeparator" w:id="0">
    <w:p w:rsidR="004A266B" w:rsidRDefault="004A266B">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variable"/>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variable"/>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D7" w:rsidRDefault="009D4ED7">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AA" w:rsidRDefault="0004462D">
    <w:pPr>
      <w:pStyle w:val="a4"/>
      <w:ind w:firstLine="360"/>
      <w:jc w:val="center"/>
    </w:pPr>
    <w:r>
      <w:rPr>
        <w:rStyle w:val="aa"/>
      </w:rPr>
      <w:fldChar w:fldCharType="begin"/>
    </w:r>
    <w:r w:rsidR="00F729AA">
      <w:rPr>
        <w:rStyle w:val="aa"/>
      </w:rPr>
      <w:instrText xml:space="preserve"> PAGE </w:instrText>
    </w:r>
    <w:r>
      <w:rPr>
        <w:rStyle w:val="aa"/>
      </w:rPr>
      <w:fldChar w:fldCharType="separate"/>
    </w:r>
    <w:r w:rsidR="005C0667">
      <w:rPr>
        <w:rStyle w:val="aa"/>
        <w:noProof/>
      </w:rPr>
      <w:t>1</w:t>
    </w:r>
    <w:r>
      <w:rPr>
        <w:rStyle w:val="a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AA" w:rsidRDefault="0004462D">
    <w:pPr>
      <w:pStyle w:val="a4"/>
      <w:ind w:firstLine="360"/>
      <w:jc w:val="center"/>
    </w:pPr>
    <w:r>
      <w:fldChar w:fldCharType="begin"/>
    </w:r>
    <w:r w:rsidR="00F729AA">
      <w:instrText xml:space="preserve"> PAGE   \* MERGEFORMAT </w:instrText>
    </w:r>
    <w:r>
      <w:fldChar w:fldCharType="separate"/>
    </w:r>
    <w:r w:rsidR="00F729AA">
      <w:rPr>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66B" w:rsidRDefault="004A266B">
      <w:pPr>
        <w:spacing w:line="240" w:lineRule="auto"/>
        <w:ind w:firstLine="420"/>
      </w:pPr>
      <w:r>
        <w:separator/>
      </w:r>
    </w:p>
  </w:footnote>
  <w:footnote w:type="continuationSeparator" w:id="0">
    <w:p w:rsidR="004A266B" w:rsidRDefault="004A266B">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D7" w:rsidRDefault="009D4ED7">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AA" w:rsidRDefault="00F729AA" w:rsidP="005A1C2E">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AA" w:rsidRDefault="00F729AA">
    <w:pPr>
      <w:pStyle w:val="a3"/>
      <w:ind w:right="360" w:firstLineChars="0" w:firstLine="0"/>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906E58A2"/>
    <w:lvl w:ilvl="0">
      <w:start w:val="1"/>
      <w:numFmt w:val="decimal"/>
      <w:lvlText w:val="%1."/>
      <w:lvlJc w:val="left"/>
      <w:pPr>
        <w:tabs>
          <w:tab w:val="num" w:pos="2040"/>
        </w:tabs>
        <w:ind w:left="2040" w:hanging="360"/>
      </w:pPr>
    </w:lvl>
  </w:abstractNum>
  <w:abstractNum w:abstractNumId="1">
    <w:nsid w:val="0FFFFF7D"/>
    <w:multiLevelType w:val="singleLevel"/>
    <w:tmpl w:val="CB621ACC"/>
    <w:lvl w:ilvl="0">
      <w:start w:val="1"/>
      <w:numFmt w:val="decimal"/>
      <w:lvlText w:val="%1."/>
      <w:lvlJc w:val="left"/>
      <w:pPr>
        <w:tabs>
          <w:tab w:val="num" w:pos="1620"/>
        </w:tabs>
        <w:ind w:left="1620" w:hanging="360"/>
      </w:pPr>
    </w:lvl>
  </w:abstractNum>
  <w:abstractNum w:abstractNumId="2">
    <w:nsid w:val="0FFFFF7E"/>
    <w:multiLevelType w:val="singleLevel"/>
    <w:tmpl w:val="8876A000"/>
    <w:lvl w:ilvl="0">
      <w:start w:val="1"/>
      <w:numFmt w:val="decimal"/>
      <w:lvlText w:val="%1."/>
      <w:lvlJc w:val="left"/>
      <w:pPr>
        <w:tabs>
          <w:tab w:val="num" w:pos="1200"/>
        </w:tabs>
        <w:ind w:left="1200" w:hanging="360"/>
      </w:pPr>
    </w:lvl>
  </w:abstractNum>
  <w:abstractNum w:abstractNumId="3">
    <w:nsid w:val="0FFFFF7F"/>
    <w:multiLevelType w:val="singleLevel"/>
    <w:tmpl w:val="89F4C0EA"/>
    <w:lvl w:ilvl="0">
      <w:start w:val="1"/>
      <w:numFmt w:val="decimal"/>
      <w:lvlText w:val="%1."/>
      <w:lvlJc w:val="left"/>
      <w:pPr>
        <w:tabs>
          <w:tab w:val="num" w:pos="780"/>
        </w:tabs>
        <w:ind w:left="780" w:hanging="360"/>
      </w:pPr>
    </w:lvl>
  </w:abstractNum>
  <w:abstractNum w:abstractNumId="4">
    <w:nsid w:val="0FFFFF80"/>
    <w:multiLevelType w:val="singleLevel"/>
    <w:tmpl w:val="65E809D6"/>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A0DA74B4"/>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794A7A5A"/>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29948A64"/>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C00C1A3C"/>
    <w:lvl w:ilvl="0">
      <w:start w:val="1"/>
      <w:numFmt w:val="decimal"/>
      <w:lvlText w:val="%1."/>
      <w:lvlJc w:val="left"/>
      <w:pPr>
        <w:tabs>
          <w:tab w:val="num" w:pos="360"/>
        </w:tabs>
        <w:ind w:left="360" w:hanging="360"/>
      </w:pPr>
    </w:lvl>
  </w:abstractNum>
  <w:abstractNum w:abstractNumId="9">
    <w:nsid w:val="0FFFFF89"/>
    <w:multiLevelType w:val="singleLevel"/>
    <w:tmpl w:val="F6A8501C"/>
    <w:lvl w:ilvl="0">
      <w:start w:val="1"/>
      <w:numFmt w:val="bullet"/>
      <w:lvlText w:val="●"/>
      <w:lvlJc w:val="left"/>
      <w:pPr>
        <w:tabs>
          <w:tab w:val="num" w:pos="360"/>
        </w:tabs>
        <w:ind w:left="360" w:hanging="360"/>
      </w:pPr>
      <w:rPr>
        <w:rFonts w:ascii="宋体" w:hAnsi="宋体" w:hint="default"/>
      </w:rPr>
    </w:lvl>
  </w:abstractNum>
  <w:abstractNum w:abstractNumId="10">
    <w:nsid w:val="64832FB5"/>
    <w:multiLevelType w:val="hybridMultilevel"/>
    <w:tmpl w:val="79FE96BC"/>
    <w:lvl w:ilvl="0" w:tplc="FFE6E1F0">
      <w:start w:val="1"/>
      <w:numFmt w:val="decimal"/>
      <w:pStyle w:val="115"/>
      <w:lvlText w:val="%1）"/>
      <w:lvlJc w:val="left"/>
      <w:pPr>
        <w:tabs>
          <w:tab w:val="num" w:pos="360"/>
        </w:tabs>
        <w:ind w:left="360" w:hanging="360"/>
      </w:pPr>
      <w:rPr>
        <w:rFonts w:hint="default"/>
      </w:rPr>
    </w:lvl>
    <w:lvl w:ilvl="1" w:tplc="59FA3142">
      <w:start w:val="1"/>
      <w:numFmt w:val="lowerLetter"/>
      <w:pStyle w:val="2111111"/>
      <w:lvlText w:val="%2)"/>
      <w:lvlJc w:val="left"/>
      <w:pPr>
        <w:tabs>
          <w:tab w:val="num" w:pos="840"/>
        </w:tabs>
        <w:ind w:left="840" w:hanging="420"/>
      </w:pPr>
    </w:lvl>
    <w:lvl w:ilvl="2" w:tplc="1E400522">
      <w:start w:val="1"/>
      <w:numFmt w:val="lowerRoman"/>
      <w:lvlText w:val="%3."/>
      <w:lvlJc w:val="right"/>
      <w:pPr>
        <w:tabs>
          <w:tab w:val="num" w:pos="1260"/>
        </w:tabs>
        <w:ind w:left="1260" w:hanging="420"/>
      </w:pPr>
    </w:lvl>
    <w:lvl w:ilvl="3" w:tplc="65F83BF8">
      <w:start w:val="1"/>
      <w:numFmt w:val="decimal"/>
      <w:lvlText w:val="%4."/>
      <w:lvlJc w:val="left"/>
      <w:pPr>
        <w:tabs>
          <w:tab w:val="num" w:pos="1680"/>
        </w:tabs>
        <w:ind w:left="1680" w:hanging="420"/>
      </w:pPr>
    </w:lvl>
    <w:lvl w:ilvl="4" w:tplc="04465C06">
      <w:start w:val="1"/>
      <w:numFmt w:val="lowerLetter"/>
      <w:lvlText w:val="%5)"/>
      <w:lvlJc w:val="left"/>
      <w:pPr>
        <w:tabs>
          <w:tab w:val="num" w:pos="2100"/>
        </w:tabs>
        <w:ind w:left="2100" w:hanging="420"/>
      </w:pPr>
    </w:lvl>
    <w:lvl w:ilvl="5" w:tplc="E9B0A162">
      <w:start w:val="1"/>
      <w:numFmt w:val="lowerRoman"/>
      <w:lvlText w:val="%6."/>
      <w:lvlJc w:val="right"/>
      <w:pPr>
        <w:tabs>
          <w:tab w:val="num" w:pos="2520"/>
        </w:tabs>
        <w:ind w:left="2520" w:hanging="420"/>
      </w:pPr>
    </w:lvl>
    <w:lvl w:ilvl="6" w:tplc="97B214A2">
      <w:start w:val="1"/>
      <w:numFmt w:val="decimal"/>
      <w:lvlText w:val="%7."/>
      <w:lvlJc w:val="left"/>
      <w:pPr>
        <w:tabs>
          <w:tab w:val="num" w:pos="2940"/>
        </w:tabs>
        <w:ind w:left="2940" w:hanging="420"/>
      </w:pPr>
    </w:lvl>
    <w:lvl w:ilvl="7" w:tplc="0C5224CE">
      <w:start w:val="1"/>
      <w:numFmt w:val="lowerLetter"/>
      <w:lvlText w:val="%8)"/>
      <w:lvlJc w:val="left"/>
      <w:pPr>
        <w:tabs>
          <w:tab w:val="num" w:pos="3360"/>
        </w:tabs>
        <w:ind w:left="3360" w:hanging="420"/>
      </w:pPr>
    </w:lvl>
    <w:lvl w:ilvl="8" w:tplc="65FCDC86">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stylePaneFormatFilter w:val="3F01"/>
  <w:defaultTabStop w:val="420"/>
  <w:defaultTableStyle w:val="a"/>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2D14"/>
    <w:rsid w:val="00015C92"/>
    <w:rsid w:val="00027629"/>
    <w:rsid w:val="0004462D"/>
    <w:rsid w:val="000976E6"/>
    <w:rsid w:val="000A1A22"/>
    <w:rsid w:val="00150683"/>
    <w:rsid w:val="001D156A"/>
    <w:rsid w:val="001E602A"/>
    <w:rsid w:val="00213132"/>
    <w:rsid w:val="0021787A"/>
    <w:rsid w:val="00273A8E"/>
    <w:rsid w:val="002C489C"/>
    <w:rsid w:val="003340E0"/>
    <w:rsid w:val="00361BE2"/>
    <w:rsid w:val="003A0D1F"/>
    <w:rsid w:val="004A266B"/>
    <w:rsid w:val="004B1D79"/>
    <w:rsid w:val="004E0D42"/>
    <w:rsid w:val="004F5D4F"/>
    <w:rsid w:val="00587056"/>
    <w:rsid w:val="005A1C2E"/>
    <w:rsid w:val="005C0667"/>
    <w:rsid w:val="005C4258"/>
    <w:rsid w:val="005D0012"/>
    <w:rsid w:val="0061284C"/>
    <w:rsid w:val="006467B6"/>
    <w:rsid w:val="0066385C"/>
    <w:rsid w:val="006A2E2C"/>
    <w:rsid w:val="006E392A"/>
    <w:rsid w:val="007002CE"/>
    <w:rsid w:val="00786CE3"/>
    <w:rsid w:val="007A31C6"/>
    <w:rsid w:val="007D54B9"/>
    <w:rsid w:val="007E7F48"/>
    <w:rsid w:val="00803935"/>
    <w:rsid w:val="0082429C"/>
    <w:rsid w:val="008549FF"/>
    <w:rsid w:val="00856800"/>
    <w:rsid w:val="008715BF"/>
    <w:rsid w:val="008B56C5"/>
    <w:rsid w:val="00911F3D"/>
    <w:rsid w:val="00912D14"/>
    <w:rsid w:val="00921F30"/>
    <w:rsid w:val="009370E6"/>
    <w:rsid w:val="009D4ED7"/>
    <w:rsid w:val="00A25710"/>
    <w:rsid w:val="00A958A3"/>
    <w:rsid w:val="00AE15B1"/>
    <w:rsid w:val="00AF1672"/>
    <w:rsid w:val="00B02321"/>
    <w:rsid w:val="00B111E4"/>
    <w:rsid w:val="00B24E8C"/>
    <w:rsid w:val="00B36529"/>
    <w:rsid w:val="00B71F75"/>
    <w:rsid w:val="00BC25A1"/>
    <w:rsid w:val="00BE060B"/>
    <w:rsid w:val="00BF74A9"/>
    <w:rsid w:val="00C74BA0"/>
    <w:rsid w:val="00C76C7A"/>
    <w:rsid w:val="00C879CD"/>
    <w:rsid w:val="00CF70AE"/>
    <w:rsid w:val="00DB2758"/>
    <w:rsid w:val="00E621D1"/>
    <w:rsid w:val="00E816A6"/>
    <w:rsid w:val="00E840AF"/>
    <w:rsid w:val="00F011E3"/>
    <w:rsid w:val="00F729AA"/>
    <w:rsid w:val="00F80BF0"/>
    <w:rsid w:val="00FF3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62D"/>
    <w:pPr>
      <w:widowControl w:val="0"/>
      <w:spacing w:line="360" w:lineRule="auto"/>
      <w:ind w:firstLineChars="200" w:firstLine="200"/>
      <w:jc w:val="both"/>
    </w:pPr>
    <w:rPr>
      <w:rFonts w:eastAsia="宋体"/>
      <w:kern w:val="2"/>
      <w:sz w:val="21"/>
      <w:szCs w:val="24"/>
    </w:rPr>
  </w:style>
  <w:style w:type="paragraph" w:styleId="1">
    <w:name w:val="heading 1"/>
    <w:basedOn w:val="a"/>
    <w:next w:val="a"/>
    <w:qFormat/>
    <w:rsid w:val="0004462D"/>
    <w:pPr>
      <w:keepNext/>
      <w:keepLines/>
      <w:spacing w:before="340" w:after="330" w:line="578" w:lineRule="auto"/>
      <w:outlineLvl w:val="0"/>
    </w:pPr>
    <w:rPr>
      <w:b/>
      <w:bCs/>
      <w:kern w:val="44"/>
      <w:sz w:val="44"/>
      <w:szCs w:val="44"/>
    </w:rPr>
  </w:style>
  <w:style w:type="paragraph" w:styleId="2">
    <w:name w:val="heading 2"/>
    <w:basedOn w:val="a"/>
    <w:next w:val="a"/>
    <w:qFormat/>
    <w:rsid w:val="0004462D"/>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rsid w:val="0004462D"/>
    <w:pPr>
      <w:keepNext/>
      <w:keepLines/>
      <w:spacing w:before="260" w:after="260" w:line="415" w:lineRule="auto"/>
      <w:outlineLvl w:val="2"/>
    </w:pPr>
    <w:rPr>
      <w:b/>
      <w:bCs/>
      <w:sz w:val="32"/>
      <w:szCs w:val="32"/>
    </w:rPr>
  </w:style>
  <w:style w:type="paragraph" w:styleId="4">
    <w:name w:val="heading 4"/>
    <w:basedOn w:val="a"/>
    <w:next w:val="a"/>
    <w:qFormat/>
    <w:rsid w:val="0004462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04462D"/>
    <w:pPr>
      <w:keepNext/>
      <w:keepLines/>
      <w:spacing w:before="280" w:after="290" w:line="376" w:lineRule="auto"/>
      <w:outlineLvl w:val="4"/>
    </w:pPr>
    <w:rPr>
      <w:b/>
      <w:bCs/>
      <w:sz w:val="28"/>
      <w:szCs w:val="28"/>
    </w:rPr>
  </w:style>
  <w:style w:type="paragraph" w:styleId="6">
    <w:name w:val="heading 6"/>
    <w:basedOn w:val="a"/>
    <w:next w:val="a"/>
    <w:qFormat/>
    <w:rsid w:val="0004462D"/>
    <w:pPr>
      <w:keepNext/>
      <w:keepLines/>
      <w:spacing w:before="240" w:after="64" w:line="319" w:lineRule="auto"/>
      <w:ind w:left="851"/>
      <w:outlineLvl w:val="5"/>
    </w:pPr>
    <w:rPr>
      <w:rFonts w:ascii="Arial" w:eastAsia="黑体" w:hAnsi="Arial"/>
      <w:b/>
      <w:bCs/>
      <w:sz w:val="24"/>
    </w:rPr>
  </w:style>
  <w:style w:type="paragraph" w:styleId="7">
    <w:name w:val="heading 7"/>
    <w:basedOn w:val="a"/>
    <w:next w:val="a"/>
    <w:qFormat/>
    <w:rsid w:val="0004462D"/>
    <w:pPr>
      <w:keepNext/>
      <w:keepLines/>
      <w:spacing w:before="240" w:after="64" w:line="319" w:lineRule="auto"/>
      <w:ind w:left="851"/>
      <w:outlineLvl w:val="6"/>
    </w:pPr>
    <w:rPr>
      <w:b/>
      <w:bCs/>
      <w:sz w:val="24"/>
    </w:rPr>
  </w:style>
  <w:style w:type="paragraph" w:styleId="8">
    <w:name w:val="heading 8"/>
    <w:basedOn w:val="a"/>
    <w:next w:val="a"/>
    <w:qFormat/>
    <w:rsid w:val="0004462D"/>
    <w:pPr>
      <w:keepNext/>
      <w:keepLines/>
      <w:spacing w:before="240" w:after="64" w:line="319" w:lineRule="auto"/>
      <w:ind w:left="851"/>
      <w:outlineLvl w:val="7"/>
    </w:pPr>
    <w:rPr>
      <w:rFonts w:ascii="Arial" w:eastAsia="黑体" w:hAnsi="Arial"/>
      <w:sz w:val="24"/>
    </w:rPr>
  </w:style>
  <w:style w:type="paragraph" w:styleId="9">
    <w:name w:val="heading 9"/>
    <w:basedOn w:val="a"/>
    <w:next w:val="a"/>
    <w:qFormat/>
    <w:rsid w:val="0004462D"/>
    <w:pPr>
      <w:keepNext/>
      <w:keepLines/>
      <w:spacing w:before="240" w:after="64" w:line="319" w:lineRule="auto"/>
      <w:ind w:left="851"/>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4462D"/>
  </w:style>
  <w:style w:type="paragraph" w:styleId="a3">
    <w:name w:val="header"/>
    <w:basedOn w:val="a"/>
    <w:rsid w:val="0004462D"/>
    <w:pPr>
      <w:pBdr>
        <w:bottom w:val="single" w:sz="6" w:space="1" w:color="auto"/>
      </w:pBdr>
      <w:tabs>
        <w:tab w:val="center" w:pos="4153"/>
        <w:tab w:val="right" w:pos="8306"/>
      </w:tabs>
      <w:snapToGrid w:val="0"/>
      <w:jc w:val="center"/>
    </w:pPr>
    <w:rPr>
      <w:sz w:val="18"/>
      <w:szCs w:val="18"/>
    </w:rPr>
  </w:style>
  <w:style w:type="paragraph" w:styleId="a4">
    <w:name w:val="footer"/>
    <w:basedOn w:val="a"/>
    <w:rsid w:val="0004462D"/>
    <w:pPr>
      <w:tabs>
        <w:tab w:val="center" w:pos="4153"/>
        <w:tab w:val="right" w:pos="8306"/>
      </w:tabs>
      <w:snapToGrid w:val="0"/>
      <w:jc w:val="left"/>
    </w:pPr>
    <w:rPr>
      <w:sz w:val="18"/>
      <w:szCs w:val="18"/>
    </w:rPr>
  </w:style>
  <w:style w:type="character" w:styleId="a5">
    <w:name w:val="annotation reference"/>
    <w:uiPriority w:val="99"/>
    <w:rsid w:val="0004462D"/>
    <w:rPr>
      <w:sz w:val="21"/>
      <w:szCs w:val="21"/>
    </w:rPr>
  </w:style>
  <w:style w:type="paragraph" w:styleId="a6">
    <w:name w:val="Body Text"/>
    <w:basedOn w:val="a"/>
    <w:rsid w:val="0004462D"/>
    <w:pPr>
      <w:adjustRightInd w:val="0"/>
      <w:snapToGrid w:val="0"/>
      <w:spacing w:line="324" w:lineRule="auto"/>
      <w:ind w:right="28"/>
      <w:jc w:val="left"/>
    </w:pPr>
    <w:rPr>
      <w:rFonts w:ascii="仿宋_GB2312" w:eastAsia="仿宋_GB2312"/>
      <w:kern w:val="0"/>
      <w:sz w:val="28"/>
      <w:szCs w:val="20"/>
    </w:rPr>
  </w:style>
  <w:style w:type="paragraph" w:styleId="a7">
    <w:name w:val="Normal (Web)"/>
    <w:basedOn w:val="a"/>
    <w:rsid w:val="0004462D"/>
    <w:pPr>
      <w:widowControl/>
      <w:spacing w:before="100" w:beforeAutospacing="1" w:after="100" w:afterAutospacing="1"/>
      <w:jc w:val="left"/>
    </w:pPr>
    <w:rPr>
      <w:rFonts w:ascii="宋体"/>
      <w:kern w:val="0"/>
      <w:sz w:val="24"/>
    </w:rPr>
  </w:style>
  <w:style w:type="paragraph" w:styleId="a8">
    <w:name w:val="Document Map"/>
    <w:basedOn w:val="a"/>
    <w:rsid w:val="0004462D"/>
    <w:pPr>
      <w:shd w:val="clear" w:color="auto" w:fill="000080"/>
    </w:pPr>
  </w:style>
  <w:style w:type="character" w:customStyle="1" w:styleId="CharCharCharCharCharCharCharChar">
    <w:name w:val="正文文字 Char Char Char Char Char Char Char Char"/>
    <w:aliases w:val="正文文本2,正文文本1"/>
    <w:rsid w:val="0004462D"/>
    <w:rPr>
      <w:rFonts w:ascii="仿宋_GB2312" w:eastAsia="仿宋_GB2312"/>
      <w:sz w:val="28"/>
      <w:lang w:val="en-US" w:eastAsia="zh-CN" w:bidi="ar-SA"/>
    </w:rPr>
  </w:style>
  <w:style w:type="character" w:customStyle="1" w:styleId="afont1">
    <w:name w:val="afont1"/>
    <w:rsid w:val="0004462D"/>
    <w:rPr>
      <w:rFonts w:ascii="Arial Narrow" w:hAnsi="Arial Narrow"/>
      <w:sz w:val="21"/>
      <w:szCs w:val="21"/>
    </w:rPr>
  </w:style>
  <w:style w:type="paragraph" w:customStyle="1" w:styleId="CharChar">
    <w:name w:val="Char Char"/>
    <w:basedOn w:val="a"/>
    <w:rsid w:val="0004462D"/>
  </w:style>
  <w:style w:type="paragraph" w:customStyle="1" w:styleId="Default">
    <w:name w:val="Default"/>
    <w:rsid w:val="0004462D"/>
    <w:pPr>
      <w:widowControl w:val="0"/>
      <w:autoSpaceDE w:val="0"/>
      <w:autoSpaceDN w:val="0"/>
      <w:adjustRightInd w:val="0"/>
      <w:spacing w:line="360" w:lineRule="auto"/>
      <w:ind w:firstLineChars="200" w:firstLine="200"/>
    </w:pPr>
    <w:rPr>
      <w:rFonts w:ascii="宋体" w:eastAsia="宋体" w:cs="宋体"/>
      <w:color w:val="000000"/>
      <w:sz w:val="24"/>
      <w:szCs w:val="24"/>
    </w:rPr>
  </w:style>
  <w:style w:type="paragraph" w:styleId="a9">
    <w:name w:val="Date"/>
    <w:basedOn w:val="a"/>
    <w:next w:val="a"/>
    <w:rsid w:val="0004462D"/>
    <w:rPr>
      <w:sz w:val="24"/>
      <w:szCs w:val="20"/>
    </w:rPr>
  </w:style>
  <w:style w:type="paragraph" w:customStyle="1" w:styleId="CharCharCharChar">
    <w:name w:val="Char Char Char Char"/>
    <w:basedOn w:val="a"/>
    <w:autoRedefine/>
    <w:rsid w:val="0004462D"/>
    <w:pPr>
      <w:tabs>
        <w:tab w:val="num" w:pos="840"/>
      </w:tabs>
      <w:adjustRightInd w:val="0"/>
      <w:spacing w:line="360" w:lineRule="atLeast"/>
      <w:ind w:left="840"/>
      <w:textAlignment w:val="baseline"/>
    </w:pPr>
    <w:rPr>
      <w:sz w:val="24"/>
    </w:rPr>
  </w:style>
  <w:style w:type="character" w:styleId="aa">
    <w:name w:val="page number"/>
    <w:basedOn w:val="a0"/>
    <w:rsid w:val="0004462D"/>
  </w:style>
  <w:style w:type="paragraph" w:customStyle="1" w:styleId="xl33">
    <w:name w:val="xl33"/>
    <w:basedOn w:val="a"/>
    <w:rsid w:val="0004462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4462D"/>
    <w:pPr>
      <w:keepNext/>
      <w:keepLines/>
      <w:numPr>
        <w:ilvl w:val="1"/>
        <w:numId w:val="11"/>
      </w:numPr>
      <w:spacing w:beforeLines="100" w:afterLines="100"/>
      <w:ind w:firstLineChars="0" w:firstLine="0"/>
      <w:outlineLvl w:val="1"/>
    </w:pPr>
    <w:rPr>
      <w:rFonts w:ascii="Arial" w:hAnsi="Arial"/>
      <w:b/>
      <w:bCs/>
      <w:sz w:val="28"/>
      <w:szCs w:val="20"/>
    </w:rPr>
  </w:style>
  <w:style w:type="paragraph" w:customStyle="1" w:styleId="115">
    <w:name w:val="样式 标题 1 + 段前: 1.5 行"/>
    <w:basedOn w:val="a"/>
    <w:rsid w:val="0004462D"/>
    <w:pPr>
      <w:numPr>
        <w:numId w:val="11"/>
      </w:numPr>
      <w:ind w:firstLineChars="0" w:firstLine="0"/>
    </w:pPr>
    <w:rPr>
      <w:sz w:val="24"/>
      <w:szCs w:val="20"/>
    </w:rPr>
  </w:style>
  <w:style w:type="paragraph" w:customStyle="1" w:styleId="ab">
    <w:name w:val="简单回函地址"/>
    <w:basedOn w:val="a"/>
    <w:rsid w:val="0004462D"/>
  </w:style>
  <w:style w:type="paragraph" w:customStyle="1" w:styleId="FormLabel">
    <w:name w:val="Form Label"/>
    <w:basedOn w:val="a"/>
    <w:rsid w:val="0004462D"/>
    <w:pPr>
      <w:widowControl/>
      <w:spacing w:line="280" w:lineRule="exact"/>
      <w:jc w:val="left"/>
    </w:pPr>
    <w:rPr>
      <w:kern w:val="0"/>
      <w:sz w:val="18"/>
      <w:szCs w:val="20"/>
      <w:lang w:val="en-GB" w:eastAsia="en-GB"/>
    </w:rPr>
  </w:style>
  <w:style w:type="character" w:styleId="ac">
    <w:name w:val="Strong"/>
    <w:qFormat/>
    <w:rsid w:val="0004462D"/>
    <w:rPr>
      <w:b/>
      <w:bCs/>
    </w:rPr>
  </w:style>
  <w:style w:type="paragraph" w:customStyle="1" w:styleId="Char0">
    <w:name w:val="Char"/>
    <w:basedOn w:val="a"/>
    <w:rsid w:val="0004462D"/>
  </w:style>
  <w:style w:type="character" w:customStyle="1" w:styleId="2CharCharChar">
    <w:name w:val="标题 2 Char Char Char"/>
    <w:rsid w:val="0004462D"/>
    <w:rPr>
      <w:rFonts w:ascii="Arial" w:eastAsia="宋体" w:hAnsi="Arial"/>
      <w:b/>
      <w:kern w:val="2"/>
      <w:sz w:val="28"/>
      <w:szCs w:val="28"/>
      <w:lang w:val="en-US" w:eastAsia="zh-CN" w:bidi="ar-SA"/>
    </w:rPr>
  </w:style>
  <w:style w:type="paragraph" w:styleId="ad">
    <w:name w:val="Balloon Text"/>
    <w:basedOn w:val="a"/>
    <w:rsid w:val="0004462D"/>
    <w:rPr>
      <w:sz w:val="18"/>
      <w:szCs w:val="18"/>
    </w:rPr>
  </w:style>
  <w:style w:type="paragraph" w:styleId="ae">
    <w:name w:val="footnote text"/>
    <w:basedOn w:val="a"/>
    <w:rsid w:val="0004462D"/>
    <w:pPr>
      <w:snapToGrid w:val="0"/>
      <w:jc w:val="left"/>
    </w:pPr>
    <w:rPr>
      <w:sz w:val="18"/>
      <w:szCs w:val="18"/>
    </w:rPr>
  </w:style>
  <w:style w:type="character" w:styleId="af">
    <w:name w:val="footnote reference"/>
    <w:rsid w:val="0004462D"/>
    <w:rPr>
      <w:vertAlign w:val="superscript"/>
    </w:rPr>
  </w:style>
  <w:style w:type="character" w:styleId="af0">
    <w:name w:val="Hyperlink"/>
    <w:rsid w:val="0004462D"/>
    <w:rPr>
      <w:color w:val="0000FF"/>
      <w:u w:val="single"/>
    </w:rPr>
  </w:style>
  <w:style w:type="paragraph" w:customStyle="1" w:styleId="xl31">
    <w:name w:val="xl31"/>
    <w:basedOn w:val="a"/>
    <w:rsid w:val="0004462D"/>
    <w:pPr>
      <w:widowControl/>
      <w:spacing w:before="100" w:beforeAutospacing="1" w:after="100" w:afterAutospacing="1"/>
      <w:jc w:val="center"/>
      <w:textAlignment w:val="center"/>
    </w:pPr>
    <w:rPr>
      <w:rFonts w:asci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4462D"/>
    <w:pPr>
      <w:widowControl/>
      <w:spacing w:after="160" w:line="240" w:lineRule="exact"/>
      <w:jc w:val="left"/>
    </w:pPr>
    <w:rPr>
      <w:rFonts w:ascii="Verdana" w:eastAsia="Times New Roman" w:hAnsi="Verdana"/>
      <w:kern w:val="0"/>
      <w:sz w:val="20"/>
      <w:szCs w:val="20"/>
    </w:rPr>
  </w:style>
  <w:style w:type="paragraph" w:customStyle="1" w:styleId="Char1CharCharCharChar">
    <w:name w:val="Char1 Char Char Char Char"/>
    <w:basedOn w:val="a"/>
    <w:rsid w:val="0004462D"/>
    <w:pPr>
      <w:widowControl/>
      <w:spacing w:after="160" w:line="240" w:lineRule="exact"/>
      <w:jc w:val="left"/>
    </w:pPr>
    <w:rPr>
      <w:rFonts w:ascii="Verdana" w:hAnsi="Verdana" w:cs="Verdana"/>
      <w:kern w:val="0"/>
      <w:sz w:val="20"/>
      <w:szCs w:val="20"/>
    </w:rPr>
  </w:style>
  <w:style w:type="paragraph" w:styleId="af1">
    <w:name w:val="annotation text"/>
    <w:basedOn w:val="a"/>
    <w:link w:val="Char1"/>
    <w:uiPriority w:val="99"/>
    <w:rsid w:val="0004462D"/>
    <w:pPr>
      <w:jc w:val="left"/>
    </w:pPr>
  </w:style>
  <w:style w:type="paragraph" w:styleId="af2">
    <w:name w:val="annotation subject"/>
    <w:basedOn w:val="af1"/>
    <w:next w:val="af1"/>
    <w:rsid w:val="0004462D"/>
    <w:rPr>
      <w:b/>
      <w:bCs/>
    </w:rPr>
  </w:style>
  <w:style w:type="paragraph" w:customStyle="1" w:styleId="CharCharCharCharCharChar1CharCharChar">
    <w:name w:val="Char Char Char Char Char Char1 Char Char Char"/>
    <w:basedOn w:val="a"/>
    <w:rsid w:val="0004462D"/>
    <w:pPr>
      <w:autoSpaceDE w:val="0"/>
      <w:autoSpaceDN w:val="0"/>
      <w:adjustRightInd w:val="0"/>
      <w:jc w:val="left"/>
      <w:textAlignment w:val="baseline"/>
    </w:pPr>
    <w:rPr>
      <w:rFonts w:ascii="宋体"/>
      <w:kern w:val="0"/>
      <w:sz w:val="34"/>
      <w:szCs w:val="20"/>
    </w:rPr>
  </w:style>
  <w:style w:type="paragraph" w:customStyle="1" w:styleId="xl30">
    <w:name w:val="xl30"/>
    <w:basedOn w:val="a"/>
    <w:rsid w:val="0004462D"/>
    <w:pPr>
      <w:widowControl/>
      <w:spacing w:before="100" w:beforeAutospacing="1" w:after="100" w:afterAutospacing="1"/>
      <w:jc w:val="right"/>
    </w:pPr>
    <w:rPr>
      <w:rFonts w:eastAsia="Arial Unicode MS"/>
      <w:kern w:val="0"/>
      <w:szCs w:val="21"/>
    </w:rPr>
  </w:style>
  <w:style w:type="paragraph" w:styleId="af3">
    <w:name w:val="Plain Text"/>
    <w:basedOn w:val="a"/>
    <w:rsid w:val="0004462D"/>
    <w:rPr>
      <w:rFonts w:ascii="宋体"/>
      <w:szCs w:val="21"/>
    </w:rPr>
  </w:style>
  <w:style w:type="paragraph" w:styleId="10">
    <w:name w:val="toc 1"/>
    <w:basedOn w:val="a"/>
    <w:next w:val="a"/>
    <w:autoRedefine/>
    <w:rsid w:val="0004462D"/>
  </w:style>
  <w:style w:type="paragraph" w:styleId="40">
    <w:name w:val="toc 4"/>
    <w:basedOn w:val="a"/>
    <w:next w:val="a"/>
    <w:autoRedefine/>
    <w:rsid w:val="0004462D"/>
    <w:pPr>
      <w:ind w:left="1260"/>
    </w:pPr>
  </w:style>
  <w:style w:type="paragraph" w:styleId="af4">
    <w:name w:val="endnote text"/>
    <w:basedOn w:val="a"/>
    <w:rsid w:val="0004462D"/>
    <w:pPr>
      <w:snapToGrid w:val="0"/>
      <w:jc w:val="left"/>
    </w:pPr>
  </w:style>
  <w:style w:type="character" w:styleId="af5">
    <w:name w:val="endnote reference"/>
    <w:rsid w:val="0004462D"/>
    <w:rPr>
      <w:vertAlign w:val="superscript"/>
    </w:rPr>
  </w:style>
  <w:style w:type="paragraph" w:styleId="50">
    <w:name w:val="toc 5"/>
    <w:basedOn w:val="a"/>
    <w:next w:val="a"/>
    <w:autoRedefine/>
    <w:rsid w:val="0004462D"/>
    <w:pPr>
      <w:ind w:left="1680"/>
    </w:pPr>
  </w:style>
  <w:style w:type="paragraph" w:styleId="20">
    <w:name w:val="Body Text 2"/>
    <w:basedOn w:val="a"/>
    <w:rsid w:val="0004462D"/>
    <w:pPr>
      <w:spacing w:after="120" w:line="480" w:lineRule="auto"/>
    </w:pPr>
    <w:rPr>
      <w:szCs w:val="20"/>
    </w:rPr>
  </w:style>
  <w:style w:type="paragraph" w:styleId="21">
    <w:name w:val="toc 2"/>
    <w:basedOn w:val="a"/>
    <w:next w:val="a"/>
    <w:autoRedefine/>
    <w:rsid w:val="0004462D"/>
    <w:pPr>
      <w:tabs>
        <w:tab w:val="left" w:pos="1260"/>
        <w:tab w:val="right" w:leader="dot" w:pos="8834"/>
      </w:tabs>
      <w:ind w:leftChars="200" w:left="200"/>
    </w:pPr>
  </w:style>
  <w:style w:type="paragraph" w:styleId="30">
    <w:name w:val="toc 3"/>
    <w:basedOn w:val="a"/>
    <w:next w:val="a"/>
    <w:autoRedefine/>
    <w:rsid w:val="0004462D"/>
    <w:pPr>
      <w:tabs>
        <w:tab w:val="right" w:leader="dot" w:pos="8820"/>
      </w:tabs>
      <w:ind w:leftChars="400" w:left="400"/>
    </w:pPr>
  </w:style>
  <w:style w:type="character" w:styleId="HTML">
    <w:name w:val="HTML Typewriter"/>
    <w:rsid w:val="0004462D"/>
    <w:rPr>
      <w:rFonts w:ascii="宋体" w:eastAsia="宋体" w:cs="宋体"/>
      <w:sz w:val="24"/>
      <w:szCs w:val="24"/>
      <w:lang w:bidi="ar-SA"/>
    </w:rPr>
  </w:style>
  <w:style w:type="character" w:customStyle="1" w:styleId="txtcontent11">
    <w:name w:val="txtcontent11"/>
    <w:rsid w:val="0004462D"/>
    <w:rPr>
      <w:rFonts w:ascii="ˎ̥" w:hAnsi="ˎ̥"/>
      <w:color w:val="000000"/>
      <w:sz w:val="21"/>
      <w:szCs w:val="21"/>
    </w:rPr>
  </w:style>
  <w:style w:type="paragraph" w:styleId="af6">
    <w:name w:val="Title"/>
    <w:basedOn w:val="a"/>
    <w:next w:val="a"/>
    <w:qFormat/>
    <w:rsid w:val="0004462D"/>
    <w:pPr>
      <w:spacing w:before="240" w:after="60" w:line="240" w:lineRule="auto"/>
      <w:ind w:firstLineChars="0" w:firstLine="0"/>
      <w:jc w:val="center"/>
      <w:outlineLvl w:val="0"/>
    </w:pPr>
    <w:rPr>
      <w:rFonts w:ascii="Cambria" w:hAnsi="Cambria"/>
      <w:b/>
      <w:bCs/>
      <w:sz w:val="32"/>
      <w:szCs w:val="32"/>
    </w:rPr>
  </w:style>
  <w:style w:type="paragraph" w:styleId="af7">
    <w:name w:val="No Spacing"/>
    <w:qFormat/>
    <w:rsid w:val="0004462D"/>
    <w:pPr>
      <w:widowControl w:val="0"/>
      <w:jc w:val="both"/>
    </w:pPr>
    <w:rPr>
      <w:rFonts w:ascii="Calibri" w:eastAsia="宋体" w:hAnsi="Calibri"/>
      <w:kern w:val="2"/>
      <w:sz w:val="21"/>
      <w:szCs w:val="22"/>
    </w:rPr>
  </w:style>
  <w:style w:type="paragraph" w:styleId="af8">
    <w:name w:val="List Paragraph"/>
    <w:basedOn w:val="a"/>
    <w:qFormat/>
    <w:rsid w:val="0004462D"/>
    <w:pPr>
      <w:spacing w:line="240" w:lineRule="auto"/>
    </w:pPr>
    <w:rPr>
      <w:rFonts w:ascii="Calibri" w:hAnsi="Calibri"/>
      <w:szCs w:val="22"/>
    </w:rPr>
  </w:style>
  <w:style w:type="character" w:customStyle="1" w:styleId="dib">
    <w:name w:val="dib"/>
    <w:rsid w:val="0004462D"/>
  </w:style>
  <w:style w:type="paragraph" w:styleId="af9">
    <w:name w:val="Revision"/>
    <w:rsid w:val="0004462D"/>
    <w:rPr>
      <w:rFonts w:eastAsia="宋体"/>
      <w:kern w:val="2"/>
      <w:sz w:val="21"/>
      <w:szCs w:val="24"/>
    </w:rPr>
  </w:style>
  <w:style w:type="character" w:customStyle="1" w:styleId="Char1">
    <w:name w:val="批注文字 Char"/>
    <w:link w:val="af1"/>
    <w:uiPriority w:val="99"/>
    <w:rsid w:val="001D156A"/>
    <w:rPr>
      <w:rFonts w:eastAsia="宋体"/>
      <w:kern w:val="2"/>
      <w:sz w:val="21"/>
      <w:szCs w:val="24"/>
    </w:rPr>
  </w:style>
  <w:style w:type="character" w:styleId="afa">
    <w:name w:val="Emphasis"/>
    <w:uiPriority w:val="20"/>
    <w:qFormat/>
    <w:rsid w:val="001D156A"/>
    <w:rPr>
      <w:i/>
      <w:iCs/>
    </w:rPr>
  </w:style>
</w:styles>
</file>

<file path=word/webSettings.xml><?xml version="1.0" encoding="utf-8"?>
<w:webSettings xmlns:r="http://schemas.openxmlformats.org/officeDocument/2006/relationships" xmlns:w="http://schemas.openxmlformats.org/wordprocessingml/2006/main">
  <w:divs>
    <w:div w:id="79835602">
      <w:bodyDiv w:val="1"/>
      <w:marLeft w:val="0"/>
      <w:marRight w:val="0"/>
      <w:marTop w:val="0"/>
      <w:marBottom w:val="0"/>
      <w:divBdr>
        <w:top w:val="none" w:sz="0" w:space="0" w:color="auto"/>
        <w:left w:val="none" w:sz="0" w:space="0" w:color="auto"/>
        <w:bottom w:val="none" w:sz="0" w:space="0" w:color="auto"/>
        <w:right w:val="none" w:sz="0" w:space="0" w:color="auto"/>
      </w:divBdr>
    </w:div>
    <w:div w:id="808091196">
      <w:bodyDiv w:val="1"/>
      <w:marLeft w:val="0"/>
      <w:marRight w:val="0"/>
      <w:marTop w:val="0"/>
      <w:marBottom w:val="0"/>
      <w:divBdr>
        <w:top w:val="none" w:sz="0" w:space="0" w:color="auto"/>
        <w:left w:val="none" w:sz="0" w:space="0" w:color="auto"/>
        <w:bottom w:val="none" w:sz="0" w:space="0" w:color="auto"/>
        <w:right w:val="none" w:sz="0" w:space="0" w:color="auto"/>
      </w:divBdr>
    </w:div>
    <w:div w:id="1701465349">
      <w:bodyDiv w:val="1"/>
      <w:marLeft w:val="0"/>
      <w:marRight w:val="0"/>
      <w:marTop w:val="0"/>
      <w:marBottom w:val="0"/>
      <w:divBdr>
        <w:top w:val="none" w:sz="0" w:space="0" w:color="auto"/>
        <w:left w:val="none" w:sz="0" w:space="0" w:color="auto"/>
        <w:bottom w:val="none" w:sz="0" w:space="0" w:color="auto"/>
        <w:right w:val="none" w:sz="0" w:space="0" w:color="auto"/>
      </w:divBdr>
    </w:div>
    <w:div w:id="1803188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5558</Characters>
  <Application>Microsoft Office Word</Application>
  <DocSecurity>4</DocSecurity>
  <Lines>46</Lines>
  <Paragraphs>13</Paragraphs>
  <ScaleCrop>false</ScaleCrop>
  <Company/>
  <LinksUpToDate>false</LinksUpToDate>
  <CharactersWithSpaces>6519</CharactersWithSpaces>
  <SharedDoc>false</SharedDoc>
  <HLinks>
    <vt:vector size="18" baseType="variant">
      <vt:variant>
        <vt:i4>4849740</vt:i4>
      </vt:variant>
      <vt:variant>
        <vt:i4>6</vt:i4>
      </vt:variant>
      <vt:variant>
        <vt:i4>0</vt:i4>
      </vt:variant>
      <vt:variant>
        <vt:i4>5</vt:i4>
      </vt:variant>
      <vt:variant>
        <vt:lpwstr>http://www.baidu.com/link?url=mtPgWidEVyoVXobrarmk8XjWCPUypZiwEGEMSWFXSCwq1d08frkf2irVro8UlC6cWxfUOzPsPwEBrdYZPlpVRN-40K_aDkgZVmqJbrMYCL_wCOt_OHOzybsxeSXCKSD5iF93I5OcHFUMDxZBdbFkzqcaZacahcBqOtG_P33BXZUb8zhVujMb3TaEwDsvhDMVmJ7UsBAxX7Q0YXoK73461q</vt:lpwstr>
      </vt:variant>
      <vt:variant>
        <vt:lpwstr/>
      </vt:variant>
      <vt:variant>
        <vt:i4>4849740</vt:i4>
      </vt:variant>
      <vt:variant>
        <vt:i4>3</vt:i4>
      </vt:variant>
      <vt:variant>
        <vt:i4>0</vt:i4>
      </vt:variant>
      <vt:variant>
        <vt:i4>5</vt:i4>
      </vt:variant>
      <vt:variant>
        <vt:lpwstr>http://www.baidu.com/link?url=mtPgWidEVyoVXobrarmk8XjWCPUypZiwEGEMSWFXSCwq1d08frkf2irVro8UlC6cWxfUOzPsPwEBrdYZPlpVRN-40K_aDkgZVmqJbrMYCL_wCOt_OHOzybsxeSXCKSD5iF93I5OcHFUMDxZBdbFkzqcaZacahcBqOtG_P33BXZUb8zhVujMb3TaEwDsvhDMVmJ7UsBAxX7Q0YXoK73461q</vt:lpwstr>
      </vt:variant>
      <vt:variant>
        <vt:lpwstr/>
      </vt:variant>
      <vt:variant>
        <vt:i4>4849740</vt:i4>
      </vt:variant>
      <vt:variant>
        <vt:i4>0</vt:i4>
      </vt:variant>
      <vt:variant>
        <vt:i4>0</vt:i4>
      </vt:variant>
      <vt:variant>
        <vt:i4>5</vt:i4>
      </vt:variant>
      <vt:variant>
        <vt:lpwstr>http://www.baidu.com/link?url=mtPgWidEVyoVXobrarmk8XjWCPUypZiwEGEMSWFXSCwq1d08frkf2irVro8UlC6cWxfUOzPsPwEBrdYZPlpVRN-40K_aDkgZVmqJbrMYCL_wCOt_OHOzybsxeSXCKSD5iF93I5OcHFUMDxZBdbFkzqcaZacahcBqOtG_P33BXZUb8zhVujMb3TaEwDsvhDMVmJ7UsBAxX7Q0YXoK73461q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胡博</dc:creator>
  <cp:keywords/>
  <cp:lastModifiedBy>ZHONGM</cp:lastModifiedBy>
  <cp:revision>2</cp:revision>
  <cp:lastPrinted>2022-11-02T06:07:00Z</cp:lastPrinted>
  <dcterms:created xsi:type="dcterms:W3CDTF">2025-11-26T16:00:00Z</dcterms:created>
  <dcterms:modified xsi:type="dcterms:W3CDTF">2025-11-26T16:00:00Z</dcterms:modified>
</cp:coreProperties>
</file>