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C22BE">
      <w:pPr>
        <w:pStyle w:val="1"/>
      </w:pPr>
      <w:r>
        <w:rPr>
          <w:rFonts w:hint="eastAsia"/>
        </w:rPr>
        <w:t>富国睿利定期开放混合型发起式证券投资基金</w:t>
      </w:r>
    </w:p>
    <w:p w:rsidR="00000000" w:rsidRDefault="00CC22BE">
      <w:pPr>
        <w:pStyle w:val="1"/>
      </w:pPr>
      <w:r>
        <w:rPr>
          <w:rFonts w:hint="eastAsia"/>
        </w:rPr>
        <w:t>开放申购、赎回和转换业务的公告</w:t>
      </w:r>
    </w:p>
    <w:p w:rsidR="00000000" w:rsidRDefault="00CC22BE">
      <w:pPr>
        <w:ind w:firstLineChars="0" w:firstLine="0"/>
        <w:jc w:val="center"/>
      </w:pPr>
      <w:r>
        <w:rPr>
          <w:rFonts w:hint="eastAsia"/>
        </w:rPr>
        <w:t>公告送出日期：</w:t>
      </w:r>
      <w:r>
        <w:t>202</w:t>
      </w:r>
      <w:r>
        <w:rPr>
          <w:rFonts w:hint="eastAsia"/>
        </w:rPr>
        <w:t>5</w:t>
      </w:r>
      <w:r>
        <w:rPr>
          <w:rFonts w:hint="eastAsia"/>
        </w:rPr>
        <w:t>年</w:t>
      </w:r>
      <w:r>
        <w:t>1</w:t>
      </w:r>
      <w:r>
        <w:rPr>
          <w:rFonts w:hint="eastAsia"/>
        </w:rPr>
        <w:t>1</w:t>
      </w:r>
      <w:r>
        <w:rPr>
          <w:rFonts w:hint="eastAsia"/>
        </w:rPr>
        <w:t>月</w:t>
      </w:r>
      <w:r>
        <w:t>2</w:t>
      </w:r>
      <w:r>
        <w:rPr>
          <w:rFonts w:hint="eastAsia"/>
        </w:rPr>
        <w:t>7</w:t>
      </w:r>
      <w:r>
        <w:rPr>
          <w:rFonts w:hint="eastAsia"/>
        </w:rPr>
        <w:t>日</w:t>
      </w:r>
    </w:p>
    <w:p w:rsidR="00000000" w:rsidRDefault="00CC22BE">
      <w:pPr>
        <w:pStyle w:val="2"/>
      </w:pPr>
      <w:r>
        <w:t>公告基本信息</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tblPr>
      <w:tblGrid>
        <w:gridCol w:w="2694"/>
        <w:gridCol w:w="3331"/>
        <w:gridCol w:w="3331"/>
      </w:tblGrid>
      <w:tr w:rsidR="00000000">
        <w:trPr>
          <w:trHeight w:val="195"/>
        </w:trPr>
        <w:tc>
          <w:tcPr>
            <w:tcW w:w="2694" w:type="dxa"/>
            <w:tcMar>
              <w:top w:w="0" w:type="dxa"/>
              <w:left w:w="108" w:type="dxa"/>
              <w:bottom w:w="0" w:type="dxa"/>
              <w:right w:w="108" w:type="dxa"/>
            </w:tcMar>
            <w:vAlign w:val="center"/>
          </w:tcPr>
          <w:p w:rsidR="00000000" w:rsidRDefault="00CC22BE">
            <w:pPr>
              <w:ind w:firstLineChars="0" w:firstLine="0"/>
              <w:rPr>
                <w:color w:val="000000"/>
                <w:kern w:val="0"/>
              </w:rPr>
            </w:pPr>
            <w:r>
              <w:rPr>
                <w:color w:val="000000"/>
                <w:kern w:val="0"/>
              </w:rPr>
              <w:t>基金名称</w:t>
            </w:r>
          </w:p>
        </w:tc>
        <w:tc>
          <w:tcPr>
            <w:tcW w:w="6662" w:type="dxa"/>
            <w:gridSpan w:val="2"/>
            <w:tcMar>
              <w:top w:w="0" w:type="dxa"/>
              <w:left w:w="108" w:type="dxa"/>
              <w:bottom w:w="0" w:type="dxa"/>
              <w:right w:w="108" w:type="dxa"/>
            </w:tcMar>
            <w:vAlign w:val="center"/>
          </w:tcPr>
          <w:p w:rsidR="00000000" w:rsidRDefault="00CC22BE">
            <w:pPr>
              <w:ind w:firstLineChars="0" w:firstLine="0"/>
              <w:rPr>
                <w:color w:val="000000"/>
                <w:kern w:val="0"/>
              </w:rPr>
            </w:pPr>
            <w:r>
              <w:rPr>
                <w:color w:val="000000"/>
                <w:kern w:val="0"/>
              </w:rPr>
              <w:t>富国睿利定期开放混合型发起式证券投资基金</w:t>
            </w:r>
          </w:p>
        </w:tc>
      </w:tr>
      <w:tr w:rsidR="00000000">
        <w:trPr>
          <w:trHeight w:val="146"/>
        </w:trPr>
        <w:tc>
          <w:tcPr>
            <w:tcW w:w="2694" w:type="dxa"/>
            <w:tcMar>
              <w:top w:w="0" w:type="dxa"/>
              <w:left w:w="108" w:type="dxa"/>
              <w:bottom w:w="0" w:type="dxa"/>
              <w:right w:w="108" w:type="dxa"/>
            </w:tcMar>
            <w:vAlign w:val="center"/>
          </w:tcPr>
          <w:p w:rsidR="00000000" w:rsidRDefault="00CC22BE">
            <w:pPr>
              <w:ind w:firstLineChars="0" w:firstLine="0"/>
              <w:rPr>
                <w:color w:val="000000"/>
                <w:kern w:val="0"/>
              </w:rPr>
            </w:pPr>
            <w:r>
              <w:rPr>
                <w:color w:val="000000"/>
                <w:kern w:val="0"/>
              </w:rPr>
              <w:t>基金简称</w:t>
            </w:r>
          </w:p>
        </w:tc>
        <w:tc>
          <w:tcPr>
            <w:tcW w:w="6662" w:type="dxa"/>
            <w:gridSpan w:val="2"/>
            <w:tcMar>
              <w:top w:w="0" w:type="dxa"/>
              <w:left w:w="108" w:type="dxa"/>
              <w:bottom w:w="0" w:type="dxa"/>
              <w:right w:w="108" w:type="dxa"/>
            </w:tcMar>
            <w:vAlign w:val="center"/>
          </w:tcPr>
          <w:p w:rsidR="00000000" w:rsidRDefault="00CC22BE">
            <w:pPr>
              <w:ind w:firstLineChars="0" w:firstLine="0"/>
              <w:rPr>
                <w:color w:val="000000"/>
                <w:kern w:val="0"/>
              </w:rPr>
            </w:pPr>
            <w:r>
              <w:rPr>
                <w:color w:val="000000"/>
                <w:kern w:val="0"/>
              </w:rPr>
              <w:t>富国睿利定期开放混合型发起式</w:t>
            </w:r>
          </w:p>
        </w:tc>
      </w:tr>
      <w:tr w:rsidR="00000000">
        <w:trPr>
          <w:trHeight w:val="82"/>
        </w:trPr>
        <w:tc>
          <w:tcPr>
            <w:tcW w:w="2694" w:type="dxa"/>
            <w:tcMar>
              <w:top w:w="0" w:type="dxa"/>
              <w:left w:w="108" w:type="dxa"/>
              <w:bottom w:w="0" w:type="dxa"/>
              <w:right w:w="108" w:type="dxa"/>
            </w:tcMar>
            <w:vAlign w:val="center"/>
          </w:tcPr>
          <w:p w:rsidR="00000000" w:rsidRDefault="00CC22BE">
            <w:pPr>
              <w:ind w:firstLineChars="0" w:firstLine="0"/>
              <w:rPr>
                <w:color w:val="000000"/>
                <w:kern w:val="0"/>
              </w:rPr>
            </w:pPr>
            <w:r>
              <w:rPr>
                <w:color w:val="000000"/>
                <w:kern w:val="0"/>
              </w:rPr>
              <w:t>基金主代码</w:t>
            </w:r>
          </w:p>
        </w:tc>
        <w:tc>
          <w:tcPr>
            <w:tcW w:w="6662" w:type="dxa"/>
            <w:gridSpan w:val="2"/>
            <w:tcMar>
              <w:top w:w="0" w:type="dxa"/>
              <w:left w:w="108" w:type="dxa"/>
              <w:bottom w:w="0" w:type="dxa"/>
              <w:right w:w="108" w:type="dxa"/>
            </w:tcMar>
            <w:vAlign w:val="center"/>
          </w:tcPr>
          <w:p w:rsidR="00000000" w:rsidRDefault="00CC22BE">
            <w:pPr>
              <w:ind w:firstLineChars="0" w:firstLine="0"/>
              <w:rPr>
                <w:color w:val="000000"/>
                <w:kern w:val="0"/>
              </w:rPr>
            </w:pPr>
            <w:r>
              <w:rPr>
                <w:rFonts w:hint="eastAsia"/>
                <w:color w:val="000000"/>
                <w:kern w:val="0"/>
              </w:rPr>
              <w:t>002908</w:t>
            </w:r>
          </w:p>
        </w:tc>
      </w:tr>
      <w:tr w:rsidR="00000000">
        <w:tc>
          <w:tcPr>
            <w:tcW w:w="2694" w:type="dxa"/>
            <w:tcMar>
              <w:top w:w="0" w:type="dxa"/>
              <w:left w:w="108" w:type="dxa"/>
              <w:bottom w:w="0" w:type="dxa"/>
              <w:right w:w="108" w:type="dxa"/>
            </w:tcMar>
            <w:vAlign w:val="center"/>
          </w:tcPr>
          <w:p w:rsidR="00000000" w:rsidRDefault="00CC22BE">
            <w:pPr>
              <w:ind w:firstLineChars="0" w:firstLine="0"/>
              <w:rPr>
                <w:color w:val="000000"/>
                <w:kern w:val="0"/>
              </w:rPr>
            </w:pPr>
            <w:r>
              <w:rPr>
                <w:color w:val="000000"/>
                <w:kern w:val="0"/>
              </w:rPr>
              <w:t>基金运作方式</w:t>
            </w:r>
          </w:p>
        </w:tc>
        <w:tc>
          <w:tcPr>
            <w:tcW w:w="6662" w:type="dxa"/>
            <w:gridSpan w:val="2"/>
            <w:tcMar>
              <w:top w:w="0" w:type="dxa"/>
              <w:left w:w="108" w:type="dxa"/>
              <w:bottom w:w="0" w:type="dxa"/>
              <w:right w:w="108" w:type="dxa"/>
            </w:tcMar>
            <w:vAlign w:val="center"/>
          </w:tcPr>
          <w:p w:rsidR="00000000" w:rsidRDefault="00CC22BE">
            <w:pPr>
              <w:ind w:firstLineChars="0" w:firstLine="0"/>
              <w:rPr>
                <w:color w:val="000000"/>
                <w:kern w:val="0"/>
              </w:rPr>
            </w:pPr>
            <w:r>
              <w:rPr>
                <w:rFonts w:hint="eastAsia"/>
                <w:color w:val="000000"/>
                <w:kern w:val="0"/>
              </w:rPr>
              <w:t>契约型，本基金以定期开放方式运作，即以运作周期和到期开放期相结合的方式运作</w:t>
            </w:r>
          </w:p>
        </w:tc>
      </w:tr>
      <w:tr w:rsidR="00000000">
        <w:tc>
          <w:tcPr>
            <w:tcW w:w="2694" w:type="dxa"/>
            <w:tcMar>
              <w:top w:w="0" w:type="dxa"/>
              <w:left w:w="108" w:type="dxa"/>
              <w:bottom w:w="0" w:type="dxa"/>
              <w:right w:w="108" w:type="dxa"/>
            </w:tcMar>
            <w:vAlign w:val="center"/>
          </w:tcPr>
          <w:p w:rsidR="00000000" w:rsidRDefault="00CC22BE">
            <w:pPr>
              <w:ind w:firstLineChars="0" w:firstLine="0"/>
              <w:rPr>
                <w:color w:val="000000"/>
                <w:kern w:val="0"/>
              </w:rPr>
            </w:pPr>
            <w:r>
              <w:rPr>
                <w:color w:val="000000"/>
                <w:kern w:val="0"/>
              </w:rPr>
              <w:t>基金合同生效日</w:t>
            </w:r>
          </w:p>
        </w:tc>
        <w:tc>
          <w:tcPr>
            <w:tcW w:w="6662" w:type="dxa"/>
            <w:gridSpan w:val="2"/>
            <w:tcMar>
              <w:top w:w="0" w:type="dxa"/>
              <w:left w:w="108" w:type="dxa"/>
              <w:bottom w:w="0" w:type="dxa"/>
              <w:right w:w="108" w:type="dxa"/>
            </w:tcMar>
            <w:vAlign w:val="center"/>
          </w:tcPr>
          <w:p w:rsidR="00000000" w:rsidRDefault="00CC22BE">
            <w:pPr>
              <w:ind w:firstLineChars="0" w:firstLine="0"/>
              <w:rPr>
                <w:color w:val="000000"/>
                <w:kern w:val="0"/>
              </w:rPr>
            </w:pPr>
            <w:r>
              <w:rPr>
                <w:color w:val="000000"/>
                <w:kern w:val="0"/>
              </w:rPr>
              <w:t>201</w:t>
            </w:r>
            <w:r>
              <w:rPr>
                <w:rFonts w:hint="eastAsia"/>
                <w:color w:val="000000"/>
                <w:kern w:val="0"/>
              </w:rPr>
              <w:t>6</w:t>
            </w:r>
            <w:r>
              <w:rPr>
                <w:color w:val="000000"/>
                <w:kern w:val="0"/>
              </w:rPr>
              <w:t>年</w:t>
            </w:r>
            <w:r>
              <w:rPr>
                <w:rFonts w:hint="eastAsia"/>
                <w:color w:val="000000"/>
                <w:kern w:val="0"/>
              </w:rPr>
              <w:t>9</w:t>
            </w:r>
            <w:r>
              <w:rPr>
                <w:color w:val="000000"/>
                <w:kern w:val="0"/>
              </w:rPr>
              <w:t>月</w:t>
            </w:r>
            <w:r>
              <w:rPr>
                <w:color w:val="000000"/>
                <w:kern w:val="0"/>
              </w:rPr>
              <w:t>29</w:t>
            </w:r>
            <w:r>
              <w:rPr>
                <w:color w:val="000000"/>
                <w:kern w:val="0"/>
              </w:rPr>
              <w:t>日</w:t>
            </w:r>
          </w:p>
        </w:tc>
      </w:tr>
      <w:tr w:rsidR="00000000">
        <w:tc>
          <w:tcPr>
            <w:tcW w:w="2694" w:type="dxa"/>
            <w:tcMar>
              <w:top w:w="0" w:type="dxa"/>
              <w:left w:w="108" w:type="dxa"/>
              <w:bottom w:w="0" w:type="dxa"/>
              <w:right w:w="108" w:type="dxa"/>
            </w:tcMar>
            <w:vAlign w:val="center"/>
          </w:tcPr>
          <w:p w:rsidR="00000000" w:rsidRDefault="00CC22BE">
            <w:pPr>
              <w:ind w:firstLineChars="0" w:firstLine="0"/>
              <w:rPr>
                <w:color w:val="000000"/>
                <w:kern w:val="0"/>
              </w:rPr>
            </w:pPr>
            <w:r>
              <w:rPr>
                <w:color w:val="000000"/>
                <w:kern w:val="0"/>
              </w:rPr>
              <w:t>基金管理人名称</w:t>
            </w:r>
          </w:p>
        </w:tc>
        <w:tc>
          <w:tcPr>
            <w:tcW w:w="6662" w:type="dxa"/>
            <w:gridSpan w:val="2"/>
            <w:tcMar>
              <w:top w:w="0" w:type="dxa"/>
              <w:left w:w="108" w:type="dxa"/>
              <w:bottom w:w="0" w:type="dxa"/>
              <w:right w:w="108" w:type="dxa"/>
            </w:tcMar>
            <w:vAlign w:val="center"/>
          </w:tcPr>
          <w:p w:rsidR="00000000" w:rsidRDefault="00CC22BE">
            <w:pPr>
              <w:ind w:firstLineChars="0" w:firstLine="0"/>
              <w:rPr>
                <w:color w:val="000000"/>
                <w:kern w:val="0"/>
              </w:rPr>
            </w:pPr>
            <w:r>
              <w:rPr>
                <w:color w:val="000000"/>
                <w:kern w:val="0"/>
              </w:rPr>
              <w:t>富国基金管理有限公司</w:t>
            </w:r>
          </w:p>
        </w:tc>
      </w:tr>
      <w:tr w:rsidR="00000000">
        <w:tc>
          <w:tcPr>
            <w:tcW w:w="2694" w:type="dxa"/>
            <w:tcMar>
              <w:top w:w="0" w:type="dxa"/>
              <w:left w:w="108" w:type="dxa"/>
              <w:bottom w:w="0" w:type="dxa"/>
              <w:right w:w="108" w:type="dxa"/>
            </w:tcMar>
            <w:vAlign w:val="center"/>
          </w:tcPr>
          <w:p w:rsidR="00000000" w:rsidRDefault="00CC22BE">
            <w:pPr>
              <w:ind w:firstLineChars="0" w:firstLine="0"/>
              <w:rPr>
                <w:color w:val="000000"/>
                <w:kern w:val="0"/>
              </w:rPr>
            </w:pPr>
            <w:r>
              <w:rPr>
                <w:color w:val="000000"/>
                <w:kern w:val="0"/>
              </w:rPr>
              <w:t>基金托管人名称</w:t>
            </w:r>
          </w:p>
        </w:tc>
        <w:tc>
          <w:tcPr>
            <w:tcW w:w="6662" w:type="dxa"/>
            <w:gridSpan w:val="2"/>
            <w:tcMar>
              <w:top w:w="0" w:type="dxa"/>
              <w:left w:w="108" w:type="dxa"/>
              <w:bottom w:w="0" w:type="dxa"/>
              <w:right w:w="108" w:type="dxa"/>
            </w:tcMar>
            <w:vAlign w:val="center"/>
          </w:tcPr>
          <w:p w:rsidR="00000000" w:rsidRDefault="00CC22BE">
            <w:pPr>
              <w:ind w:firstLineChars="0" w:firstLine="0"/>
              <w:rPr>
                <w:color w:val="000000"/>
                <w:kern w:val="0"/>
              </w:rPr>
            </w:pPr>
            <w:r>
              <w:rPr>
                <w:rFonts w:hint="eastAsia"/>
                <w:color w:val="000000"/>
                <w:kern w:val="0"/>
              </w:rPr>
              <w:t>招商</w:t>
            </w:r>
            <w:r>
              <w:rPr>
                <w:color w:val="000000"/>
                <w:kern w:val="0"/>
              </w:rPr>
              <w:t>银行股份有限公司</w:t>
            </w:r>
          </w:p>
        </w:tc>
      </w:tr>
      <w:tr w:rsidR="00000000">
        <w:tc>
          <w:tcPr>
            <w:tcW w:w="2694" w:type="dxa"/>
            <w:tcMar>
              <w:top w:w="0" w:type="dxa"/>
              <w:left w:w="108" w:type="dxa"/>
              <w:bottom w:w="0" w:type="dxa"/>
              <w:right w:w="108" w:type="dxa"/>
            </w:tcMar>
            <w:vAlign w:val="center"/>
          </w:tcPr>
          <w:p w:rsidR="00000000" w:rsidRDefault="00CC22BE">
            <w:pPr>
              <w:ind w:firstLineChars="0" w:firstLine="0"/>
              <w:rPr>
                <w:color w:val="000000"/>
                <w:kern w:val="0"/>
              </w:rPr>
            </w:pPr>
            <w:r>
              <w:rPr>
                <w:color w:val="000000"/>
                <w:kern w:val="0"/>
              </w:rPr>
              <w:t>基金注册登记机构名称</w:t>
            </w:r>
          </w:p>
        </w:tc>
        <w:tc>
          <w:tcPr>
            <w:tcW w:w="6662" w:type="dxa"/>
            <w:gridSpan w:val="2"/>
            <w:tcMar>
              <w:top w:w="0" w:type="dxa"/>
              <w:left w:w="108" w:type="dxa"/>
              <w:bottom w:w="0" w:type="dxa"/>
              <w:right w:w="108" w:type="dxa"/>
            </w:tcMar>
            <w:vAlign w:val="center"/>
          </w:tcPr>
          <w:p w:rsidR="00000000" w:rsidRDefault="00CC22BE">
            <w:pPr>
              <w:ind w:firstLineChars="0" w:firstLine="0"/>
              <w:rPr>
                <w:color w:val="000000"/>
                <w:kern w:val="0"/>
              </w:rPr>
            </w:pPr>
            <w:r>
              <w:rPr>
                <w:color w:val="000000"/>
                <w:kern w:val="0"/>
              </w:rPr>
              <w:t>富国基金管理有限公司</w:t>
            </w:r>
          </w:p>
        </w:tc>
      </w:tr>
      <w:tr w:rsidR="00000000">
        <w:tc>
          <w:tcPr>
            <w:tcW w:w="2694" w:type="dxa"/>
            <w:tcMar>
              <w:top w:w="0" w:type="dxa"/>
              <w:left w:w="108" w:type="dxa"/>
              <w:bottom w:w="0" w:type="dxa"/>
              <w:right w:w="108" w:type="dxa"/>
            </w:tcMar>
            <w:vAlign w:val="center"/>
          </w:tcPr>
          <w:p w:rsidR="00000000" w:rsidRDefault="00CC22BE">
            <w:pPr>
              <w:ind w:firstLineChars="0" w:firstLine="0"/>
              <w:rPr>
                <w:color w:val="000000"/>
                <w:kern w:val="0"/>
              </w:rPr>
            </w:pPr>
            <w:r>
              <w:rPr>
                <w:color w:val="000000"/>
                <w:kern w:val="0"/>
              </w:rPr>
              <w:t>公告</w:t>
            </w:r>
            <w:r>
              <w:rPr>
                <w:color w:val="000000"/>
                <w:kern w:val="0"/>
              </w:rPr>
              <w:t>依据</w:t>
            </w:r>
          </w:p>
        </w:tc>
        <w:tc>
          <w:tcPr>
            <w:tcW w:w="6662" w:type="dxa"/>
            <w:gridSpan w:val="2"/>
            <w:tcMar>
              <w:top w:w="0" w:type="dxa"/>
              <w:left w:w="108" w:type="dxa"/>
              <w:bottom w:w="0" w:type="dxa"/>
              <w:right w:w="108" w:type="dxa"/>
            </w:tcMar>
            <w:vAlign w:val="center"/>
          </w:tcPr>
          <w:p w:rsidR="00000000" w:rsidRDefault="00CC22BE">
            <w:pPr>
              <w:ind w:firstLineChars="0" w:firstLine="0"/>
              <w:rPr>
                <w:color w:val="000000"/>
                <w:kern w:val="0"/>
              </w:rPr>
            </w:pPr>
            <w:r>
              <w:rPr>
                <w:color w:val="000000"/>
                <w:kern w:val="0"/>
              </w:rPr>
              <w:t>《中华人民共和国证券投资基金法》及配套法规、《富国睿利定期开放混合型发起式证券投资基金基金合同》、《富国睿利定期开放混合型发起式证券投资基金招募说明书》及其更新</w:t>
            </w:r>
          </w:p>
        </w:tc>
      </w:tr>
      <w:tr w:rsidR="00000000">
        <w:tc>
          <w:tcPr>
            <w:tcW w:w="2694" w:type="dxa"/>
            <w:tcMar>
              <w:top w:w="0" w:type="dxa"/>
              <w:left w:w="108" w:type="dxa"/>
              <w:bottom w:w="0" w:type="dxa"/>
              <w:right w:w="108" w:type="dxa"/>
            </w:tcMar>
            <w:vAlign w:val="center"/>
          </w:tcPr>
          <w:p w:rsidR="00000000" w:rsidRDefault="00CC22BE">
            <w:pPr>
              <w:ind w:firstLineChars="0" w:firstLine="0"/>
              <w:rPr>
                <w:color w:val="000000"/>
                <w:kern w:val="0"/>
              </w:rPr>
            </w:pPr>
            <w:r>
              <w:rPr>
                <w:color w:val="000000"/>
                <w:kern w:val="0"/>
              </w:rPr>
              <w:t>申购起始日</w:t>
            </w:r>
          </w:p>
        </w:tc>
        <w:tc>
          <w:tcPr>
            <w:tcW w:w="6662" w:type="dxa"/>
            <w:gridSpan w:val="2"/>
            <w:tcMar>
              <w:top w:w="0" w:type="dxa"/>
              <w:left w:w="108" w:type="dxa"/>
              <w:bottom w:w="0" w:type="dxa"/>
              <w:right w:w="108" w:type="dxa"/>
            </w:tcMar>
            <w:vAlign w:val="center"/>
          </w:tcPr>
          <w:p w:rsidR="00000000" w:rsidRDefault="00CC22BE">
            <w:pPr>
              <w:ind w:firstLineChars="0" w:firstLine="0"/>
              <w:rPr>
                <w:color w:val="000000"/>
                <w:kern w:val="0"/>
              </w:rPr>
            </w:pPr>
            <w:r>
              <w:rPr>
                <w:color w:val="000000"/>
                <w:kern w:val="0"/>
              </w:rPr>
              <w:t>202</w:t>
            </w:r>
            <w:r>
              <w:rPr>
                <w:rFonts w:hint="eastAsia"/>
                <w:color w:val="000000"/>
                <w:kern w:val="0"/>
              </w:rPr>
              <w:t>5</w:t>
            </w:r>
            <w:r>
              <w:rPr>
                <w:color w:val="000000"/>
                <w:kern w:val="0"/>
              </w:rPr>
              <w:t>年</w:t>
            </w:r>
            <w:r>
              <w:rPr>
                <w:color w:val="000000"/>
                <w:kern w:val="0"/>
              </w:rPr>
              <w:t>1</w:t>
            </w:r>
            <w:r>
              <w:rPr>
                <w:rFonts w:hint="eastAsia"/>
                <w:color w:val="000000"/>
                <w:kern w:val="0"/>
              </w:rPr>
              <w:t>2</w:t>
            </w:r>
            <w:r>
              <w:rPr>
                <w:color w:val="000000"/>
                <w:kern w:val="0"/>
              </w:rPr>
              <w:t>月</w:t>
            </w:r>
            <w:r>
              <w:rPr>
                <w:rFonts w:hint="eastAsia"/>
                <w:color w:val="000000"/>
                <w:kern w:val="0"/>
              </w:rPr>
              <w:t>1</w:t>
            </w:r>
            <w:r>
              <w:rPr>
                <w:color w:val="000000"/>
                <w:kern w:val="0"/>
              </w:rPr>
              <w:t>日</w:t>
            </w:r>
          </w:p>
        </w:tc>
      </w:tr>
      <w:tr w:rsidR="00000000">
        <w:trPr>
          <w:trHeight w:val="60"/>
        </w:trPr>
        <w:tc>
          <w:tcPr>
            <w:tcW w:w="2694" w:type="dxa"/>
            <w:tcMar>
              <w:top w:w="0" w:type="dxa"/>
              <w:left w:w="108" w:type="dxa"/>
              <w:bottom w:w="0" w:type="dxa"/>
              <w:right w:w="108" w:type="dxa"/>
            </w:tcMar>
            <w:vAlign w:val="center"/>
          </w:tcPr>
          <w:p w:rsidR="00000000" w:rsidRDefault="00CC22BE">
            <w:pPr>
              <w:ind w:firstLineChars="0" w:firstLine="0"/>
              <w:rPr>
                <w:color w:val="000000"/>
                <w:kern w:val="0"/>
              </w:rPr>
            </w:pPr>
            <w:r>
              <w:rPr>
                <w:color w:val="000000"/>
                <w:kern w:val="0"/>
              </w:rPr>
              <w:t>赎回起始日</w:t>
            </w:r>
          </w:p>
        </w:tc>
        <w:tc>
          <w:tcPr>
            <w:tcW w:w="6662" w:type="dxa"/>
            <w:gridSpan w:val="2"/>
            <w:tcMar>
              <w:top w:w="0" w:type="dxa"/>
              <w:left w:w="108" w:type="dxa"/>
              <w:bottom w:w="0" w:type="dxa"/>
              <w:right w:w="108" w:type="dxa"/>
            </w:tcMar>
            <w:vAlign w:val="center"/>
          </w:tcPr>
          <w:p w:rsidR="00000000" w:rsidRDefault="00CC22BE">
            <w:pPr>
              <w:ind w:firstLineChars="0" w:firstLine="0"/>
              <w:rPr>
                <w:color w:val="000000"/>
                <w:kern w:val="0"/>
              </w:rPr>
            </w:pPr>
            <w:r>
              <w:rPr>
                <w:color w:val="000000"/>
                <w:kern w:val="0"/>
              </w:rPr>
              <w:t>202</w:t>
            </w:r>
            <w:r>
              <w:rPr>
                <w:rFonts w:hint="eastAsia"/>
                <w:color w:val="000000"/>
                <w:kern w:val="0"/>
              </w:rPr>
              <w:t>5</w:t>
            </w:r>
            <w:r>
              <w:rPr>
                <w:color w:val="000000"/>
                <w:kern w:val="0"/>
              </w:rPr>
              <w:t>年</w:t>
            </w:r>
            <w:r>
              <w:rPr>
                <w:color w:val="000000"/>
                <w:kern w:val="0"/>
              </w:rPr>
              <w:t>1</w:t>
            </w:r>
            <w:r>
              <w:rPr>
                <w:rFonts w:hint="eastAsia"/>
                <w:color w:val="000000"/>
                <w:kern w:val="0"/>
              </w:rPr>
              <w:t>2</w:t>
            </w:r>
            <w:r>
              <w:rPr>
                <w:color w:val="000000"/>
                <w:kern w:val="0"/>
              </w:rPr>
              <w:t>月</w:t>
            </w:r>
            <w:r>
              <w:rPr>
                <w:rFonts w:hint="eastAsia"/>
                <w:color w:val="000000"/>
                <w:kern w:val="0"/>
              </w:rPr>
              <w:t>1</w:t>
            </w:r>
            <w:r>
              <w:rPr>
                <w:color w:val="000000"/>
                <w:kern w:val="0"/>
              </w:rPr>
              <w:t>日</w:t>
            </w:r>
          </w:p>
        </w:tc>
      </w:tr>
      <w:tr w:rsidR="00000000">
        <w:trPr>
          <w:trHeight w:val="60"/>
        </w:trPr>
        <w:tc>
          <w:tcPr>
            <w:tcW w:w="2694" w:type="dxa"/>
            <w:tcMar>
              <w:top w:w="0" w:type="dxa"/>
              <w:left w:w="108" w:type="dxa"/>
              <w:bottom w:w="0" w:type="dxa"/>
              <w:right w:w="108" w:type="dxa"/>
            </w:tcMar>
          </w:tcPr>
          <w:p w:rsidR="00000000" w:rsidRDefault="00CC22BE">
            <w:pPr>
              <w:ind w:firstLineChars="0" w:firstLine="0"/>
              <w:rPr>
                <w:color w:val="000000"/>
                <w:kern w:val="0"/>
              </w:rPr>
            </w:pPr>
            <w:r>
              <w:rPr>
                <w:rFonts w:hint="eastAsia"/>
              </w:rPr>
              <w:t>转换转入起始日</w:t>
            </w:r>
          </w:p>
        </w:tc>
        <w:tc>
          <w:tcPr>
            <w:tcW w:w="6662" w:type="dxa"/>
            <w:gridSpan w:val="2"/>
            <w:tcMar>
              <w:top w:w="0" w:type="dxa"/>
              <w:left w:w="108" w:type="dxa"/>
              <w:bottom w:w="0" w:type="dxa"/>
              <w:right w:w="108" w:type="dxa"/>
            </w:tcMar>
          </w:tcPr>
          <w:p w:rsidR="00000000" w:rsidRDefault="00CC22BE">
            <w:pPr>
              <w:ind w:firstLineChars="0" w:firstLine="0"/>
              <w:rPr>
                <w:color w:val="000000"/>
                <w:kern w:val="0"/>
              </w:rPr>
            </w:pPr>
            <w:r>
              <w:rPr>
                <w:rFonts w:hint="eastAsia"/>
              </w:rPr>
              <w:t>本基金自</w:t>
            </w:r>
            <w:r>
              <w:t>202</w:t>
            </w:r>
            <w:r>
              <w:rPr>
                <w:rFonts w:hint="eastAsia"/>
              </w:rPr>
              <w:t>5</w:t>
            </w:r>
            <w:r>
              <w:t>年</w:t>
            </w:r>
            <w:r>
              <w:t>1</w:t>
            </w:r>
            <w:r>
              <w:rPr>
                <w:rFonts w:hint="eastAsia"/>
              </w:rPr>
              <w:t>2</w:t>
            </w:r>
            <w:r>
              <w:t>月</w:t>
            </w:r>
            <w:r>
              <w:rPr>
                <w:rFonts w:hint="eastAsia"/>
              </w:rPr>
              <w:t>1</w:t>
            </w:r>
            <w:r>
              <w:t>日</w:t>
            </w:r>
            <w:r>
              <w:rPr>
                <w:rFonts w:hint="eastAsia"/>
              </w:rPr>
              <w:t>起在直销机构开通转换转入业务。</w:t>
            </w:r>
          </w:p>
        </w:tc>
      </w:tr>
      <w:tr w:rsidR="00000000">
        <w:trPr>
          <w:trHeight w:val="60"/>
        </w:trPr>
        <w:tc>
          <w:tcPr>
            <w:tcW w:w="2694" w:type="dxa"/>
            <w:tcMar>
              <w:top w:w="0" w:type="dxa"/>
              <w:left w:w="108" w:type="dxa"/>
              <w:bottom w:w="0" w:type="dxa"/>
              <w:right w:w="108" w:type="dxa"/>
            </w:tcMar>
          </w:tcPr>
          <w:p w:rsidR="00000000" w:rsidRDefault="00CC22BE">
            <w:pPr>
              <w:ind w:firstLineChars="0" w:firstLine="0"/>
              <w:rPr>
                <w:color w:val="000000"/>
                <w:kern w:val="0"/>
              </w:rPr>
            </w:pPr>
            <w:r>
              <w:rPr>
                <w:rFonts w:hint="eastAsia"/>
              </w:rPr>
              <w:t>转换转出起始日</w:t>
            </w:r>
          </w:p>
        </w:tc>
        <w:tc>
          <w:tcPr>
            <w:tcW w:w="6662" w:type="dxa"/>
            <w:gridSpan w:val="2"/>
            <w:tcMar>
              <w:top w:w="0" w:type="dxa"/>
              <w:left w:w="108" w:type="dxa"/>
              <w:bottom w:w="0" w:type="dxa"/>
              <w:right w:w="108" w:type="dxa"/>
            </w:tcMar>
          </w:tcPr>
          <w:p w:rsidR="00000000" w:rsidRDefault="00CC22BE">
            <w:pPr>
              <w:ind w:firstLineChars="0" w:firstLine="0"/>
              <w:rPr>
                <w:color w:val="000000"/>
                <w:kern w:val="0"/>
              </w:rPr>
            </w:pPr>
            <w:r>
              <w:rPr>
                <w:rFonts w:hint="eastAsia"/>
              </w:rPr>
              <w:t>本基金自</w:t>
            </w:r>
            <w:r>
              <w:t>202</w:t>
            </w:r>
            <w:r>
              <w:rPr>
                <w:rFonts w:hint="eastAsia"/>
              </w:rPr>
              <w:t>5</w:t>
            </w:r>
            <w:r>
              <w:t>年</w:t>
            </w:r>
            <w:r>
              <w:t>1</w:t>
            </w:r>
            <w:r>
              <w:rPr>
                <w:rFonts w:hint="eastAsia"/>
              </w:rPr>
              <w:t>2</w:t>
            </w:r>
            <w:r>
              <w:t>月</w:t>
            </w:r>
            <w:r>
              <w:rPr>
                <w:rFonts w:hint="eastAsia"/>
              </w:rPr>
              <w:t>1</w:t>
            </w:r>
            <w:r>
              <w:t>日</w:t>
            </w:r>
            <w:r>
              <w:rPr>
                <w:rFonts w:hint="eastAsia"/>
              </w:rPr>
              <w:t>起在直销机构开通转换转出业务。</w:t>
            </w:r>
          </w:p>
        </w:tc>
      </w:tr>
      <w:tr w:rsidR="00000000">
        <w:trPr>
          <w:trHeight w:val="60"/>
        </w:trPr>
        <w:tc>
          <w:tcPr>
            <w:tcW w:w="2694" w:type="dxa"/>
            <w:tcMar>
              <w:top w:w="0" w:type="dxa"/>
              <w:left w:w="108" w:type="dxa"/>
              <w:bottom w:w="0" w:type="dxa"/>
              <w:right w:w="108" w:type="dxa"/>
            </w:tcMar>
          </w:tcPr>
          <w:p w:rsidR="00000000" w:rsidRDefault="00CC22BE">
            <w:pPr>
              <w:ind w:firstLineChars="0" w:firstLine="0"/>
              <w:rPr>
                <w:rFonts w:hint="eastAsia"/>
              </w:rPr>
            </w:pPr>
            <w:r>
              <w:rPr>
                <w:rFonts w:hint="eastAsia"/>
              </w:rPr>
              <w:t>下属分级基金的基金简称</w:t>
            </w:r>
          </w:p>
        </w:tc>
        <w:tc>
          <w:tcPr>
            <w:tcW w:w="3331" w:type="dxa"/>
            <w:tcMar>
              <w:top w:w="0" w:type="dxa"/>
              <w:left w:w="108" w:type="dxa"/>
              <w:bottom w:w="0" w:type="dxa"/>
              <w:right w:w="108" w:type="dxa"/>
            </w:tcMar>
          </w:tcPr>
          <w:p w:rsidR="00000000" w:rsidRDefault="00CC22BE">
            <w:pPr>
              <w:ind w:firstLineChars="0" w:firstLine="0"/>
              <w:rPr>
                <w:rFonts w:hint="eastAsia"/>
              </w:rPr>
            </w:pPr>
            <w:r>
              <w:rPr>
                <w:color w:val="000000"/>
                <w:kern w:val="0"/>
              </w:rPr>
              <w:t>富国睿利定期开放混合型发起式</w:t>
            </w:r>
            <w:r>
              <w:rPr>
                <w:kern w:val="0"/>
              </w:rPr>
              <w:t>A</w:t>
            </w:r>
          </w:p>
        </w:tc>
        <w:tc>
          <w:tcPr>
            <w:tcW w:w="3331" w:type="dxa"/>
          </w:tcPr>
          <w:p w:rsidR="00000000" w:rsidRDefault="00CC22BE">
            <w:pPr>
              <w:ind w:leftChars="29" w:left="70" w:firstLineChars="0" w:firstLine="0"/>
              <w:rPr>
                <w:rFonts w:hint="eastAsia"/>
              </w:rPr>
            </w:pPr>
            <w:r>
              <w:rPr>
                <w:color w:val="000000"/>
                <w:kern w:val="0"/>
              </w:rPr>
              <w:t>富国睿利定期开放混合型发起式</w:t>
            </w:r>
            <w:r>
              <w:rPr>
                <w:kern w:val="0"/>
              </w:rPr>
              <w:t>C</w:t>
            </w:r>
          </w:p>
        </w:tc>
      </w:tr>
      <w:tr w:rsidR="00000000">
        <w:trPr>
          <w:trHeight w:val="60"/>
        </w:trPr>
        <w:tc>
          <w:tcPr>
            <w:tcW w:w="2694" w:type="dxa"/>
            <w:tcMar>
              <w:top w:w="0" w:type="dxa"/>
              <w:left w:w="108" w:type="dxa"/>
              <w:bottom w:w="0" w:type="dxa"/>
              <w:right w:w="108" w:type="dxa"/>
            </w:tcMar>
          </w:tcPr>
          <w:p w:rsidR="00000000" w:rsidRDefault="00CC22BE">
            <w:pPr>
              <w:ind w:firstLineChars="0" w:firstLine="0"/>
              <w:rPr>
                <w:rFonts w:hint="eastAsia"/>
              </w:rPr>
            </w:pPr>
            <w:r>
              <w:rPr>
                <w:rFonts w:hint="eastAsia"/>
              </w:rPr>
              <w:t>下属分级基金的交易代码</w:t>
            </w:r>
          </w:p>
        </w:tc>
        <w:tc>
          <w:tcPr>
            <w:tcW w:w="3331" w:type="dxa"/>
            <w:tcMar>
              <w:top w:w="0" w:type="dxa"/>
              <w:left w:w="108" w:type="dxa"/>
              <w:bottom w:w="0" w:type="dxa"/>
              <w:right w:w="108" w:type="dxa"/>
            </w:tcMar>
          </w:tcPr>
          <w:p w:rsidR="00000000" w:rsidRDefault="00CC22BE">
            <w:pPr>
              <w:ind w:firstLineChars="0" w:firstLine="0"/>
              <w:rPr>
                <w:color w:val="000000"/>
                <w:kern w:val="0"/>
              </w:rPr>
            </w:pPr>
            <w:r>
              <w:rPr>
                <w:color w:val="000000"/>
                <w:kern w:val="0"/>
              </w:rPr>
              <w:t>002908</w:t>
            </w:r>
          </w:p>
        </w:tc>
        <w:tc>
          <w:tcPr>
            <w:tcW w:w="3331" w:type="dxa"/>
          </w:tcPr>
          <w:p w:rsidR="00000000" w:rsidRDefault="00CC22BE">
            <w:pPr>
              <w:ind w:leftChars="29" w:left="70" w:firstLineChars="0" w:firstLine="0"/>
              <w:rPr>
                <w:color w:val="000000"/>
                <w:kern w:val="0"/>
              </w:rPr>
            </w:pPr>
            <w:r>
              <w:rPr>
                <w:color w:val="000000"/>
                <w:kern w:val="0"/>
              </w:rPr>
              <w:t>016599</w:t>
            </w:r>
          </w:p>
        </w:tc>
      </w:tr>
      <w:tr w:rsidR="00000000">
        <w:trPr>
          <w:trHeight w:val="60"/>
        </w:trPr>
        <w:tc>
          <w:tcPr>
            <w:tcW w:w="2694" w:type="dxa"/>
            <w:tcMar>
              <w:top w:w="0" w:type="dxa"/>
              <w:left w:w="108" w:type="dxa"/>
              <w:bottom w:w="0" w:type="dxa"/>
              <w:right w:w="108" w:type="dxa"/>
            </w:tcMar>
          </w:tcPr>
          <w:p w:rsidR="00000000" w:rsidRDefault="00CC22BE">
            <w:pPr>
              <w:ind w:firstLineChars="0" w:firstLine="0"/>
              <w:rPr>
                <w:rFonts w:hint="eastAsia"/>
              </w:rPr>
            </w:pPr>
            <w:r>
              <w:rPr>
                <w:rFonts w:hint="eastAsia"/>
              </w:rPr>
              <w:t>该分级基金是否开放申购、赎回、转换转入、转换转出投资</w:t>
            </w:r>
          </w:p>
        </w:tc>
        <w:tc>
          <w:tcPr>
            <w:tcW w:w="3331" w:type="dxa"/>
            <w:tcMar>
              <w:top w:w="0" w:type="dxa"/>
              <w:left w:w="108" w:type="dxa"/>
              <w:bottom w:w="0" w:type="dxa"/>
              <w:right w:w="108" w:type="dxa"/>
            </w:tcMar>
          </w:tcPr>
          <w:p w:rsidR="00000000" w:rsidRDefault="00CC22BE">
            <w:pPr>
              <w:ind w:firstLineChars="0" w:firstLine="0"/>
              <w:rPr>
                <w:color w:val="000000"/>
                <w:kern w:val="0"/>
              </w:rPr>
            </w:pPr>
            <w:r>
              <w:rPr>
                <w:color w:val="000000"/>
                <w:kern w:val="0"/>
              </w:rPr>
              <w:t>是</w:t>
            </w:r>
          </w:p>
        </w:tc>
        <w:tc>
          <w:tcPr>
            <w:tcW w:w="3331" w:type="dxa"/>
          </w:tcPr>
          <w:p w:rsidR="00000000" w:rsidRDefault="00CC22BE">
            <w:pPr>
              <w:ind w:leftChars="29" w:left="70" w:firstLineChars="0" w:firstLine="0"/>
              <w:rPr>
                <w:color w:val="000000"/>
                <w:kern w:val="0"/>
              </w:rPr>
            </w:pPr>
            <w:r>
              <w:rPr>
                <w:color w:val="000000"/>
                <w:kern w:val="0"/>
              </w:rPr>
              <w:t>是</w:t>
            </w:r>
          </w:p>
        </w:tc>
      </w:tr>
    </w:tbl>
    <w:p w:rsidR="00000000" w:rsidRDefault="00CC22BE">
      <w:pPr>
        <w:ind w:firstLine="480"/>
      </w:pPr>
    </w:p>
    <w:p w:rsidR="00000000" w:rsidRDefault="00CC22BE">
      <w:pPr>
        <w:ind w:firstLine="480"/>
        <w:rPr>
          <w:rFonts w:hint="eastAsia"/>
        </w:rPr>
      </w:pPr>
      <w:r>
        <w:rPr>
          <w:rFonts w:hint="eastAsia"/>
        </w:rPr>
        <w:lastRenderedPageBreak/>
        <w:t>注：</w:t>
      </w:r>
    </w:p>
    <w:p w:rsidR="00000000" w:rsidRDefault="00CC22BE">
      <w:pPr>
        <w:ind w:firstLine="480"/>
      </w:pPr>
      <w:r>
        <w:rPr>
          <w:rFonts w:hint="eastAsia"/>
        </w:rPr>
        <w:t>1</w:t>
      </w:r>
      <w:r>
        <w:rPr>
          <w:rFonts w:hint="eastAsia"/>
        </w:rPr>
        <w:t>、本基金以</w:t>
      </w:r>
      <w:r>
        <w:rPr>
          <w:rFonts w:hint="eastAsia"/>
        </w:rPr>
        <w:t>36</w:t>
      </w:r>
      <w:r>
        <w:rPr>
          <w:rFonts w:hint="eastAsia"/>
        </w:rPr>
        <w:t>个月为一个运作周期，每个运作周期为自基金合同生效日（包括基金合同生效日）或每个到期开放期结束之日次日起（包括该日）至</w:t>
      </w:r>
      <w:r>
        <w:rPr>
          <w:rFonts w:hint="eastAsia"/>
        </w:rPr>
        <w:t>36</w:t>
      </w:r>
      <w:r>
        <w:rPr>
          <w:rFonts w:hint="eastAsia"/>
        </w:rPr>
        <w:t>个月后的月度对日的前一日止。在每个运作周期结束后第一个工作日起进入到期开放期。本基金的每个运作周期以封闭期和期间开放期相交替的方式运作，共包含</w:t>
      </w:r>
      <w:r>
        <w:rPr>
          <w:rFonts w:hint="eastAsia"/>
        </w:rPr>
        <w:t>3</w:t>
      </w:r>
      <w:r>
        <w:rPr>
          <w:rFonts w:hint="eastAsia"/>
        </w:rPr>
        <w:t>个封闭期和</w:t>
      </w:r>
      <w:r>
        <w:rPr>
          <w:rFonts w:hint="eastAsia"/>
        </w:rPr>
        <w:t>2</w:t>
      </w:r>
      <w:r>
        <w:rPr>
          <w:rFonts w:hint="eastAsia"/>
        </w:rPr>
        <w:t>个期间开放期。</w:t>
      </w:r>
    </w:p>
    <w:p w:rsidR="00000000" w:rsidRDefault="00CC22BE">
      <w:pPr>
        <w:ind w:firstLine="480"/>
      </w:pPr>
      <w:r>
        <w:rPr>
          <w:rFonts w:hint="eastAsia"/>
        </w:rPr>
        <w:t>2</w:t>
      </w:r>
      <w:r>
        <w:rPr>
          <w:rFonts w:hint="eastAsia"/>
        </w:rPr>
        <w:t>、本基金本次开放期为第三个到期开放期。</w:t>
      </w:r>
    </w:p>
    <w:p w:rsidR="00000000" w:rsidRDefault="00CC22BE">
      <w:pPr>
        <w:pStyle w:val="2"/>
        <w:rPr>
          <w:szCs w:val="21"/>
        </w:rPr>
      </w:pPr>
      <w:r>
        <w:t>日常申购、赎回业务的办理时间</w:t>
      </w:r>
    </w:p>
    <w:p w:rsidR="00000000" w:rsidRDefault="00CC22BE">
      <w:pPr>
        <w:pStyle w:val="3"/>
        <w:rPr>
          <w:szCs w:val="21"/>
        </w:rPr>
      </w:pPr>
      <w:r>
        <w:t>2.1 </w:t>
      </w:r>
      <w:r>
        <w:t>开放日及开放时间</w:t>
      </w:r>
    </w:p>
    <w:p w:rsidR="00000000" w:rsidRDefault="00CC22BE">
      <w:pPr>
        <w:ind w:firstLine="480"/>
        <w:rPr>
          <w:kern w:val="0"/>
        </w:rPr>
      </w:pPr>
      <w:r>
        <w:rPr>
          <w:rFonts w:hint="eastAsia"/>
          <w:kern w:val="0"/>
        </w:rPr>
        <w:t>自</w:t>
      </w:r>
      <w:r>
        <w:rPr>
          <w:kern w:val="0"/>
        </w:rPr>
        <w:t>2</w:t>
      </w:r>
      <w:r>
        <w:rPr>
          <w:kern w:val="0"/>
        </w:rPr>
        <w:t>02</w:t>
      </w:r>
      <w:r>
        <w:rPr>
          <w:rFonts w:hint="eastAsia"/>
          <w:kern w:val="0"/>
        </w:rPr>
        <w:t>5</w:t>
      </w:r>
      <w:r>
        <w:rPr>
          <w:rFonts w:hint="eastAsia"/>
          <w:kern w:val="0"/>
        </w:rPr>
        <w:t>年</w:t>
      </w:r>
      <w:r>
        <w:rPr>
          <w:kern w:val="0"/>
        </w:rPr>
        <w:t>1</w:t>
      </w:r>
      <w:r>
        <w:rPr>
          <w:rFonts w:hint="eastAsia"/>
          <w:kern w:val="0"/>
        </w:rPr>
        <w:t>2</w:t>
      </w:r>
      <w:r>
        <w:rPr>
          <w:rFonts w:hint="eastAsia"/>
          <w:kern w:val="0"/>
        </w:rPr>
        <w:t>月</w:t>
      </w:r>
      <w:r>
        <w:rPr>
          <w:rFonts w:hint="eastAsia"/>
          <w:kern w:val="0"/>
        </w:rPr>
        <w:t>1</w:t>
      </w:r>
      <w:r>
        <w:rPr>
          <w:rFonts w:hint="eastAsia"/>
          <w:kern w:val="0"/>
        </w:rPr>
        <w:t>日（含该日）至</w:t>
      </w:r>
      <w:r>
        <w:rPr>
          <w:kern w:val="0"/>
        </w:rPr>
        <w:t>202</w:t>
      </w:r>
      <w:r>
        <w:rPr>
          <w:rFonts w:hint="eastAsia"/>
          <w:kern w:val="0"/>
        </w:rPr>
        <w:t>5</w:t>
      </w:r>
      <w:r>
        <w:rPr>
          <w:rFonts w:hint="eastAsia"/>
          <w:kern w:val="0"/>
        </w:rPr>
        <w:t>年</w:t>
      </w:r>
      <w:r>
        <w:rPr>
          <w:kern w:val="0"/>
        </w:rPr>
        <w:t>1</w:t>
      </w:r>
      <w:r>
        <w:rPr>
          <w:rFonts w:hint="eastAsia"/>
          <w:kern w:val="0"/>
        </w:rPr>
        <w:t>2</w:t>
      </w:r>
      <w:r>
        <w:rPr>
          <w:rFonts w:hint="eastAsia"/>
          <w:kern w:val="0"/>
        </w:rPr>
        <w:t>月</w:t>
      </w:r>
      <w:r>
        <w:rPr>
          <w:rFonts w:hint="eastAsia"/>
          <w:kern w:val="0"/>
        </w:rPr>
        <w:t>5</w:t>
      </w:r>
      <w:r>
        <w:rPr>
          <w:rFonts w:hint="eastAsia"/>
          <w:kern w:val="0"/>
        </w:rPr>
        <w:t>日（含该日）期间的工作日本基金接受投资者的赎回申请，自</w:t>
      </w:r>
      <w:r>
        <w:rPr>
          <w:kern w:val="0"/>
        </w:rPr>
        <w:t>202</w:t>
      </w:r>
      <w:r>
        <w:rPr>
          <w:rFonts w:hint="eastAsia"/>
          <w:kern w:val="0"/>
        </w:rPr>
        <w:t>5</w:t>
      </w:r>
      <w:r>
        <w:rPr>
          <w:rFonts w:hint="eastAsia"/>
          <w:kern w:val="0"/>
        </w:rPr>
        <w:t>年</w:t>
      </w:r>
      <w:r>
        <w:rPr>
          <w:kern w:val="0"/>
        </w:rPr>
        <w:t>1</w:t>
      </w:r>
      <w:r>
        <w:rPr>
          <w:rFonts w:hint="eastAsia"/>
          <w:kern w:val="0"/>
        </w:rPr>
        <w:t>2</w:t>
      </w:r>
      <w:r>
        <w:rPr>
          <w:rFonts w:hint="eastAsia"/>
          <w:kern w:val="0"/>
        </w:rPr>
        <w:t>月</w:t>
      </w:r>
      <w:r>
        <w:rPr>
          <w:rFonts w:hint="eastAsia"/>
          <w:kern w:val="0"/>
        </w:rPr>
        <w:t>1</w:t>
      </w:r>
      <w:r>
        <w:rPr>
          <w:rFonts w:hint="eastAsia"/>
          <w:kern w:val="0"/>
        </w:rPr>
        <w:t>日（含该日）至</w:t>
      </w:r>
      <w:r>
        <w:rPr>
          <w:kern w:val="0"/>
        </w:rPr>
        <w:t>202</w:t>
      </w:r>
      <w:r>
        <w:rPr>
          <w:rFonts w:hint="eastAsia"/>
          <w:kern w:val="0"/>
        </w:rPr>
        <w:t>5</w:t>
      </w:r>
      <w:r>
        <w:rPr>
          <w:rFonts w:hint="eastAsia"/>
          <w:kern w:val="0"/>
        </w:rPr>
        <w:t>年</w:t>
      </w:r>
      <w:r>
        <w:rPr>
          <w:kern w:val="0"/>
        </w:rPr>
        <w:t>1</w:t>
      </w:r>
      <w:r>
        <w:rPr>
          <w:rFonts w:hint="eastAsia"/>
          <w:kern w:val="0"/>
        </w:rPr>
        <w:t>2</w:t>
      </w:r>
      <w:r>
        <w:rPr>
          <w:rFonts w:hint="eastAsia"/>
          <w:kern w:val="0"/>
        </w:rPr>
        <w:t>月</w:t>
      </w:r>
      <w:r>
        <w:rPr>
          <w:kern w:val="0"/>
        </w:rPr>
        <w:t>2</w:t>
      </w:r>
      <w:r>
        <w:rPr>
          <w:rFonts w:hint="eastAsia"/>
          <w:kern w:val="0"/>
        </w:rPr>
        <w:t>6</w:t>
      </w:r>
      <w:r>
        <w:rPr>
          <w:rFonts w:hint="eastAsia"/>
          <w:kern w:val="0"/>
        </w:rPr>
        <w:t>日（含该日）期间的工作日本基金接受投资者的申购申请。</w:t>
      </w:r>
    </w:p>
    <w:p w:rsidR="00000000" w:rsidRDefault="00CC22BE">
      <w:pPr>
        <w:ind w:firstLine="480"/>
        <w:rPr>
          <w:rFonts w:hint="eastAsia"/>
          <w:kern w:val="0"/>
        </w:rPr>
      </w:pPr>
      <w:r>
        <w:rPr>
          <w:kern w:val="0"/>
        </w:rPr>
        <w:t>投资</w:t>
      </w:r>
      <w:r>
        <w:rPr>
          <w:rFonts w:hint="eastAsia"/>
          <w:kern w:val="0"/>
        </w:rPr>
        <w:t>者</w:t>
      </w:r>
      <w:r>
        <w:rPr>
          <w:kern w:val="0"/>
        </w:rPr>
        <w:t>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000000" w:rsidRDefault="00CC22BE">
      <w:pPr>
        <w:ind w:firstLine="480"/>
        <w:rPr>
          <w:kern w:val="0"/>
        </w:rPr>
      </w:pPr>
      <w:r>
        <w:rPr>
          <w:rFonts w:hint="eastAsia"/>
          <w:kern w:val="0"/>
        </w:rPr>
        <w:t>如开放期内因发生不可抗力或其他情形致使基金无法按时开放申购与赎回业务，或依据基金合同的约定发生基金暂停申购与赎</w:t>
      </w:r>
      <w:r>
        <w:rPr>
          <w:rFonts w:hint="eastAsia"/>
          <w:kern w:val="0"/>
        </w:rPr>
        <w:t>回业务的，开放期将按暂停申购与赎回的期间相应顺延。开放期的具体时间以基金管理人届时公告为准。</w:t>
      </w:r>
    </w:p>
    <w:p w:rsidR="00000000" w:rsidRDefault="00CC22BE">
      <w:pPr>
        <w:ind w:firstLine="480"/>
        <w:rPr>
          <w:rFonts w:hint="eastAsia"/>
          <w:kern w:val="0"/>
        </w:rPr>
      </w:pPr>
      <w:r>
        <w:rPr>
          <w:rFonts w:hint="eastAsia"/>
          <w:kern w:val="0"/>
        </w:rPr>
        <w:t>如本基金在第三个到期开放期内未发生不可抗力或其他情形致使基金无法按时开放申购与赎回业务的，本基金自</w:t>
      </w:r>
      <w:r>
        <w:rPr>
          <w:rFonts w:hint="eastAsia"/>
          <w:kern w:val="0"/>
        </w:rPr>
        <w:t>2025</w:t>
      </w:r>
      <w:r>
        <w:rPr>
          <w:rFonts w:hint="eastAsia"/>
          <w:kern w:val="0"/>
        </w:rPr>
        <w:t>年</w:t>
      </w:r>
      <w:r>
        <w:rPr>
          <w:kern w:val="0"/>
        </w:rPr>
        <w:t>1</w:t>
      </w:r>
      <w:r>
        <w:rPr>
          <w:rFonts w:hint="eastAsia"/>
          <w:kern w:val="0"/>
        </w:rPr>
        <w:t>2</w:t>
      </w:r>
      <w:r>
        <w:rPr>
          <w:rFonts w:hint="eastAsia"/>
          <w:kern w:val="0"/>
        </w:rPr>
        <w:t>月</w:t>
      </w:r>
      <w:r>
        <w:rPr>
          <w:rFonts w:hint="eastAsia"/>
          <w:kern w:val="0"/>
        </w:rPr>
        <w:t>27</w:t>
      </w:r>
      <w:r>
        <w:rPr>
          <w:rFonts w:hint="eastAsia"/>
          <w:kern w:val="0"/>
        </w:rPr>
        <w:t>日将进入第四个运作周期的第一个封闭期。</w:t>
      </w:r>
    </w:p>
    <w:p w:rsidR="00000000" w:rsidRDefault="00CC22BE">
      <w:pPr>
        <w:pStyle w:val="2"/>
        <w:rPr>
          <w:kern w:val="0"/>
          <w:szCs w:val="21"/>
        </w:rPr>
      </w:pPr>
      <w:r>
        <w:rPr>
          <w:kern w:val="0"/>
        </w:rPr>
        <w:t>日常申购业务</w:t>
      </w:r>
    </w:p>
    <w:p w:rsidR="00000000" w:rsidRDefault="00CC22BE">
      <w:pPr>
        <w:pStyle w:val="3"/>
        <w:rPr>
          <w:szCs w:val="21"/>
        </w:rPr>
      </w:pPr>
      <w:r>
        <w:t>3.1 </w:t>
      </w:r>
      <w:r>
        <w:t>申购金额限制</w:t>
      </w:r>
    </w:p>
    <w:p w:rsidR="00000000" w:rsidRDefault="00CC22BE">
      <w:pPr>
        <w:ind w:firstLine="480"/>
        <w:rPr>
          <w:kern w:val="0"/>
        </w:rPr>
      </w:pPr>
      <w:r>
        <w:rPr>
          <w:rFonts w:hint="eastAsia"/>
          <w:kern w:val="0"/>
        </w:rPr>
        <w:t>基金管理人规定，本基金单笔最低申购金额为人民币</w:t>
      </w:r>
      <w:r>
        <w:rPr>
          <w:rFonts w:hint="eastAsia"/>
          <w:kern w:val="0"/>
        </w:rPr>
        <w:t>1</w:t>
      </w:r>
      <w:r>
        <w:rPr>
          <w:rFonts w:hint="eastAsia"/>
          <w:kern w:val="0"/>
        </w:rPr>
        <w:t>元（含申购费），投资者通过其他销售机构申购本基金时，除需满足基金管理人最低申购金额限制外，当其他销售机构设定的最低金额高于上述金额限制时，投资者还应遵循相关销售机构的业务规定。</w:t>
      </w:r>
    </w:p>
    <w:p w:rsidR="00000000" w:rsidRDefault="00CC22BE">
      <w:pPr>
        <w:ind w:firstLine="480"/>
        <w:rPr>
          <w:kern w:val="0"/>
        </w:rPr>
      </w:pPr>
      <w:r>
        <w:rPr>
          <w:rFonts w:hint="eastAsia"/>
          <w:kern w:val="0"/>
        </w:rPr>
        <w:t>直销网点单个账户首次申购的最低金额为</w:t>
      </w:r>
      <w:r>
        <w:rPr>
          <w:rFonts w:hint="eastAsia"/>
          <w:kern w:val="0"/>
        </w:rPr>
        <w:t>50,000</w:t>
      </w:r>
      <w:r>
        <w:rPr>
          <w:rFonts w:hint="eastAsia"/>
          <w:kern w:val="0"/>
        </w:rPr>
        <w:t>元（含申购费），追加申购的最低金额为单笔</w:t>
      </w:r>
      <w:r>
        <w:rPr>
          <w:rFonts w:hint="eastAsia"/>
          <w:kern w:val="0"/>
        </w:rPr>
        <w:t>20,000</w:t>
      </w:r>
      <w:r>
        <w:rPr>
          <w:rFonts w:hint="eastAsia"/>
          <w:kern w:val="0"/>
        </w:rPr>
        <w:t>元（含申购费）；已在直销网点有该基金认购记录的投资者不受首次申购最低金额的限制。其他销售网点的投资者欲转入直销网点进行交易要受直销网点最低申购金额的限制。投资者当期分配的基金收益转购基金份额时，不受最低申购金额的限制。</w:t>
      </w:r>
    </w:p>
    <w:p w:rsidR="00000000" w:rsidRDefault="00CC22BE">
      <w:pPr>
        <w:ind w:firstLine="480"/>
        <w:rPr>
          <w:kern w:val="0"/>
        </w:rPr>
      </w:pPr>
      <w:r>
        <w:rPr>
          <w:rFonts w:hint="eastAsia"/>
          <w:kern w:val="0"/>
        </w:rPr>
        <w:t>通过基金管理人网上交易系统办理基金申购业务的不受直销网点单笔申购最低金额的限制，申购最低金额为单笔</w:t>
      </w:r>
      <w:r>
        <w:rPr>
          <w:rFonts w:hint="eastAsia"/>
          <w:kern w:val="0"/>
        </w:rPr>
        <w:t>1</w:t>
      </w:r>
      <w:r>
        <w:rPr>
          <w:rFonts w:hint="eastAsia"/>
          <w:kern w:val="0"/>
        </w:rPr>
        <w:t>元（含申购费）。基金管理人可根据市场情况，调整本基金首次申购的最低金额。</w:t>
      </w:r>
    </w:p>
    <w:p w:rsidR="00000000" w:rsidRDefault="00CC22BE">
      <w:pPr>
        <w:pStyle w:val="3"/>
        <w:rPr>
          <w:kern w:val="0"/>
          <w:szCs w:val="21"/>
        </w:rPr>
      </w:pPr>
      <w:r>
        <w:rPr>
          <w:kern w:val="0"/>
        </w:rPr>
        <w:t>3.2 </w:t>
      </w:r>
      <w:r>
        <w:rPr>
          <w:kern w:val="0"/>
        </w:rPr>
        <w:t>申购费率</w:t>
      </w:r>
    </w:p>
    <w:p w:rsidR="00000000" w:rsidRDefault="00CC22BE">
      <w:pPr>
        <w:pStyle w:val="ad"/>
        <w:ind w:firstLine="480"/>
        <w:rPr>
          <w:rFonts w:hint="eastAsia"/>
        </w:rPr>
      </w:pPr>
      <w:r>
        <w:rPr>
          <w:rFonts w:hint="eastAsia"/>
        </w:rPr>
        <w:t>投资者申购本基金</w:t>
      </w:r>
      <w:r>
        <w:rPr>
          <w:rFonts w:hint="eastAsia"/>
        </w:rPr>
        <w:t>A</w:t>
      </w:r>
      <w:r>
        <w:rPr>
          <w:rFonts w:hint="eastAsia"/>
        </w:rPr>
        <w:t>类基金份额时，需交纳申购费用。投资者在一天之内如果有多笔</w:t>
      </w:r>
      <w:r>
        <w:rPr>
          <w:rFonts w:hint="eastAsia"/>
        </w:rPr>
        <w:t>A</w:t>
      </w:r>
      <w:r>
        <w:rPr>
          <w:rFonts w:hint="eastAsia"/>
        </w:rPr>
        <w:t>类基金份额申购，适用费率按单笔分别计算。本基金</w:t>
      </w:r>
      <w:r>
        <w:rPr>
          <w:rFonts w:hint="eastAsia"/>
        </w:rPr>
        <w:t>C</w:t>
      </w:r>
      <w:r>
        <w:rPr>
          <w:rFonts w:hint="eastAsia"/>
        </w:rPr>
        <w:t>类基金份额不收取申购费。各销售机构销售的份额类别以其业务规定为准，敬请投资者留意。</w:t>
      </w:r>
    </w:p>
    <w:p w:rsidR="00000000" w:rsidRDefault="00CC22BE">
      <w:pPr>
        <w:pStyle w:val="ad"/>
        <w:ind w:firstLine="480"/>
        <w:rPr>
          <w:rFonts w:hint="eastAsia"/>
        </w:rPr>
      </w:pPr>
      <w:r>
        <w:rPr>
          <w:rFonts w:hint="eastAsia"/>
        </w:rPr>
        <w:t>本基金在申购</w:t>
      </w:r>
      <w:r>
        <w:rPr>
          <w:rFonts w:hint="eastAsia"/>
        </w:rPr>
        <w:t>A</w:t>
      </w:r>
      <w:r>
        <w:rPr>
          <w:rFonts w:hint="eastAsia"/>
        </w:rPr>
        <w:t>类基金份额时支付申购费用，该费用按申购金额递减。本基金的</w:t>
      </w:r>
      <w:r>
        <w:rPr>
          <w:rFonts w:hint="eastAsia"/>
        </w:rPr>
        <w:t>A</w:t>
      </w:r>
      <w:r>
        <w:rPr>
          <w:rFonts w:hint="eastAsia"/>
        </w:rPr>
        <w:t>类基金份额申购费率具体如下：</w:t>
      </w:r>
    </w:p>
    <w:p w:rsidR="00000000" w:rsidRDefault="00CC22BE">
      <w:pPr>
        <w:pStyle w:val="ad"/>
        <w:ind w:firstLine="480"/>
      </w:pPr>
      <w:r>
        <w:rPr>
          <w:rFonts w:hint="eastAsia"/>
        </w:rPr>
        <w:t>本基金对通过直销中心申购本基金</w:t>
      </w:r>
      <w:r>
        <w:rPr>
          <w:rFonts w:hint="eastAsia"/>
        </w:rPr>
        <w:t>A</w:t>
      </w:r>
      <w:r>
        <w:rPr>
          <w:rFonts w:hint="eastAsia"/>
        </w:rPr>
        <w:t>类基金份额的养老金客户与除此之外的其他投资者实施差别的申购费率。通过基金管理人的直销中心申购本基金</w:t>
      </w:r>
      <w:r>
        <w:rPr>
          <w:rFonts w:hint="eastAsia"/>
        </w:rPr>
        <w:t>A</w:t>
      </w:r>
      <w:r>
        <w:rPr>
          <w:rFonts w:hint="eastAsia"/>
        </w:rPr>
        <w:t>类基金份额的养老金客户申购费率见下表：</w:t>
      </w:r>
    </w:p>
    <w:tbl>
      <w:tblPr>
        <w:tblW w:w="4971"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60"/>
        <w:gridCol w:w="4113"/>
      </w:tblGrid>
      <w:tr w:rsidR="00000000">
        <w:trPr>
          <w:trHeight w:val="406"/>
          <w:jc w:val="center"/>
        </w:trPr>
        <w:tc>
          <w:tcPr>
            <w:tcW w:w="2573" w:type="pct"/>
            <w:vAlign w:val="center"/>
          </w:tcPr>
          <w:p w:rsidR="00000000" w:rsidRDefault="00CC22BE">
            <w:pPr>
              <w:ind w:firstLineChars="0" w:firstLine="0"/>
              <w:jc w:val="center"/>
            </w:pPr>
            <w:r>
              <w:rPr>
                <w:rFonts w:hAnsi="宋体" w:hint="eastAsia"/>
              </w:rPr>
              <w:t>申购金额</w:t>
            </w:r>
            <w:r>
              <w:t>M</w:t>
            </w:r>
            <w:r>
              <w:rPr>
                <w:rFonts w:hAnsi="宋体" w:hint="eastAsia"/>
              </w:rPr>
              <w:t>（含申购费）</w:t>
            </w:r>
          </w:p>
        </w:tc>
        <w:tc>
          <w:tcPr>
            <w:tcW w:w="2427" w:type="pct"/>
            <w:vAlign w:val="center"/>
          </w:tcPr>
          <w:p w:rsidR="00000000" w:rsidRDefault="00CC22BE">
            <w:pPr>
              <w:ind w:firstLineChars="0" w:firstLine="0"/>
              <w:jc w:val="center"/>
            </w:pPr>
            <w:r>
              <w:rPr>
                <w:rFonts w:hAnsi="宋体" w:hint="eastAsia"/>
              </w:rPr>
              <w:t>申购</w:t>
            </w:r>
            <w:r>
              <w:rPr>
                <w:rFonts w:hAnsi="宋体" w:hint="eastAsia"/>
              </w:rPr>
              <w:t>费率</w:t>
            </w:r>
          </w:p>
        </w:tc>
      </w:tr>
      <w:tr w:rsidR="00000000">
        <w:trPr>
          <w:trHeight w:val="113"/>
          <w:jc w:val="center"/>
        </w:trPr>
        <w:tc>
          <w:tcPr>
            <w:tcW w:w="2573" w:type="pct"/>
            <w:vAlign w:val="center"/>
          </w:tcPr>
          <w:p w:rsidR="00000000" w:rsidRDefault="00CC22BE">
            <w:pPr>
              <w:ind w:firstLineChars="0" w:firstLine="0"/>
              <w:jc w:val="center"/>
            </w:pPr>
            <w:r>
              <w:t>M</w:t>
            </w:r>
            <w:r>
              <w:rPr>
                <w:rFonts w:hAnsi="宋体" w:hint="eastAsia"/>
              </w:rPr>
              <w:t>＜</w:t>
            </w:r>
            <w:r>
              <w:t>1000</w:t>
            </w:r>
            <w:r>
              <w:rPr>
                <w:rFonts w:hAnsi="宋体" w:hint="eastAsia"/>
              </w:rPr>
              <w:t>万元</w:t>
            </w:r>
          </w:p>
        </w:tc>
        <w:tc>
          <w:tcPr>
            <w:tcW w:w="2427" w:type="pct"/>
            <w:vAlign w:val="center"/>
          </w:tcPr>
          <w:p w:rsidR="00000000" w:rsidRDefault="00CC22BE">
            <w:pPr>
              <w:ind w:firstLineChars="0" w:firstLine="0"/>
              <w:jc w:val="center"/>
            </w:pPr>
            <w:r>
              <w:t>0.</w:t>
            </w:r>
            <w:r>
              <w:rPr>
                <w:rFonts w:hint="eastAsia"/>
              </w:rPr>
              <w:t>12</w:t>
            </w:r>
            <w:r>
              <w:t>%</w:t>
            </w:r>
          </w:p>
        </w:tc>
      </w:tr>
      <w:tr w:rsidR="00000000">
        <w:trPr>
          <w:trHeight w:val="113"/>
          <w:jc w:val="center"/>
        </w:trPr>
        <w:tc>
          <w:tcPr>
            <w:tcW w:w="2573" w:type="pct"/>
            <w:vAlign w:val="center"/>
          </w:tcPr>
          <w:p w:rsidR="00000000" w:rsidRDefault="00CC22BE">
            <w:pPr>
              <w:ind w:firstLineChars="0" w:firstLine="0"/>
              <w:jc w:val="center"/>
            </w:pPr>
            <w:r>
              <w:t>M</w:t>
            </w:r>
            <w:r>
              <w:rPr>
                <w:rFonts w:hint="eastAsia"/>
              </w:rPr>
              <w:t>≥</w:t>
            </w:r>
            <w:r>
              <w:t>1000</w:t>
            </w:r>
            <w:r>
              <w:rPr>
                <w:rFonts w:hAnsi="宋体" w:hint="eastAsia"/>
              </w:rPr>
              <w:t>万元</w:t>
            </w:r>
          </w:p>
        </w:tc>
        <w:tc>
          <w:tcPr>
            <w:tcW w:w="2427" w:type="pct"/>
            <w:vAlign w:val="center"/>
          </w:tcPr>
          <w:p w:rsidR="00000000" w:rsidRDefault="00CC22BE">
            <w:pPr>
              <w:ind w:firstLineChars="0" w:firstLine="0"/>
              <w:jc w:val="center"/>
            </w:pPr>
            <w:r>
              <w:t>1000</w:t>
            </w:r>
            <w:r>
              <w:rPr>
                <w:rFonts w:hAnsi="宋体" w:hint="eastAsia"/>
              </w:rPr>
              <w:t>元</w:t>
            </w:r>
            <w:r>
              <w:t>/</w:t>
            </w:r>
            <w:r>
              <w:rPr>
                <w:rFonts w:hAnsi="宋体" w:hint="eastAsia"/>
              </w:rPr>
              <w:t>笔</w:t>
            </w:r>
          </w:p>
        </w:tc>
      </w:tr>
    </w:tbl>
    <w:p w:rsidR="00000000" w:rsidRDefault="00CC22BE">
      <w:pPr>
        <w:pStyle w:val="ad"/>
        <w:ind w:firstLine="480"/>
        <w:rPr>
          <w:rFonts w:hint="eastAsia"/>
        </w:rPr>
      </w:pPr>
      <w:r>
        <w:rPr>
          <w:rFonts w:hint="eastAsia"/>
        </w:rPr>
        <w:t>注：上述特定申购费率适用于通过本公司直销柜台申购本基金</w:t>
      </w:r>
      <w:r>
        <w:rPr>
          <w:rFonts w:hint="eastAsia"/>
        </w:rPr>
        <w:t>A</w:t>
      </w:r>
      <w:r>
        <w:rPr>
          <w:rFonts w:hint="eastAsia"/>
        </w:rPr>
        <w:t>类基金份额的养老金客户，包括基本养老基金与依法成立的养老计划筹集的资金及其投资运营收益形成的补充养老基金等，具体包括：全国社会保障基金；可以投资基金的地方社会保障基金；企业年金单一计划以及集合计划；企业年金理事会委托的特定客户资产管理计划；企业年金养老金产品；个人税收递延型商业养老保险等产品；养老目标基金；职业年金计划。</w:t>
      </w:r>
    </w:p>
    <w:p w:rsidR="00000000" w:rsidRDefault="00CC22BE">
      <w:pPr>
        <w:pStyle w:val="ad"/>
        <w:ind w:firstLine="480"/>
        <w:rPr>
          <w:rFonts w:hint="eastAsia"/>
        </w:rPr>
      </w:pPr>
      <w:r>
        <w:rPr>
          <w:rFonts w:hint="eastAsia"/>
        </w:rPr>
        <w:t>如将来出现经养老基金监管部门认可的新的养老基金类型，本公</w:t>
      </w:r>
      <w:r>
        <w:rPr>
          <w:rFonts w:hint="eastAsia"/>
        </w:rPr>
        <w:t>司将发布临时公告将其纳入养老金客户范围。</w:t>
      </w:r>
    </w:p>
    <w:p w:rsidR="00000000" w:rsidRDefault="00CC22BE">
      <w:pPr>
        <w:pStyle w:val="ad"/>
        <w:ind w:firstLine="480"/>
      </w:pPr>
      <w:r>
        <w:rPr>
          <w:rFonts w:hint="eastAsia"/>
        </w:rPr>
        <w:t>除上述养老金客户外，其他投资者申购本基金</w:t>
      </w:r>
      <w:r>
        <w:rPr>
          <w:rFonts w:hint="eastAsia"/>
        </w:rPr>
        <w:t>A</w:t>
      </w:r>
      <w:r>
        <w:rPr>
          <w:rFonts w:hint="eastAsia"/>
        </w:rPr>
        <w:t>类基金份额的申购费率见下表：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35"/>
        <w:gridCol w:w="4000"/>
      </w:tblGrid>
      <w:tr w:rsidR="00000000">
        <w:trPr>
          <w:trHeight w:val="239"/>
          <w:jc w:val="center"/>
        </w:trPr>
        <w:tc>
          <w:tcPr>
            <w:tcW w:w="4335" w:type="dxa"/>
            <w:vAlign w:val="center"/>
          </w:tcPr>
          <w:p w:rsidR="00000000" w:rsidRDefault="00CC22BE">
            <w:pPr>
              <w:ind w:firstLineChars="0" w:firstLine="0"/>
              <w:jc w:val="center"/>
            </w:pPr>
            <w:r>
              <w:rPr>
                <w:rFonts w:hAnsi="宋体" w:hint="eastAsia"/>
              </w:rPr>
              <w:t>申购金额</w:t>
            </w:r>
            <w:r>
              <w:t>M</w:t>
            </w:r>
            <w:r>
              <w:rPr>
                <w:rFonts w:hAnsi="宋体" w:hint="eastAsia"/>
              </w:rPr>
              <w:t>（含申购费）</w:t>
            </w:r>
          </w:p>
        </w:tc>
        <w:tc>
          <w:tcPr>
            <w:tcW w:w="4000" w:type="dxa"/>
            <w:vAlign w:val="center"/>
          </w:tcPr>
          <w:p w:rsidR="00000000" w:rsidRDefault="00CC22BE">
            <w:pPr>
              <w:ind w:firstLineChars="0" w:firstLine="0"/>
              <w:jc w:val="center"/>
            </w:pPr>
            <w:r>
              <w:rPr>
                <w:rFonts w:hAnsi="宋体"/>
              </w:rPr>
              <w:t>申购费率</w:t>
            </w:r>
          </w:p>
        </w:tc>
      </w:tr>
      <w:tr w:rsidR="00000000">
        <w:trPr>
          <w:trHeight w:val="239"/>
          <w:jc w:val="center"/>
        </w:trPr>
        <w:tc>
          <w:tcPr>
            <w:tcW w:w="4335" w:type="dxa"/>
            <w:vAlign w:val="center"/>
          </w:tcPr>
          <w:p w:rsidR="00000000" w:rsidRDefault="00CC22BE">
            <w:pPr>
              <w:ind w:firstLineChars="0" w:firstLine="0"/>
              <w:jc w:val="center"/>
            </w:pPr>
            <w:r>
              <w:t>M</w:t>
            </w:r>
            <w:r>
              <w:rPr>
                <w:rFonts w:hAnsi="宋体" w:hint="eastAsia"/>
              </w:rPr>
              <w:t>＜</w:t>
            </w:r>
            <w:r>
              <w:t>1000</w:t>
            </w:r>
            <w:r>
              <w:rPr>
                <w:rFonts w:hAnsi="宋体"/>
              </w:rPr>
              <w:t>万元</w:t>
            </w:r>
          </w:p>
        </w:tc>
        <w:tc>
          <w:tcPr>
            <w:tcW w:w="4000" w:type="dxa"/>
            <w:vAlign w:val="center"/>
          </w:tcPr>
          <w:p w:rsidR="00000000" w:rsidRDefault="00CC22BE">
            <w:pPr>
              <w:ind w:firstLineChars="0" w:firstLine="0"/>
              <w:jc w:val="center"/>
            </w:pPr>
            <w:r>
              <w:t>1.20%</w:t>
            </w:r>
          </w:p>
        </w:tc>
      </w:tr>
      <w:tr w:rsidR="00000000">
        <w:trPr>
          <w:trHeight w:val="239"/>
          <w:jc w:val="center"/>
        </w:trPr>
        <w:tc>
          <w:tcPr>
            <w:tcW w:w="4335" w:type="dxa"/>
            <w:vAlign w:val="center"/>
          </w:tcPr>
          <w:p w:rsidR="00000000" w:rsidRDefault="00CC22BE">
            <w:pPr>
              <w:ind w:firstLineChars="0" w:firstLine="0"/>
              <w:jc w:val="center"/>
            </w:pPr>
            <w:r>
              <w:t>M</w:t>
            </w:r>
            <w:r>
              <w:rPr>
                <w:rFonts w:hint="eastAsia"/>
              </w:rPr>
              <w:t>≥</w:t>
            </w:r>
            <w:r>
              <w:t>1000</w:t>
            </w:r>
            <w:r>
              <w:rPr>
                <w:rFonts w:hAnsi="宋体"/>
              </w:rPr>
              <w:t>万元</w:t>
            </w:r>
          </w:p>
        </w:tc>
        <w:tc>
          <w:tcPr>
            <w:tcW w:w="4000" w:type="dxa"/>
            <w:vAlign w:val="center"/>
          </w:tcPr>
          <w:p w:rsidR="00000000" w:rsidRDefault="00CC22BE">
            <w:pPr>
              <w:ind w:firstLineChars="0" w:firstLine="0"/>
              <w:jc w:val="center"/>
            </w:pPr>
            <w:r>
              <w:t>1000</w:t>
            </w:r>
            <w:r>
              <w:rPr>
                <w:rFonts w:hAnsi="宋体" w:hint="eastAsia"/>
              </w:rPr>
              <w:t>元</w:t>
            </w:r>
            <w:r>
              <w:t>/</w:t>
            </w:r>
            <w:r>
              <w:rPr>
                <w:rFonts w:hAnsi="宋体" w:hint="eastAsia"/>
              </w:rPr>
              <w:t>笔</w:t>
            </w:r>
          </w:p>
        </w:tc>
      </w:tr>
    </w:tbl>
    <w:p w:rsidR="00000000" w:rsidRDefault="00CC22BE">
      <w:pPr>
        <w:pStyle w:val="ad"/>
        <w:ind w:firstLine="480"/>
      </w:pPr>
      <w:r>
        <w:rPr>
          <w:rFonts w:hint="eastAsia"/>
        </w:rPr>
        <w:t>A</w:t>
      </w:r>
      <w:r>
        <w:rPr>
          <w:rFonts w:hint="eastAsia"/>
        </w:rPr>
        <w:t>类基金份额的申购费用不列入基金财产，主要用于基金的市场推广、销售、登记等募集期间发生的各项费用。</w:t>
      </w:r>
    </w:p>
    <w:p w:rsidR="00000000" w:rsidRDefault="00CC22BE">
      <w:pPr>
        <w:pStyle w:val="2"/>
        <w:rPr>
          <w:szCs w:val="21"/>
        </w:rPr>
      </w:pPr>
      <w:r>
        <w:t>日常赎回业务</w:t>
      </w:r>
    </w:p>
    <w:p w:rsidR="00000000" w:rsidRDefault="00CC22BE">
      <w:pPr>
        <w:pStyle w:val="3"/>
        <w:rPr>
          <w:szCs w:val="21"/>
        </w:rPr>
      </w:pPr>
      <w:r>
        <w:t>4.1 </w:t>
      </w:r>
      <w:r>
        <w:t>赎回份额限制</w:t>
      </w:r>
    </w:p>
    <w:p w:rsidR="00000000" w:rsidRDefault="00CC22BE">
      <w:pPr>
        <w:ind w:firstLine="480"/>
        <w:rPr>
          <w:kern w:val="0"/>
        </w:rPr>
      </w:pPr>
      <w:r>
        <w:rPr>
          <w:rFonts w:hint="eastAsia"/>
          <w:kern w:val="0"/>
        </w:rPr>
        <w:t>基金份额持有人在销售机构赎回时，每次对本基金的赎回申请不得低于</w:t>
      </w:r>
      <w:r>
        <w:rPr>
          <w:rFonts w:hint="eastAsia"/>
          <w:kern w:val="0"/>
        </w:rPr>
        <w:t>0.01</w:t>
      </w:r>
      <w:r>
        <w:rPr>
          <w:rFonts w:hint="eastAsia"/>
          <w:kern w:val="0"/>
        </w:rPr>
        <w:t>份基金份额。基金份额持有人赎回时或赎回后在销售机构（网点）保留的基金份额余额不足</w:t>
      </w:r>
      <w:r>
        <w:rPr>
          <w:rFonts w:hint="eastAsia"/>
          <w:kern w:val="0"/>
        </w:rPr>
        <w:t>0.01</w:t>
      </w:r>
      <w:r>
        <w:rPr>
          <w:rFonts w:hint="eastAsia"/>
          <w:kern w:val="0"/>
        </w:rPr>
        <w:t>份的，在赎回时需一次全部申请赎回</w:t>
      </w:r>
      <w:r>
        <w:rPr>
          <w:kern w:val="0"/>
        </w:rPr>
        <w:t>。</w:t>
      </w:r>
      <w:r>
        <w:rPr>
          <w:rFonts w:hint="eastAsia"/>
          <w:kern w:val="0"/>
        </w:rPr>
        <w:t>但各销售机构对交易账户最低份额余额有其他规定的，以各销售机构的业务规定为准。</w:t>
      </w:r>
    </w:p>
    <w:p w:rsidR="00000000" w:rsidRDefault="00CC22BE">
      <w:pPr>
        <w:pStyle w:val="3"/>
        <w:rPr>
          <w:szCs w:val="21"/>
        </w:rPr>
      </w:pPr>
      <w:r>
        <w:t>4.2 </w:t>
      </w:r>
      <w:r>
        <w:t>赎回费率</w:t>
      </w:r>
    </w:p>
    <w:p w:rsidR="00000000" w:rsidRDefault="00CC22BE">
      <w:pPr>
        <w:pStyle w:val="ad"/>
        <w:ind w:firstLine="480"/>
      </w:pPr>
      <w:r>
        <w:rPr>
          <w:rFonts w:hint="eastAsia"/>
        </w:rPr>
        <w:t>（</w:t>
      </w:r>
      <w:r>
        <w:t>1</w:t>
      </w:r>
      <w:r>
        <w:rPr>
          <w:rFonts w:hint="eastAsia"/>
        </w:rPr>
        <w:t>）赎回费用由基金赎回人承担。投资者认（申）购本基金所对应的赎回费率随持有时间递减。</w:t>
      </w:r>
    </w:p>
    <w:p w:rsidR="00000000" w:rsidRDefault="00CC22BE">
      <w:pPr>
        <w:ind w:firstLine="480"/>
        <w:rPr>
          <w:bCs/>
          <w:szCs w:val="20"/>
        </w:rPr>
      </w:pPr>
      <w:r>
        <w:rPr>
          <w:rFonts w:hint="eastAsia"/>
          <w:bCs/>
          <w:szCs w:val="20"/>
        </w:rPr>
        <w:t>本基金</w:t>
      </w:r>
      <w:r>
        <w:rPr>
          <w:rFonts w:hint="eastAsia"/>
          <w:bCs/>
          <w:szCs w:val="20"/>
        </w:rPr>
        <w:t>A</w:t>
      </w:r>
      <w:r>
        <w:rPr>
          <w:rFonts w:hint="eastAsia"/>
          <w:bCs/>
          <w:szCs w:val="20"/>
        </w:rPr>
        <w:t>类基金份额的赎回费率见下表：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48"/>
        <w:gridCol w:w="4011"/>
      </w:tblGrid>
      <w:tr w:rsidR="00000000">
        <w:trPr>
          <w:trHeight w:val="199"/>
          <w:jc w:val="center"/>
        </w:trPr>
        <w:tc>
          <w:tcPr>
            <w:tcW w:w="4248" w:type="dxa"/>
            <w:tcBorders>
              <w:top w:val="single" w:sz="4" w:space="0" w:color="auto"/>
              <w:left w:val="single" w:sz="4" w:space="0" w:color="auto"/>
              <w:bottom w:val="single" w:sz="4" w:space="0" w:color="auto"/>
              <w:right w:val="single" w:sz="4" w:space="0" w:color="auto"/>
            </w:tcBorders>
            <w:vAlign w:val="center"/>
          </w:tcPr>
          <w:p w:rsidR="00000000" w:rsidRDefault="00CC22BE">
            <w:pPr>
              <w:autoSpaceDE w:val="0"/>
              <w:autoSpaceDN w:val="0"/>
              <w:adjustRightInd w:val="0"/>
              <w:ind w:firstLine="480"/>
              <w:jc w:val="center"/>
              <w:rPr>
                <w:bCs/>
                <w:color w:val="000000"/>
              </w:rPr>
            </w:pPr>
            <w:r>
              <w:rPr>
                <w:rFonts w:hint="eastAsia"/>
                <w:bCs/>
                <w:color w:val="000000"/>
              </w:rPr>
              <w:t>持有天数（</w:t>
            </w:r>
            <w:r>
              <w:rPr>
                <w:bCs/>
                <w:color w:val="000000"/>
              </w:rPr>
              <w:t>N</w:t>
            </w:r>
            <w:r>
              <w:rPr>
                <w:rFonts w:hint="eastAsia"/>
                <w:bCs/>
                <w:color w:val="000000"/>
              </w:rPr>
              <w:t>）</w:t>
            </w:r>
          </w:p>
        </w:tc>
        <w:tc>
          <w:tcPr>
            <w:tcW w:w="4011" w:type="dxa"/>
            <w:tcBorders>
              <w:top w:val="single" w:sz="4" w:space="0" w:color="auto"/>
              <w:left w:val="single" w:sz="4" w:space="0" w:color="auto"/>
              <w:bottom w:val="single" w:sz="4" w:space="0" w:color="auto"/>
              <w:right w:val="single" w:sz="4" w:space="0" w:color="auto"/>
            </w:tcBorders>
            <w:vAlign w:val="center"/>
          </w:tcPr>
          <w:p w:rsidR="00000000" w:rsidRDefault="00CC22BE">
            <w:pPr>
              <w:autoSpaceDE w:val="0"/>
              <w:autoSpaceDN w:val="0"/>
              <w:adjustRightInd w:val="0"/>
              <w:ind w:firstLineChars="0" w:firstLine="360"/>
              <w:jc w:val="center"/>
              <w:rPr>
                <w:bCs/>
                <w:color w:val="000000"/>
              </w:rPr>
            </w:pPr>
            <w:r>
              <w:rPr>
                <w:rFonts w:hint="eastAsia"/>
                <w:bCs/>
                <w:color w:val="000000"/>
              </w:rPr>
              <w:t>赎回费率</w:t>
            </w:r>
          </w:p>
        </w:tc>
      </w:tr>
      <w:tr w:rsidR="00000000">
        <w:trPr>
          <w:trHeight w:val="135"/>
          <w:jc w:val="center"/>
        </w:trPr>
        <w:tc>
          <w:tcPr>
            <w:tcW w:w="4248" w:type="dxa"/>
            <w:tcBorders>
              <w:top w:val="single" w:sz="4" w:space="0" w:color="auto"/>
              <w:left w:val="single" w:sz="4" w:space="0" w:color="auto"/>
              <w:bottom w:val="single" w:sz="4" w:space="0" w:color="auto"/>
              <w:right w:val="single" w:sz="4" w:space="0" w:color="auto"/>
            </w:tcBorders>
            <w:vAlign w:val="center"/>
          </w:tcPr>
          <w:p w:rsidR="00000000" w:rsidRDefault="00CC22BE">
            <w:pPr>
              <w:autoSpaceDE w:val="0"/>
              <w:autoSpaceDN w:val="0"/>
              <w:adjustRightInd w:val="0"/>
              <w:ind w:firstLine="480"/>
              <w:jc w:val="center"/>
              <w:rPr>
                <w:bCs/>
                <w:color w:val="000000"/>
              </w:rPr>
            </w:pPr>
            <w:r>
              <w:rPr>
                <w:bCs/>
                <w:color w:val="000000"/>
              </w:rPr>
              <w:t>N</w:t>
            </w:r>
            <w:r>
              <w:rPr>
                <w:rFonts w:hint="eastAsia"/>
                <w:bCs/>
                <w:color w:val="000000"/>
              </w:rPr>
              <w:t>＜</w:t>
            </w:r>
            <w:r>
              <w:rPr>
                <w:bCs/>
                <w:color w:val="000000"/>
              </w:rPr>
              <w:t>180</w:t>
            </w:r>
            <w:r>
              <w:rPr>
                <w:rFonts w:hint="eastAsia"/>
                <w:bCs/>
                <w:color w:val="000000"/>
              </w:rPr>
              <w:t>日</w:t>
            </w:r>
          </w:p>
        </w:tc>
        <w:tc>
          <w:tcPr>
            <w:tcW w:w="4011" w:type="dxa"/>
            <w:tcBorders>
              <w:top w:val="single" w:sz="4" w:space="0" w:color="auto"/>
              <w:left w:val="single" w:sz="4" w:space="0" w:color="auto"/>
              <w:bottom w:val="single" w:sz="4" w:space="0" w:color="auto"/>
              <w:right w:val="single" w:sz="4" w:space="0" w:color="auto"/>
            </w:tcBorders>
            <w:vAlign w:val="center"/>
          </w:tcPr>
          <w:p w:rsidR="00000000" w:rsidRDefault="00CC22BE">
            <w:pPr>
              <w:autoSpaceDE w:val="0"/>
              <w:autoSpaceDN w:val="0"/>
              <w:adjustRightInd w:val="0"/>
              <w:ind w:firstLineChars="0" w:firstLine="360"/>
              <w:jc w:val="center"/>
              <w:rPr>
                <w:bCs/>
                <w:color w:val="000000"/>
              </w:rPr>
            </w:pPr>
            <w:r>
              <w:rPr>
                <w:bCs/>
                <w:color w:val="000000"/>
              </w:rPr>
              <w:t>2.00%</w:t>
            </w:r>
          </w:p>
        </w:tc>
      </w:tr>
      <w:tr w:rsidR="00000000">
        <w:trPr>
          <w:trHeight w:val="227"/>
          <w:jc w:val="center"/>
        </w:trPr>
        <w:tc>
          <w:tcPr>
            <w:tcW w:w="4248" w:type="dxa"/>
            <w:tcBorders>
              <w:top w:val="single" w:sz="4" w:space="0" w:color="auto"/>
              <w:left w:val="single" w:sz="4" w:space="0" w:color="auto"/>
              <w:bottom w:val="single" w:sz="4" w:space="0" w:color="auto"/>
              <w:right w:val="single" w:sz="4" w:space="0" w:color="auto"/>
            </w:tcBorders>
            <w:vAlign w:val="center"/>
          </w:tcPr>
          <w:p w:rsidR="00000000" w:rsidRDefault="00CC22BE">
            <w:pPr>
              <w:autoSpaceDE w:val="0"/>
              <w:autoSpaceDN w:val="0"/>
              <w:adjustRightInd w:val="0"/>
              <w:ind w:firstLine="480"/>
              <w:jc w:val="center"/>
              <w:rPr>
                <w:bCs/>
                <w:color w:val="000000"/>
              </w:rPr>
            </w:pPr>
            <w:r>
              <w:rPr>
                <w:bCs/>
                <w:color w:val="000000"/>
              </w:rPr>
              <w:t>180</w:t>
            </w:r>
            <w:r>
              <w:rPr>
                <w:rFonts w:hint="eastAsia"/>
                <w:bCs/>
                <w:color w:val="000000"/>
              </w:rPr>
              <w:t>日≤</w:t>
            </w:r>
            <w:r>
              <w:rPr>
                <w:bCs/>
                <w:color w:val="000000"/>
              </w:rPr>
              <w:t>N</w:t>
            </w:r>
            <w:r>
              <w:rPr>
                <w:rFonts w:hint="eastAsia"/>
                <w:bCs/>
                <w:color w:val="000000"/>
              </w:rPr>
              <w:t>＜</w:t>
            </w:r>
            <w:r>
              <w:rPr>
                <w:bCs/>
                <w:color w:val="000000"/>
              </w:rPr>
              <w:t>540</w:t>
            </w:r>
            <w:r>
              <w:rPr>
                <w:rFonts w:hint="eastAsia"/>
                <w:bCs/>
                <w:color w:val="000000"/>
              </w:rPr>
              <w:t>日</w:t>
            </w:r>
          </w:p>
        </w:tc>
        <w:tc>
          <w:tcPr>
            <w:tcW w:w="4011" w:type="dxa"/>
            <w:tcBorders>
              <w:top w:val="single" w:sz="4" w:space="0" w:color="auto"/>
              <w:left w:val="single" w:sz="4" w:space="0" w:color="auto"/>
              <w:bottom w:val="single" w:sz="4" w:space="0" w:color="auto"/>
              <w:right w:val="single" w:sz="4" w:space="0" w:color="auto"/>
            </w:tcBorders>
            <w:vAlign w:val="center"/>
          </w:tcPr>
          <w:p w:rsidR="00000000" w:rsidRDefault="00CC22BE">
            <w:pPr>
              <w:autoSpaceDE w:val="0"/>
              <w:autoSpaceDN w:val="0"/>
              <w:adjustRightInd w:val="0"/>
              <w:ind w:firstLineChars="0" w:firstLine="360"/>
              <w:jc w:val="center"/>
              <w:rPr>
                <w:bCs/>
                <w:color w:val="000000"/>
              </w:rPr>
            </w:pPr>
            <w:r>
              <w:rPr>
                <w:bCs/>
                <w:color w:val="000000"/>
              </w:rPr>
              <w:t>0.50%</w:t>
            </w:r>
          </w:p>
        </w:tc>
      </w:tr>
      <w:tr w:rsidR="00000000">
        <w:trPr>
          <w:trHeight w:val="227"/>
          <w:jc w:val="center"/>
        </w:trPr>
        <w:tc>
          <w:tcPr>
            <w:tcW w:w="4248" w:type="dxa"/>
            <w:tcBorders>
              <w:top w:val="single" w:sz="4" w:space="0" w:color="auto"/>
              <w:left w:val="single" w:sz="4" w:space="0" w:color="auto"/>
              <w:bottom w:val="single" w:sz="4" w:space="0" w:color="auto"/>
              <w:right w:val="single" w:sz="4" w:space="0" w:color="auto"/>
            </w:tcBorders>
            <w:vAlign w:val="center"/>
          </w:tcPr>
          <w:p w:rsidR="00000000" w:rsidRDefault="00CC22BE">
            <w:pPr>
              <w:autoSpaceDE w:val="0"/>
              <w:autoSpaceDN w:val="0"/>
              <w:adjustRightInd w:val="0"/>
              <w:ind w:firstLine="480"/>
              <w:jc w:val="center"/>
              <w:rPr>
                <w:bCs/>
                <w:color w:val="000000"/>
              </w:rPr>
            </w:pPr>
            <w:r>
              <w:rPr>
                <w:bCs/>
                <w:color w:val="000000"/>
              </w:rPr>
              <w:t>540</w:t>
            </w:r>
            <w:r>
              <w:rPr>
                <w:rFonts w:hint="eastAsia"/>
                <w:bCs/>
                <w:color w:val="000000"/>
              </w:rPr>
              <w:t>日≤</w:t>
            </w:r>
            <w:r>
              <w:rPr>
                <w:bCs/>
                <w:color w:val="000000"/>
              </w:rPr>
              <w:t>N</w:t>
            </w:r>
            <w:r>
              <w:rPr>
                <w:rFonts w:hint="eastAsia"/>
                <w:bCs/>
                <w:color w:val="000000"/>
              </w:rPr>
              <w:t>＜</w:t>
            </w:r>
            <w:r>
              <w:rPr>
                <w:bCs/>
                <w:color w:val="000000"/>
              </w:rPr>
              <w:t>900</w:t>
            </w:r>
            <w:r>
              <w:rPr>
                <w:rFonts w:hint="eastAsia"/>
                <w:bCs/>
                <w:color w:val="000000"/>
              </w:rPr>
              <w:t>日</w:t>
            </w:r>
          </w:p>
        </w:tc>
        <w:tc>
          <w:tcPr>
            <w:tcW w:w="4011" w:type="dxa"/>
            <w:tcBorders>
              <w:top w:val="single" w:sz="4" w:space="0" w:color="auto"/>
              <w:left w:val="single" w:sz="4" w:space="0" w:color="auto"/>
              <w:bottom w:val="single" w:sz="4" w:space="0" w:color="auto"/>
              <w:right w:val="single" w:sz="4" w:space="0" w:color="auto"/>
            </w:tcBorders>
            <w:vAlign w:val="center"/>
          </w:tcPr>
          <w:p w:rsidR="00000000" w:rsidRDefault="00CC22BE">
            <w:pPr>
              <w:autoSpaceDE w:val="0"/>
              <w:autoSpaceDN w:val="0"/>
              <w:adjustRightInd w:val="0"/>
              <w:ind w:firstLineChars="0" w:firstLine="360"/>
              <w:jc w:val="center"/>
              <w:rPr>
                <w:bCs/>
                <w:color w:val="000000"/>
              </w:rPr>
            </w:pPr>
            <w:r>
              <w:rPr>
                <w:bCs/>
                <w:color w:val="000000"/>
              </w:rPr>
              <w:t>0.25%</w:t>
            </w:r>
          </w:p>
        </w:tc>
      </w:tr>
      <w:tr w:rsidR="00000000">
        <w:trPr>
          <w:trHeight w:val="70"/>
          <w:jc w:val="center"/>
        </w:trPr>
        <w:tc>
          <w:tcPr>
            <w:tcW w:w="4248" w:type="dxa"/>
            <w:tcBorders>
              <w:top w:val="single" w:sz="4" w:space="0" w:color="auto"/>
              <w:left w:val="single" w:sz="4" w:space="0" w:color="auto"/>
              <w:bottom w:val="single" w:sz="4" w:space="0" w:color="auto"/>
              <w:right w:val="single" w:sz="4" w:space="0" w:color="auto"/>
            </w:tcBorders>
            <w:vAlign w:val="center"/>
          </w:tcPr>
          <w:p w:rsidR="00000000" w:rsidRDefault="00CC22BE">
            <w:pPr>
              <w:autoSpaceDE w:val="0"/>
              <w:autoSpaceDN w:val="0"/>
              <w:adjustRightInd w:val="0"/>
              <w:ind w:firstLine="480"/>
              <w:jc w:val="center"/>
              <w:rPr>
                <w:bCs/>
                <w:color w:val="000000"/>
              </w:rPr>
            </w:pPr>
            <w:r>
              <w:rPr>
                <w:bCs/>
                <w:color w:val="000000"/>
              </w:rPr>
              <w:t>N</w:t>
            </w:r>
            <w:r>
              <w:rPr>
                <w:rFonts w:hint="eastAsia"/>
                <w:bCs/>
                <w:color w:val="000000"/>
              </w:rPr>
              <w:t>≥</w:t>
            </w:r>
            <w:r>
              <w:rPr>
                <w:rFonts w:hint="eastAsia"/>
                <w:bCs/>
                <w:color w:val="000000"/>
              </w:rPr>
              <w:t>9</w:t>
            </w:r>
            <w:r>
              <w:rPr>
                <w:bCs/>
                <w:color w:val="000000"/>
              </w:rPr>
              <w:t>00</w:t>
            </w:r>
            <w:r>
              <w:rPr>
                <w:rFonts w:hint="eastAsia"/>
                <w:bCs/>
                <w:color w:val="000000"/>
              </w:rPr>
              <w:t>日</w:t>
            </w:r>
          </w:p>
        </w:tc>
        <w:tc>
          <w:tcPr>
            <w:tcW w:w="4011" w:type="dxa"/>
            <w:tcBorders>
              <w:top w:val="single" w:sz="4" w:space="0" w:color="auto"/>
              <w:left w:val="single" w:sz="4" w:space="0" w:color="auto"/>
              <w:bottom w:val="single" w:sz="4" w:space="0" w:color="auto"/>
              <w:right w:val="single" w:sz="4" w:space="0" w:color="auto"/>
            </w:tcBorders>
            <w:vAlign w:val="center"/>
          </w:tcPr>
          <w:p w:rsidR="00000000" w:rsidRDefault="00CC22BE">
            <w:pPr>
              <w:autoSpaceDE w:val="0"/>
              <w:autoSpaceDN w:val="0"/>
              <w:adjustRightInd w:val="0"/>
              <w:ind w:firstLineChars="0" w:firstLine="360"/>
              <w:jc w:val="center"/>
              <w:rPr>
                <w:bCs/>
                <w:color w:val="000000"/>
              </w:rPr>
            </w:pPr>
            <w:r>
              <w:rPr>
                <w:bCs/>
                <w:color w:val="000000"/>
              </w:rPr>
              <w:t>0</w:t>
            </w:r>
          </w:p>
        </w:tc>
      </w:tr>
    </w:tbl>
    <w:p w:rsidR="00000000" w:rsidRDefault="00CC22BE">
      <w:pPr>
        <w:ind w:firstLine="480"/>
        <w:rPr>
          <w:bCs/>
          <w:szCs w:val="20"/>
        </w:rPr>
      </w:pPr>
      <w:r>
        <w:rPr>
          <w:rFonts w:hint="eastAsia"/>
          <w:bCs/>
          <w:szCs w:val="20"/>
        </w:rPr>
        <w:t>本基金</w:t>
      </w:r>
      <w:r>
        <w:rPr>
          <w:rFonts w:hint="eastAsia"/>
          <w:bCs/>
          <w:szCs w:val="20"/>
        </w:rPr>
        <w:t>C</w:t>
      </w:r>
      <w:r>
        <w:rPr>
          <w:rFonts w:hint="eastAsia"/>
          <w:bCs/>
          <w:szCs w:val="20"/>
        </w:rPr>
        <w:t>类基金份额的赎回费率见下表：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48"/>
        <w:gridCol w:w="4011"/>
      </w:tblGrid>
      <w:tr w:rsidR="00000000">
        <w:trPr>
          <w:trHeight w:val="199"/>
          <w:jc w:val="center"/>
        </w:trPr>
        <w:tc>
          <w:tcPr>
            <w:tcW w:w="4248" w:type="dxa"/>
            <w:tcBorders>
              <w:top w:val="single" w:sz="4" w:space="0" w:color="auto"/>
              <w:left w:val="single" w:sz="4" w:space="0" w:color="auto"/>
              <w:bottom w:val="single" w:sz="4" w:space="0" w:color="auto"/>
              <w:right w:val="single" w:sz="4" w:space="0" w:color="auto"/>
            </w:tcBorders>
            <w:vAlign w:val="center"/>
          </w:tcPr>
          <w:p w:rsidR="00000000" w:rsidRDefault="00CC22BE">
            <w:pPr>
              <w:autoSpaceDE w:val="0"/>
              <w:autoSpaceDN w:val="0"/>
              <w:adjustRightInd w:val="0"/>
              <w:ind w:firstLine="480"/>
              <w:jc w:val="center"/>
              <w:rPr>
                <w:bCs/>
                <w:color w:val="000000"/>
              </w:rPr>
            </w:pPr>
            <w:r>
              <w:rPr>
                <w:rFonts w:hint="eastAsia"/>
                <w:bCs/>
                <w:color w:val="000000"/>
              </w:rPr>
              <w:t>持有天数（</w:t>
            </w:r>
            <w:r>
              <w:rPr>
                <w:bCs/>
                <w:color w:val="000000"/>
              </w:rPr>
              <w:t>N</w:t>
            </w:r>
            <w:r>
              <w:rPr>
                <w:rFonts w:hint="eastAsia"/>
                <w:bCs/>
                <w:color w:val="000000"/>
              </w:rPr>
              <w:t>）</w:t>
            </w:r>
          </w:p>
        </w:tc>
        <w:tc>
          <w:tcPr>
            <w:tcW w:w="4011" w:type="dxa"/>
            <w:tcBorders>
              <w:top w:val="single" w:sz="4" w:space="0" w:color="auto"/>
              <w:left w:val="single" w:sz="4" w:space="0" w:color="auto"/>
              <w:bottom w:val="single" w:sz="4" w:space="0" w:color="auto"/>
              <w:right w:val="single" w:sz="4" w:space="0" w:color="auto"/>
            </w:tcBorders>
            <w:vAlign w:val="center"/>
          </w:tcPr>
          <w:p w:rsidR="00000000" w:rsidRDefault="00CC22BE">
            <w:pPr>
              <w:autoSpaceDE w:val="0"/>
              <w:autoSpaceDN w:val="0"/>
              <w:adjustRightInd w:val="0"/>
              <w:ind w:firstLineChars="0" w:firstLine="360"/>
              <w:jc w:val="center"/>
              <w:rPr>
                <w:bCs/>
                <w:color w:val="000000"/>
              </w:rPr>
            </w:pPr>
            <w:r>
              <w:rPr>
                <w:rFonts w:hint="eastAsia"/>
                <w:bCs/>
                <w:color w:val="000000"/>
              </w:rPr>
              <w:t>赎回费率</w:t>
            </w:r>
          </w:p>
        </w:tc>
      </w:tr>
      <w:tr w:rsidR="00000000">
        <w:trPr>
          <w:trHeight w:val="135"/>
          <w:jc w:val="center"/>
        </w:trPr>
        <w:tc>
          <w:tcPr>
            <w:tcW w:w="4248" w:type="dxa"/>
            <w:tcBorders>
              <w:top w:val="single" w:sz="4" w:space="0" w:color="auto"/>
              <w:left w:val="single" w:sz="4" w:space="0" w:color="auto"/>
              <w:bottom w:val="single" w:sz="4" w:space="0" w:color="auto"/>
              <w:right w:val="single" w:sz="4" w:space="0" w:color="auto"/>
            </w:tcBorders>
            <w:vAlign w:val="center"/>
          </w:tcPr>
          <w:p w:rsidR="00000000" w:rsidRDefault="00CC22BE">
            <w:pPr>
              <w:autoSpaceDE w:val="0"/>
              <w:autoSpaceDN w:val="0"/>
              <w:adjustRightInd w:val="0"/>
              <w:ind w:firstLine="480"/>
              <w:jc w:val="center"/>
              <w:rPr>
                <w:bCs/>
                <w:color w:val="000000"/>
              </w:rPr>
            </w:pPr>
            <w:r>
              <w:rPr>
                <w:bCs/>
                <w:color w:val="000000"/>
              </w:rPr>
              <w:t>N</w:t>
            </w:r>
            <w:r>
              <w:rPr>
                <w:rFonts w:hint="eastAsia"/>
                <w:bCs/>
                <w:color w:val="000000"/>
              </w:rPr>
              <w:t>＜</w:t>
            </w:r>
            <w:r>
              <w:rPr>
                <w:bCs/>
                <w:color w:val="000000"/>
              </w:rPr>
              <w:t>7</w:t>
            </w:r>
            <w:r>
              <w:rPr>
                <w:rFonts w:hint="eastAsia"/>
                <w:bCs/>
                <w:color w:val="000000"/>
              </w:rPr>
              <w:t>日</w:t>
            </w:r>
          </w:p>
        </w:tc>
        <w:tc>
          <w:tcPr>
            <w:tcW w:w="4011" w:type="dxa"/>
            <w:tcBorders>
              <w:top w:val="single" w:sz="4" w:space="0" w:color="auto"/>
              <w:left w:val="single" w:sz="4" w:space="0" w:color="auto"/>
              <w:bottom w:val="single" w:sz="4" w:space="0" w:color="auto"/>
              <w:right w:val="single" w:sz="4" w:space="0" w:color="auto"/>
            </w:tcBorders>
            <w:vAlign w:val="center"/>
          </w:tcPr>
          <w:p w:rsidR="00000000" w:rsidRDefault="00CC22BE">
            <w:pPr>
              <w:autoSpaceDE w:val="0"/>
              <w:autoSpaceDN w:val="0"/>
              <w:adjustRightInd w:val="0"/>
              <w:ind w:firstLineChars="0" w:firstLine="360"/>
              <w:jc w:val="center"/>
              <w:rPr>
                <w:bCs/>
                <w:color w:val="000000"/>
              </w:rPr>
            </w:pPr>
            <w:r>
              <w:rPr>
                <w:bCs/>
                <w:color w:val="000000"/>
              </w:rPr>
              <w:t>1.50%</w:t>
            </w:r>
          </w:p>
        </w:tc>
      </w:tr>
      <w:tr w:rsidR="00000000">
        <w:trPr>
          <w:trHeight w:val="227"/>
          <w:jc w:val="center"/>
        </w:trPr>
        <w:tc>
          <w:tcPr>
            <w:tcW w:w="4248" w:type="dxa"/>
            <w:tcBorders>
              <w:top w:val="single" w:sz="4" w:space="0" w:color="auto"/>
              <w:left w:val="single" w:sz="4" w:space="0" w:color="auto"/>
              <w:bottom w:val="single" w:sz="4" w:space="0" w:color="auto"/>
              <w:right w:val="single" w:sz="4" w:space="0" w:color="auto"/>
            </w:tcBorders>
            <w:vAlign w:val="center"/>
          </w:tcPr>
          <w:p w:rsidR="00000000" w:rsidRDefault="00CC22BE">
            <w:pPr>
              <w:autoSpaceDE w:val="0"/>
              <w:autoSpaceDN w:val="0"/>
              <w:adjustRightInd w:val="0"/>
              <w:ind w:firstLine="480"/>
              <w:jc w:val="center"/>
              <w:rPr>
                <w:bCs/>
                <w:color w:val="000000"/>
              </w:rPr>
            </w:pPr>
            <w:r>
              <w:rPr>
                <w:bCs/>
                <w:color w:val="000000"/>
              </w:rPr>
              <w:t>7</w:t>
            </w:r>
            <w:r>
              <w:rPr>
                <w:rFonts w:hint="eastAsia"/>
                <w:bCs/>
                <w:color w:val="000000"/>
              </w:rPr>
              <w:t>日≤</w:t>
            </w:r>
            <w:r>
              <w:rPr>
                <w:bCs/>
                <w:color w:val="000000"/>
              </w:rPr>
              <w:t>N</w:t>
            </w:r>
            <w:r>
              <w:rPr>
                <w:rFonts w:hint="eastAsia"/>
                <w:bCs/>
                <w:color w:val="000000"/>
              </w:rPr>
              <w:t>＜</w:t>
            </w:r>
            <w:r>
              <w:rPr>
                <w:bCs/>
                <w:color w:val="000000"/>
              </w:rPr>
              <w:t>18</w:t>
            </w:r>
            <w:r>
              <w:rPr>
                <w:bCs/>
                <w:color w:val="000000"/>
              </w:rPr>
              <w:t>0</w:t>
            </w:r>
            <w:r>
              <w:rPr>
                <w:rFonts w:hint="eastAsia"/>
                <w:bCs/>
                <w:color w:val="000000"/>
              </w:rPr>
              <w:t>日</w:t>
            </w:r>
          </w:p>
        </w:tc>
        <w:tc>
          <w:tcPr>
            <w:tcW w:w="4011" w:type="dxa"/>
            <w:tcBorders>
              <w:top w:val="single" w:sz="4" w:space="0" w:color="auto"/>
              <w:left w:val="single" w:sz="4" w:space="0" w:color="auto"/>
              <w:bottom w:val="single" w:sz="4" w:space="0" w:color="auto"/>
              <w:right w:val="single" w:sz="4" w:space="0" w:color="auto"/>
            </w:tcBorders>
            <w:vAlign w:val="center"/>
          </w:tcPr>
          <w:p w:rsidR="00000000" w:rsidRDefault="00CC22BE">
            <w:pPr>
              <w:autoSpaceDE w:val="0"/>
              <w:autoSpaceDN w:val="0"/>
              <w:adjustRightInd w:val="0"/>
              <w:ind w:firstLineChars="0" w:firstLine="360"/>
              <w:jc w:val="center"/>
              <w:rPr>
                <w:bCs/>
                <w:color w:val="000000"/>
              </w:rPr>
            </w:pPr>
            <w:r>
              <w:rPr>
                <w:bCs/>
                <w:color w:val="000000"/>
              </w:rPr>
              <w:t>0.50%</w:t>
            </w:r>
          </w:p>
        </w:tc>
      </w:tr>
      <w:tr w:rsidR="00000000">
        <w:trPr>
          <w:trHeight w:val="70"/>
          <w:jc w:val="center"/>
        </w:trPr>
        <w:tc>
          <w:tcPr>
            <w:tcW w:w="4248" w:type="dxa"/>
            <w:tcBorders>
              <w:top w:val="single" w:sz="4" w:space="0" w:color="auto"/>
              <w:left w:val="single" w:sz="4" w:space="0" w:color="auto"/>
              <w:bottom w:val="single" w:sz="4" w:space="0" w:color="auto"/>
              <w:right w:val="single" w:sz="4" w:space="0" w:color="auto"/>
            </w:tcBorders>
            <w:vAlign w:val="center"/>
          </w:tcPr>
          <w:p w:rsidR="00000000" w:rsidRDefault="00CC22BE">
            <w:pPr>
              <w:autoSpaceDE w:val="0"/>
              <w:autoSpaceDN w:val="0"/>
              <w:adjustRightInd w:val="0"/>
              <w:ind w:firstLine="480"/>
              <w:jc w:val="center"/>
              <w:rPr>
                <w:bCs/>
                <w:color w:val="000000"/>
              </w:rPr>
            </w:pPr>
            <w:r>
              <w:rPr>
                <w:bCs/>
                <w:color w:val="000000"/>
              </w:rPr>
              <w:t>N</w:t>
            </w:r>
            <w:r>
              <w:rPr>
                <w:rFonts w:hint="eastAsia"/>
                <w:bCs/>
                <w:color w:val="000000"/>
              </w:rPr>
              <w:t>≥</w:t>
            </w:r>
            <w:r>
              <w:rPr>
                <w:bCs/>
                <w:color w:val="000000"/>
              </w:rPr>
              <w:t>180</w:t>
            </w:r>
            <w:r>
              <w:rPr>
                <w:rFonts w:hint="eastAsia"/>
                <w:bCs/>
                <w:color w:val="000000"/>
              </w:rPr>
              <w:t>日</w:t>
            </w:r>
          </w:p>
        </w:tc>
        <w:tc>
          <w:tcPr>
            <w:tcW w:w="4011" w:type="dxa"/>
            <w:tcBorders>
              <w:top w:val="single" w:sz="4" w:space="0" w:color="auto"/>
              <w:left w:val="single" w:sz="4" w:space="0" w:color="auto"/>
              <w:bottom w:val="single" w:sz="4" w:space="0" w:color="auto"/>
              <w:right w:val="single" w:sz="4" w:space="0" w:color="auto"/>
            </w:tcBorders>
            <w:vAlign w:val="center"/>
          </w:tcPr>
          <w:p w:rsidR="00000000" w:rsidRDefault="00CC22BE">
            <w:pPr>
              <w:autoSpaceDE w:val="0"/>
              <w:autoSpaceDN w:val="0"/>
              <w:adjustRightInd w:val="0"/>
              <w:ind w:firstLineChars="0" w:firstLine="360"/>
              <w:jc w:val="center"/>
              <w:rPr>
                <w:bCs/>
                <w:color w:val="000000"/>
              </w:rPr>
            </w:pPr>
            <w:r>
              <w:rPr>
                <w:bCs/>
                <w:color w:val="000000"/>
              </w:rPr>
              <w:t>0</w:t>
            </w:r>
          </w:p>
        </w:tc>
      </w:tr>
    </w:tbl>
    <w:p w:rsidR="00000000" w:rsidRDefault="00CC22BE">
      <w:pPr>
        <w:pStyle w:val="ad"/>
        <w:ind w:firstLine="480"/>
      </w:pPr>
      <w:r>
        <w:rPr>
          <w:rFonts w:hint="eastAsia"/>
        </w:rPr>
        <w:t>（注：赎回份额持有时间的计算，以该份额自登记机构确认之日开始计算。）</w:t>
      </w:r>
    </w:p>
    <w:p w:rsidR="00000000" w:rsidRDefault="00CC22BE">
      <w:pPr>
        <w:pStyle w:val="ad"/>
        <w:ind w:firstLine="480"/>
      </w:pPr>
      <w:r>
        <w:rPr>
          <w:rFonts w:hint="eastAsia"/>
        </w:rPr>
        <w:t>（</w:t>
      </w:r>
      <w:r>
        <w:t>2</w:t>
      </w:r>
      <w:r>
        <w:rPr>
          <w:rFonts w:hint="eastAsia"/>
        </w:rPr>
        <w:t>）投资者可将其持有的全部或部分基金份额赎回。本基金</w:t>
      </w:r>
      <w:r>
        <w:rPr>
          <w:rFonts w:hint="eastAsia"/>
        </w:rPr>
        <w:t>A</w:t>
      </w:r>
      <w:r>
        <w:rPr>
          <w:rFonts w:hint="eastAsia"/>
        </w:rPr>
        <w:t>类和</w:t>
      </w:r>
      <w:r>
        <w:rPr>
          <w:rFonts w:hint="eastAsia"/>
        </w:rPr>
        <w:t>C</w:t>
      </w:r>
      <w:r>
        <w:rPr>
          <w:rFonts w:hint="eastAsia"/>
        </w:rPr>
        <w:t>类基金份额的赎回费用在投资者赎回该类基金份额时收取，</w:t>
      </w:r>
      <w:r>
        <w:rPr>
          <w:rFonts w:hint="eastAsia"/>
        </w:rPr>
        <w:t>A</w:t>
      </w:r>
      <w:r>
        <w:rPr>
          <w:rFonts w:hint="eastAsia"/>
        </w:rPr>
        <w:t>类基金份额的赎回费将全额计入基金财产；对持续持有</w:t>
      </w:r>
      <w:r>
        <w:rPr>
          <w:rFonts w:hint="eastAsia"/>
        </w:rPr>
        <w:t>C</w:t>
      </w:r>
      <w:r>
        <w:rPr>
          <w:rFonts w:hint="eastAsia"/>
        </w:rPr>
        <w:t>类基金份额少于</w:t>
      </w:r>
      <w:r>
        <w:rPr>
          <w:rFonts w:hint="eastAsia"/>
        </w:rPr>
        <w:t>30</w:t>
      </w:r>
      <w:r>
        <w:rPr>
          <w:rFonts w:hint="eastAsia"/>
        </w:rPr>
        <w:t>日的投资者收取的赎回费，将全额计入基金财产；对持有</w:t>
      </w:r>
      <w:r>
        <w:rPr>
          <w:rFonts w:hint="eastAsia"/>
        </w:rPr>
        <w:t>C</w:t>
      </w:r>
      <w:r>
        <w:rPr>
          <w:rFonts w:hint="eastAsia"/>
        </w:rPr>
        <w:t>类基金份额</w:t>
      </w:r>
      <w:r>
        <w:rPr>
          <w:rFonts w:hint="eastAsia"/>
        </w:rPr>
        <w:t>30</w:t>
      </w:r>
      <w:r>
        <w:rPr>
          <w:rFonts w:hint="eastAsia"/>
        </w:rPr>
        <w:t>日以上的投资者收取的赎回费不计入基金财产。</w:t>
      </w:r>
    </w:p>
    <w:p w:rsidR="00000000" w:rsidRDefault="00CC22BE">
      <w:pPr>
        <w:pStyle w:val="2"/>
        <w:rPr>
          <w:szCs w:val="21"/>
        </w:rPr>
      </w:pPr>
      <w:r>
        <w:t>基金销售机构</w:t>
      </w:r>
    </w:p>
    <w:p w:rsidR="00000000" w:rsidRDefault="00CC22BE">
      <w:pPr>
        <w:pStyle w:val="3"/>
        <w:rPr>
          <w:szCs w:val="21"/>
        </w:rPr>
      </w:pPr>
      <w:r>
        <w:t>5.1 </w:t>
      </w:r>
      <w:r>
        <w:t>直销机构</w:t>
      </w:r>
    </w:p>
    <w:p w:rsidR="00000000" w:rsidRDefault="00CC22BE">
      <w:pPr>
        <w:ind w:firstLine="480"/>
        <w:rPr>
          <w:rFonts w:ascii="宋体" w:hAnsi="宋体" w:hint="eastAsia"/>
        </w:rPr>
      </w:pPr>
      <w:r>
        <w:rPr>
          <w:rFonts w:ascii="宋体" w:hAnsi="宋体" w:hint="eastAsia"/>
        </w:rPr>
        <w:t>直销机构：富国基金管理有限公司</w:t>
      </w:r>
    </w:p>
    <w:p w:rsidR="00000000" w:rsidRDefault="00CC22BE">
      <w:pPr>
        <w:ind w:firstLine="480"/>
        <w:rPr>
          <w:rFonts w:ascii="宋体" w:hAnsi="宋体" w:hint="eastAsia"/>
        </w:rPr>
      </w:pPr>
      <w:r>
        <w:rPr>
          <w:rFonts w:ascii="宋体" w:hAnsi="宋体" w:hint="eastAsia"/>
        </w:rPr>
        <w:t>住所：中国（上海）自由贸易试验区世纪大道</w:t>
      </w:r>
      <w:r>
        <w:rPr>
          <w:rFonts w:ascii="宋体" w:hAnsi="宋体" w:hint="eastAsia"/>
        </w:rPr>
        <w:t>11</w:t>
      </w:r>
      <w:r>
        <w:rPr>
          <w:rFonts w:ascii="宋体" w:hAnsi="宋体" w:hint="eastAsia"/>
        </w:rPr>
        <w:t>96</w:t>
      </w:r>
      <w:r>
        <w:rPr>
          <w:rFonts w:ascii="宋体" w:hAnsi="宋体" w:hint="eastAsia"/>
        </w:rPr>
        <w:t>号世纪汇办公楼二座</w:t>
      </w:r>
      <w:r>
        <w:rPr>
          <w:rFonts w:ascii="宋体" w:hAnsi="宋体" w:hint="eastAsia"/>
        </w:rPr>
        <w:t>27-30</w:t>
      </w:r>
      <w:r>
        <w:rPr>
          <w:rFonts w:ascii="宋体" w:hAnsi="宋体" w:hint="eastAsia"/>
        </w:rPr>
        <w:t>层</w:t>
      </w:r>
    </w:p>
    <w:p w:rsidR="00000000" w:rsidRDefault="00CC22BE">
      <w:pPr>
        <w:ind w:firstLine="480"/>
        <w:rPr>
          <w:rFonts w:ascii="宋体" w:hAnsi="宋体" w:hint="eastAsia"/>
        </w:rPr>
      </w:pPr>
      <w:r>
        <w:rPr>
          <w:rFonts w:ascii="宋体" w:hAnsi="宋体" w:hint="eastAsia"/>
        </w:rPr>
        <w:t>办公地址：上海市浦东新区世纪大道</w:t>
      </w:r>
      <w:r>
        <w:rPr>
          <w:rFonts w:ascii="宋体" w:hAnsi="宋体" w:hint="eastAsia"/>
        </w:rPr>
        <w:t>1196</w:t>
      </w:r>
      <w:r>
        <w:rPr>
          <w:rFonts w:ascii="宋体" w:hAnsi="宋体" w:hint="eastAsia"/>
        </w:rPr>
        <w:t>号世纪汇办公楼二座</w:t>
      </w:r>
      <w:r>
        <w:rPr>
          <w:rFonts w:ascii="宋体" w:hAnsi="宋体" w:hint="eastAsia"/>
        </w:rPr>
        <w:t>27-30</w:t>
      </w:r>
      <w:r>
        <w:rPr>
          <w:rFonts w:ascii="宋体" w:hAnsi="宋体" w:hint="eastAsia"/>
        </w:rPr>
        <w:t>层</w:t>
      </w:r>
    </w:p>
    <w:p w:rsidR="00000000" w:rsidRDefault="00CC22BE">
      <w:pPr>
        <w:ind w:firstLine="480"/>
        <w:rPr>
          <w:rFonts w:ascii="宋体" w:hAnsi="宋体" w:hint="eastAsia"/>
        </w:rPr>
      </w:pPr>
      <w:r>
        <w:rPr>
          <w:rFonts w:ascii="宋体" w:hAnsi="宋体" w:hint="eastAsia"/>
        </w:rPr>
        <w:t>法定代表人：裴长江</w:t>
      </w:r>
    </w:p>
    <w:p w:rsidR="00000000" w:rsidRDefault="00CC22BE">
      <w:pPr>
        <w:ind w:firstLine="480"/>
        <w:rPr>
          <w:rFonts w:ascii="宋体" w:hAnsi="宋体" w:hint="eastAsia"/>
        </w:rPr>
      </w:pPr>
      <w:r>
        <w:rPr>
          <w:rFonts w:ascii="宋体" w:hAnsi="宋体" w:hint="eastAsia"/>
        </w:rPr>
        <w:t>直销网点：直销中心</w:t>
      </w:r>
    </w:p>
    <w:p w:rsidR="00000000" w:rsidRDefault="00CC22BE">
      <w:pPr>
        <w:ind w:firstLine="480"/>
        <w:rPr>
          <w:rFonts w:ascii="宋体" w:hAnsi="宋体" w:hint="eastAsia"/>
        </w:rPr>
      </w:pPr>
      <w:r>
        <w:rPr>
          <w:rFonts w:ascii="宋体" w:hAnsi="宋体" w:hint="eastAsia"/>
        </w:rPr>
        <w:t>直销中心地址：上海市浦东新区世纪大道</w:t>
      </w:r>
      <w:r>
        <w:rPr>
          <w:rFonts w:ascii="宋体" w:hAnsi="宋体" w:hint="eastAsia"/>
        </w:rPr>
        <w:t>1196</w:t>
      </w:r>
      <w:r>
        <w:rPr>
          <w:rFonts w:ascii="宋体" w:hAnsi="宋体" w:hint="eastAsia"/>
        </w:rPr>
        <w:t>号世纪汇办公楼二座</w:t>
      </w:r>
      <w:r>
        <w:rPr>
          <w:rFonts w:ascii="宋体" w:hAnsi="宋体" w:hint="eastAsia"/>
        </w:rPr>
        <w:t>27</w:t>
      </w:r>
      <w:r>
        <w:rPr>
          <w:rFonts w:ascii="宋体" w:hAnsi="宋体" w:hint="eastAsia"/>
        </w:rPr>
        <w:t>层</w:t>
      </w:r>
    </w:p>
    <w:p w:rsidR="00000000" w:rsidRDefault="00CC22BE">
      <w:pPr>
        <w:ind w:firstLine="480"/>
        <w:rPr>
          <w:rFonts w:ascii="宋体" w:hAnsi="宋体" w:hint="eastAsia"/>
        </w:rPr>
      </w:pPr>
      <w:r>
        <w:rPr>
          <w:rFonts w:ascii="宋体" w:hAnsi="宋体" w:hint="eastAsia"/>
        </w:rPr>
        <w:t>传真：</w:t>
      </w:r>
      <w:r>
        <w:rPr>
          <w:rFonts w:ascii="宋体" w:hAnsi="宋体" w:hint="eastAsia"/>
        </w:rPr>
        <w:t>021-20513177</w:t>
      </w:r>
    </w:p>
    <w:p w:rsidR="00000000" w:rsidRDefault="00CC22BE">
      <w:pPr>
        <w:ind w:firstLine="480"/>
        <w:rPr>
          <w:rFonts w:ascii="宋体" w:hAnsi="宋体" w:hint="eastAsia"/>
        </w:rPr>
      </w:pPr>
      <w:r>
        <w:rPr>
          <w:rFonts w:ascii="宋体" w:hAnsi="宋体" w:hint="eastAsia"/>
        </w:rPr>
        <w:t>联系人：</w:t>
      </w:r>
      <w:r>
        <w:rPr>
          <w:rFonts w:ascii="宋体" w:hAnsi="宋体"/>
        </w:rPr>
        <w:t>吕铭泽</w:t>
      </w:r>
    </w:p>
    <w:p w:rsidR="00000000" w:rsidRDefault="00CC22BE">
      <w:pPr>
        <w:ind w:firstLine="480"/>
        <w:rPr>
          <w:rFonts w:ascii="宋体" w:hAnsi="宋体" w:hint="eastAsia"/>
        </w:rPr>
      </w:pPr>
      <w:r>
        <w:rPr>
          <w:rFonts w:ascii="宋体" w:hAnsi="宋体" w:hint="eastAsia"/>
        </w:rPr>
        <w:t>客户服务统一咨询电话：</w:t>
      </w:r>
      <w:r>
        <w:rPr>
          <w:rFonts w:ascii="宋体" w:hAnsi="宋体" w:hint="eastAsia"/>
        </w:rPr>
        <w:t>95105686</w:t>
      </w:r>
      <w:r>
        <w:rPr>
          <w:rFonts w:ascii="宋体" w:hAnsi="宋体" w:hint="eastAsia"/>
        </w:rPr>
        <w:t>、</w:t>
      </w:r>
      <w:r>
        <w:rPr>
          <w:rFonts w:ascii="宋体" w:hAnsi="宋体" w:hint="eastAsia"/>
        </w:rPr>
        <w:t>4008880688</w:t>
      </w:r>
      <w:r>
        <w:rPr>
          <w:rFonts w:ascii="宋体" w:hAnsi="宋体" w:hint="eastAsia"/>
        </w:rPr>
        <w:t>（全国统一，免长途话费）</w:t>
      </w:r>
    </w:p>
    <w:p w:rsidR="00000000" w:rsidRDefault="00CC22BE">
      <w:pPr>
        <w:ind w:firstLine="480"/>
        <w:rPr>
          <w:kern w:val="0"/>
        </w:rPr>
      </w:pPr>
      <w:r>
        <w:rPr>
          <w:rFonts w:ascii="宋体" w:hAnsi="宋体" w:hint="eastAsia"/>
        </w:rPr>
        <w:t>公司网站：</w:t>
      </w:r>
      <w:r>
        <w:rPr>
          <w:rFonts w:ascii="宋体" w:hAnsi="宋体" w:hint="eastAsia"/>
        </w:rPr>
        <w:t>www.fullgoal.com.cn</w:t>
      </w:r>
    </w:p>
    <w:p w:rsidR="00000000" w:rsidRDefault="00CC22BE">
      <w:pPr>
        <w:pStyle w:val="3"/>
        <w:rPr>
          <w:szCs w:val="21"/>
        </w:rPr>
      </w:pPr>
      <w:r>
        <w:t>5.2 </w:t>
      </w:r>
      <w:r>
        <w:t>代销机构</w:t>
      </w:r>
    </w:p>
    <w:p w:rsidR="00000000" w:rsidRDefault="00CC22BE">
      <w:pPr>
        <w:pStyle w:val="ad"/>
        <w:ind w:firstLine="480"/>
        <w:rPr>
          <w:kern w:val="0"/>
        </w:rPr>
      </w:pPr>
      <w:r>
        <w:rPr>
          <w:rFonts w:hint="eastAsia"/>
          <w:kern w:val="0"/>
        </w:rPr>
        <w:t>中国工商银行股份有限公司、中国农业银行股份有限公司、中国银行股份有限公司、中国建设银行股份有</w:t>
      </w:r>
      <w:r>
        <w:rPr>
          <w:rFonts w:hint="eastAsia"/>
          <w:kern w:val="0"/>
        </w:rPr>
        <w:t>限公司、交通银行股份有限公司、招商银行股份有限公司、中信银行股份有限公司、上海浦东发展银行股份有限公司、广发银行股份有限公司、平安银行股份有限公司、宁波银行股份有限公司、青岛银行股份有限公司、江苏银行股份有限公司、苏州银行股份有限公司、上海挖财基金销售有限公司、贵州省贵文文化基金销售有限公司、腾安基金销售（深圳）有限公司、北京度小满基金销售有限公司、博时财富基金销售有限公司、诺亚正行基金销售有限公司、上海天天基金销售有限公司、上海好买基金销售有限公司、蚂蚁（杭州）基金销售有限公司、浙江同花顺基金销售有限公司</w:t>
      </w:r>
      <w:r>
        <w:rPr>
          <w:rFonts w:hint="eastAsia"/>
          <w:kern w:val="0"/>
        </w:rPr>
        <w:t>、上海利得基金销售有限公司、嘉实财富管理有限公司、南京苏宁基金销售有限公司、北京汇成基金销售有限公司、上海万得基金销售有限公司、泰信财富基金销售有限公司、上海基煜基金销售有限公司、上海陆金所基金销售有限公司、珠海盈米基金销售有限公司、京东肯特瑞基金销售有限公司、北京雪球基金销售有限公司、上海中欧财富基金销售有限公司、上海华夏财富投资管理有限公司、华源证券股份有限公司、国泰海通证券股份有限公司、中信建投证券股份有限公司、国信证券股份有限公司、中信证券股份有限公司、国泰海通证券股份有限公司（原海通证券）、申万宏</w:t>
      </w:r>
      <w:r>
        <w:rPr>
          <w:rFonts w:hint="eastAsia"/>
          <w:kern w:val="0"/>
        </w:rPr>
        <w:t>源证券有限公司、中信证券（山东）有限责任公司、光大证券股份有限公司、中信证券华南股份有限公司、南京证券股份有限公司、上海证券有限责任公司、平安证券股份有限公司、中银国际证券股份有限公司、申万宏源西部证券有限公司、东方财富证券股份有限公司、中信期货有限公司。</w:t>
      </w:r>
    </w:p>
    <w:p w:rsidR="00000000" w:rsidRDefault="00CC22BE">
      <w:pPr>
        <w:pStyle w:val="ad"/>
        <w:ind w:firstLine="480"/>
        <w:rPr>
          <w:rFonts w:hint="eastAsia"/>
          <w:kern w:val="0"/>
        </w:rPr>
      </w:pPr>
      <w:r>
        <w:rPr>
          <w:rFonts w:hint="eastAsia"/>
          <w:kern w:val="0"/>
        </w:rPr>
        <w:t>基金管理人可根据有关法律法规的要求，增加或调整本基金销售机构，并在基金管理人网站公示。</w:t>
      </w:r>
    </w:p>
    <w:p w:rsidR="00000000" w:rsidRDefault="00CC22BE">
      <w:pPr>
        <w:pStyle w:val="2"/>
        <w:rPr>
          <w:szCs w:val="21"/>
        </w:rPr>
      </w:pPr>
      <w:r>
        <w:rPr>
          <w:rFonts w:hint="eastAsia"/>
          <w:kern w:val="0"/>
        </w:rPr>
        <w:t xml:space="preserve"> </w:t>
      </w:r>
      <w:r>
        <w:t>其他份额净值公告</w:t>
      </w:r>
      <w:r>
        <w:t>/</w:t>
      </w:r>
      <w:r>
        <w:t>基金收益公告的披露安排</w:t>
      </w:r>
    </w:p>
    <w:p w:rsidR="00000000" w:rsidRDefault="00CC22BE">
      <w:pPr>
        <w:pStyle w:val="ad"/>
        <w:ind w:firstLine="480"/>
      </w:pPr>
      <w:r>
        <w:rPr>
          <w:rFonts w:hint="eastAsia"/>
          <w:szCs w:val="21"/>
        </w:rPr>
        <w:t>在开放期内，基金管理人应当在不晚于每个开放日的次日，通过规定网站、基金销售机构网站或者营业网点披露开放日的各类基金份额净值</w:t>
      </w:r>
      <w:r>
        <w:rPr>
          <w:rFonts w:hint="eastAsia"/>
          <w:szCs w:val="21"/>
        </w:rPr>
        <w:t>和基金份额累计净值。敬请投资者留意。</w:t>
      </w:r>
    </w:p>
    <w:p w:rsidR="00000000" w:rsidRDefault="00CC22BE">
      <w:pPr>
        <w:pStyle w:val="2"/>
        <w:ind w:left="0" w:firstLine="0"/>
        <w:rPr>
          <w:kern w:val="0"/>
        </w:rPr>
      </w:pPr>
      <w:r>
        <w:rPr>
          <w:rFonts w:hint="eastAsia"/>
          <w:kern w:val="0"/>
        </w:rPr>
        <w:t>日常转换业务</w:t>
      </w:r>
    </w:p>
    <w:p w:rsidR="00000000" w:rsidRDefault="00CC22BE">
      <w:pPr>
        <w:pStyle w:val="3"/>
        <w:rPr>
          <w:color w:val="000000"/>
        </w:rPr>
      </w:pPr>
      <w:r>
        <w:rPr>
          <w:color w:val="000000"/>
        </w:rPr>
        <w:t>7.1</w:t>
      </w:r>
      <w:r>
        <w:rPr>
          <w:rFonts w:hint="eastAsia"/>
          <w:color w:val="000000"/>
        </w:rPr>
        <w:t>转换费率</w:t>
      </w:r>
    </w:p>
    <w:p w:rsidR="00000000" w:rsidRDefault="00CC22BE">
      <w:pPr>
        <w:ind w:firstLine="480"/>
        <w:rPr>
          <w:color w:val="000000"/>
          <w:kern w:val="0"/>
          <w:highlight w:val="yellow"/>
        </w:rPr>
      </w:pPr>
      <w:r>
        <w:rPr>
          <w:rFonts w:hint="eastAsia"/>
          <w:color w:val="000000"/>
          <w:kern w:val="0"/>
        </w:rPr>
        <w:t>在本次到期开放期内，基金份额持有人可以通过本基金管理人的直销网点（直销柜台和网上交易系统）办理本基金的转换业务。直销机构的转换业务仅收取转出基金的赎回费用（如有），转出与转入基金申购补差费用免予收取。</w:t>
      </w:r>
    </w:p>
    <w:p w:rsidR="00000000" w:rsidRDefault="00CC22BE">
      <w:pPr>
        <w:pStyle w:val="3"/>
        <w:rPr>
          <w:color w:val="000000"/>
        </w:rPr>
      </w:pPr>
      <w:r>
        <w:rPr>
          <w:color w:val="000000"/>
        </w:rPr>
        <w:t>7.2</w:t>
      </w:r>
      <w:r>
        <w:rPr>
          <w:color w:val="000000"/>
        </w:rPr>
        <w:t>其他与转换相关的事项</w:t>
      </w:r>
    </w:p>
    <w:p w:rsidR="00000000" w:rsidRDefault="00CC22BE">
      <w:pPr>
        <w:ind w:firstLineChars="0" w:firstLine="0"/>
        <w:rPr>
          <w:b/>
          <w:bCs/>
          <w:color w:val="000000"/>
          <w:kern w:val="0"/>
        </w:rPr>
      </w:pPr>
      <w:r>
        <w:rPr>
          <w:b/>
          <w:bCs/>
          <w:color w:val="000000"/>
          <w:kern w:val="0"/>
        </w:rPr>
        <w:t>7.2.1</w:t>
      </w:r>
      <w:r>
        <w:rPr>
          <w:b/>
          <w:bCs/>
          <w:color w:val="000000"/>
          <w:kern w:val="0"/>
        </w:rPr>
        <w:t>转换业务适用范围</w:t>
      </w:r>
    </w:p>
    <w:p w:rsidR="00000000" w:rsidRDefault="00CC22BE">
      <w:pPr>
        <w:ind w:firstLine="480"/>
        <w:rPr>
          <w:color w:val="000000"/>
          <w:kern w:val="0"/>
        </w:rPr>
      </w:pPr>
      <w:r>
        <w:rPr>
          <w:rFonts w:hint="eastAsia"/>
          <w:color w:val="000000"/>
          <w:kern w:val="0"/>
        </w:rPr>
        <w:t>本基金仅开通与富国旗下部分自</w:t>
      </w:r>
      <w:r>
        <w:rPr>
          <w:color w:val="000000"/>
          <w:kern w:val="0"/>
        </w:rPr>
        <w:t>TA</w:t>
      </w:r>
      <w:r>
        <w:rPr>
          <w:rFonts w:hint="eastAsia"/>
          <w:color w:val="000000"/>
          <w:kern w:val="0"/>
        </w:rPr>
        <w:t>基金之间的基金转换业务，具体情况请详见</w:t>
      </w:r>
      <w:r>
        <w:rPr>
          <w:rFonts w:hint="eastAsia"/>
          <w:color w:val="000000"/>
          <w:kern w:val="0"/>
        </w:rPr>
        <w:t>2021</w:t>
      </w:r>
      <w:r>
        <w:rPr>
          <w:rFonts w:hint="eastAsia"/>
          <w:color w:val="000000"/>
          <w:kern w:val="0"/>
        </w:rPr>
        <w:t>年</w:t>
      </w:r>
      <w:r>
        <w:rPr>
          <w:rFonts w:hint="eastAsia"/>
          <w:color w:val="000000"/>
          <w:kern w:val="0"/>
        </w:rPr>
        <w:t>3</w:t>
      </w:r>
      <w:r>
        <w:rPr>
          <w:rFonts w:hint="eastAsia"/>
          <w:color w:val="000000"/>
          <w:kern w:val="0"/>
        </w:rPr>
        <w:t>月</w:t>
      </w:r>
      <w:r>
        <w:rPr>
          <w:rFonts w:hint="eastAsia"/>
          <w:color w:val="000000"/>
          <w:kern w:val="0"/>
        </w:rPr>
        <w:t>25</w:t>
      </w:r>
      <w:r>
        <w:rPr>
          <w:rFonts w:hint="eastAsia"/>
          <w:color w:val="000000"/>
          <w:kern w:val="0"/>
        </w:rPr>
        <w:t>发布的《富国基金管理有限公司关于旗下部分开放式基金在直销渠道进行基金转换申购补差费用优惠活动的公告</w:t>
      </w:r>
      <w:r>
        <w:rPr>
          <w:rFonts w:hint="eastAsia"/>
          <w:color w:val="000000"/>
          <w:kern w:val="0"/>
        </w:rPr>
        <w:t>》、</w:t>
      </w:r>
      <w:r>
        <w:rPr>
          <w:rFonts w:hint="eastAsia"/>
          <w:color w:val="000000"/>
          <w:kern w:val="0"/>
        </w:rPr>
        <w:t>2020</w:t>
      </w:r>
      <w:r>
        <w:rPr>
          <w:rFonts w:hint="eastAsia"/>
          <w:color w:val="000000"/>
          <w:kern w:val="0"/>
        </w:rPr>
        <w:t>年</w:t>
      </w:r>
      <w:r>
        <w:rPr>
          <w:rFonts w:hint="eastAsia"/>
          <w:color w:val="000000"/>
          <w:kern w:val="0"/>
        </w:rPr>
        <w:t>9</w:t>
      </w:r>
      <w:r>
        <w:rPr>
          <w:rFonts w:hint="eastAsia"/>
          <w:color w:val="000000"/>
          <w:kern w:val="0"/>
        </w:rPr>
        <w:t>月</w:t>
      </w:r>
      <w:r>
        <w:rPr>
          <w:rFonts w:hint="eastAsia"/>
          <w:color w:val="000000"/>
          <w:kern w:val="0"/>
        </w:rPr>
        <w:t>21</w:t>
      </w:r>
      <w:r>
        <w:rPr>
          <w:rFonts w:hint="eastAsia"/>
          <w:color w:val="000000"/>
          <w:kern w:val="0"/>
        </w:rPr>
        <w:t>日发布的《富国基金管理有限公司关于旗下开放式基金在直销渠道转换业务规则的公告》、</w:t>
      </w:r>
      <w:r>
        <w:rPr>
          <w:rFonts w:hint="eastAsia"/>
          <w:color w:val="000000"/>
          <w:kern w:val="0"/>
        </w:rPr>
        <w:t>2018</w:t>
      </w:r>
      <w:r>
        <w:rPr>
          <w:rFonts w:hint="eastAsia"/>
          <w:color w:val="000000"/>
          <w:kern w:val="0"/>
        </w:rPr>
        <w:t>年</w:t>
      </w:r>
      <w:r>
        <w:rPr>
          <w:rFonts w:hint="eastAsia"/>
          <w:color w:val="000000"/>
          <w:kern w:val="0"/>
        </w:rPr>
        <w:t>10</w:t>
      </w:r>
      <w:r>
        <w:rPr>
          <w:rFonts w:hint="eastAsia"/>
          <w:color w:val="000000"/>
          <w:kern w:val="0"/>
        </w:rPr>
        <w:t>月</w:t>
      </w:r>
      <w:r>
        <w:rPr>
          <w:rFonts w:hint="eastAsia"/>
          <w:color w:val="000000"/>
          <w:kern w:val="0"/>
        </w:rPr>
        <w:t>23</w:t>
      </w:r>
      <w:r>
        <w:rPr>
          <w:rFonts w:hint="eastAsia"/>
          <w:color w:val="000000"/>
          <w:kern w:val="0"/>
        </w:rPr>
        <w:t>日发布的《富国基金管理有限公司关于旗下部分开放式基金在直销渠道开通转换业务的公告》、</w:t>
      </w:r>
      <w:r>
        <w:rPr>
          <w:rFonts w:hint="eastAsia"/>
          <w:color w:val="000000"/>
          <w:kern w:val="0"/>
        </w:rPr>
        <w:t>2015</w:t>
      </w:r>
      <w:r>
        <w:rPr>
          <w:rFonts w:hint="eastAsia"/>
          <w:color w:val="000000"/>
          <w:kern w:val="0"/>
        </w:rPr>
        <w:t>年</w:t>
      </w:r>
      <w:r>
        <w:rPr>
          <w:rFonts w:hint="eastAsia"/>
          <w:color w:val="000000"/>
          <w:kern w:val="0"/>
        </w:rPr>
        <w:t>10</w:t>
      </w:r>
      <w:r>
        <w:rPr>
          <w:rFonts w:hint="eastAsia"/>
          <w:color w:val="000000"/>
          <w:kern w:val="0"/>
        </w:rPr>
        <w:t>月</w:t>
      </w:r>
      <w:r>
        <w:rPr>
          <w:rFonts w:hint="eastAsia"/>
          <w:color w:val="000000"/>
          <w:kern w:val="0"/>
        </w:rPr>
        <w:t>23</w:t>
      </w:r>
      <w:r>
        <w:rPr>
          <w:rFonts w:hint="eastAsia"/>
          <w:color w:val="000000"/>
          <w:kern w:val="0"/>
        </w:rPr>
        <w:t>日发布的《富国基金管理有限公司关于旗下部分基金在直销网点开展转换费率优惠活动的公告》。</w:t>
      </w:r>
    </w:p>
    <w:p w:rsidR="00000000" w:rsidRDefault="00CC22BE">
      <w:pPr>
        <w:ind w:firstLineChars="0" w:firstLine="0"/>
        <w:rPr>
          <w:b/>
          <w:bCs/>
          <w:color w:val="000000"/>
          <w:kern w:val="0"/>
        </w:rPr>
      </w:pPr>
      <w:r>
        <w:rPr>
          <w:b/>
          <w:bCs/>
          <w:color w:val="000000"/>
          <w:kern w:val="0"/>
        </w:rPr>
        <w:t>7.2.2</w:t>
      </w:r>
      <w:r>
        <w:rPr>
          <w:b/>
          <w:bCs/>
          <w:color w:val="000000"/>
          <w:kern w:val="0"/>
        </w:rPr>
        <w:t>转换业务规则</w:t>
      </w:r>
    </w:p>
    <w:p w:rsidR="00000000" w:rsidRDefault="00CC22BE">
      <w:pPr>
        <w:ind w:firstLine="480"/>
        <w:rPr>
          <w:color w:val="000000"/>
          <w:kern w:val="0"/>
        </w:rPr>
      </w:pPr>
      <w:r>
        <w:rPr>
          <w:rFonts w:hint="eastAsia"/>
          <w:color w:val="000000"/>
          <w:kern w:val="0"/>
        </w:rPr>
        <w:t>（</w:t>
      </w:r>
      <w:r>
        <w:rPr>
          <w:color w:val="000000"/>
          <w:kern w:val="0"/>
        </w:rPr>
        <w:t>1</w:t>
      </w:r>
      <w:r>
        <w:rPr>
          <w:rFonts w:hint="eastAsia"/>
          <w:color w:val="000000"/>
          <w:kern w:val="0"/>
        </w:rPr>
        <w:t>）本公司直销机构开通本基金的转换业务。其他销售机构开通本基金的转换业务的情况，敬请投资者关注各销售机构的公告或咨询相关销售机构。</w:t>
      </w:r>
    </w:p>
    <w:p w:rsidR="00000000" w:rsidRDefault="00CC22BE">
      <w:pPr>
        <w:ind w:firstLine="480"/>
        <w:rPr>
          <w:color w:val="000000"/>
          <w:kern w:val="0"/>
        </w:rPr>
      </w:pPr>
      <w:r>
        <w:rPr>
          <w:rFonts w:hint="eastAsia"/>
          <w:color w:val="000000"/>
          <w:kern w:val="0"/>
        </w:rPr>
        <w:t>（</w:t>
      </w:r>
      <w:r>
        <w:rPr>
          <w:color w:val="000000"/>
          <w:kern w:val="0"/>
        </w:rPr>
        <w:t>2</w:t>
      </w:r>
      <w:r>
        <w:rPr>
          <w:rFonts w:hint="eastAsia"/>
          <w:color w:val="000000"/>
          <w:kern w:val="0"/>
        </w:rPr>
        <w:t>）登记机构以收到有效转换申请的当天作</w:t>
      </w:r>
      <w:r>
        <w:rPr>
          <w:rFonts w:hint="eastAsia"/>
          <w:color w:val="000000"/>
          <w:kern w:val="0"/>
        </w:rPr>
        <w:t>为转换申请日（</w:t>
      </w:r>
      <w:r>
        <w:rPr>
          <w:color w:val="000000"/>
          <w:kern w:val="0"/>
        </w:rPr>
        <w:t>T</w:t>
      </w:r>
      <w:r>
        <w:rPr>
          <w:rFonts w:hint="eastAsia"/>
          <w:color w:val="000000"/>
          <w:kern w:val="0"/>
        </w:rPr>
        <w:t>日）。基金份额持有人转换基金成功的，登记机构在</w:t>
      </w:r>
      <w:r>
        <w:rPr>
          <w:color w:val="000000"/>
          <w:kern w:val="0"/>
        </w:rPr>
        <w:t>T+1</w:t>
      </w:r>
      <w:r>
        <w:rPr>
          <w:rFonts w:hint="eastAsia"/>
          <w:color w:val="000000"/>
          <w:kern w:val="0"/>
        </w:rPr>
        <w:t>日为其办理权益转换的注册登记手续，投资者通常可自</w:t>
      </w:r>
      <w:r>
        <w:rPr>
          <w:color w:val="000000"/>
          <w:kern w:val="0"/>
        </w:rPr>
        <w:t>T+2</w:t>
      </w:r>
      <w:r>
        <w:rPr>
          <w:rFonts w:hint="eastAsia"/>
          <w:color w:val="000000"/>
          <w:kern w:val="0"/>
        </w:rPr>
        <w:t>日（含该日）后查询转换业务的确认情况，并有权转换或赎回该部分基金份额。</w:t>
      </w:r>
    </w:p>
    <w:p w:rsidR="00000000" w:rsidRDefault="00CC22BE">
      <w:pPr>
        <w:ind w:firstLine="480"/>
        <w:rPr>
          <w:color w:val="000000"/>
          <w:kern w:val="0"/>
        </w:rPr>
      </w:pPr>
      <w:r>
        <w:rPr>
          <w:rFonts w:hint="eastAsia"/>
          <w:color w:val="000000"/>
          <w:kern w:val="0"/>
        </w:rPr>
        <w:t>（</w:t>
      </w:r>
      <w:r>
        <w:rPr>
          <w:color w:val="000000"/>
          <w:kern w:val="0"/>
        </w:rPr>
        <w:t>3</w:t>
      </w:r>
      <w:r>
        <w:rPr>
          <w:rFonts w:hint="eastAsia"/>
          <w:color w:val="000000"/>
          <w:kern w:val="0"/>
        </w:rPr>
        <w:t>）基金转换后，转入的基金份额的持有期将自转入的基金份额被确认之日起重新开始计算。</w:t>
      </w:r>
    </w:p>
    <w:p w:rsidR="00000000" w:rsidRDefault="00CC22BE">
      <w:pPr>
        <w:ind w:firstLine="480"/>
        <w:rPr>
          <w:color w:val="000000"/>
          <w:kern w:val="0"/>
        </w:rPr>
      </w:pPr>
      <w:r>
        <w:rPr>
          <w:rFonts w:hint="eastAsia"/>
          <w:color w:val="000000"/>
          <w:kern w:val="0"/>
        </w:rPr>
        <w:t>（</w:t>
      </w:r>
      <w:r>
        <w:rPr>
          <w:color w:val="000000"/>
          <w:kern w:val="0"/>
        </w:rPr>
        <w:t>4</w:t>
      </w:r>
      <w:r>
        <w:rPr>
          <w:rFonts w:hint="eastAsia"/>
          <w:color w:val="000000"/>
          <w:kern w:val="0"/>
        </w:rPr>
        <w:t>）基金份额持有人在直销网点申请转换基金份额时，每次对基金份额的转换申请不得低于</w:t>
      </w:r>
      <w:r>
        <w:rPr>
          <w:color w:val="000000"/>
          <w:kern w:val="0"/>
        </w:rPr>
        <w:t>0.01</w:t>
      </w:r>
      <w:r>
        <w:rPr>
          <w:rFonts w:hint="eastAsia"/>
          <w:color w:val="000000"/>
          <w:kern w:val="0"/>
        </w:rPr>
        <w:t>份基金份额，转换时或转换后在直销网点保留的基金份额余额不足</w:t>
      </w:r>
      <w:r>
        <w:rPr>
          <w:color w:val="000000"/>
          <w:kern w:val="0"/>
        </w:rPr>
        <w:t>0.01</w:t>
      </w:r>
      <w:r>
        <w:rPr>
          <w:rFonts w:hint="eastAsia"/>
          <w:color w:val="000000"/>
          <w:kern w:val="0"/>
        </w:rPr>
        <w:t>份的，需一次全部转换。</w:t>
      </w:r>
    </w:p>
    <w:p w:rsidR="00000000" w:rsidRDefault="00CC22BE">
      <w:pPr>
        <w:ind w:firstLine="480"/>
        <w:rPr>
          <w:color w:val="000000"/>
          <w:kern w:val="0"/>
        </w:rPr>
      </w:pPr>
      <w:r>
        <w:rPr>
          <w:rFonts w:hint="eastAsia"/>
          <w:color w:val="000000"/>
          <w:kern w:val="0"/>
        </w:rPr>
        <w:t>（</w:t>
      </w:r>
      <w:r>
        <w:rPr>
          <w:color w:val="000000"/>
          <w:kern w:val="0"/>
        </w:rPr>
        <w:t>5</w:t>
      </w:r>
      <w:r>
        <w:rPr>
          <w:rFonts w:hint="eastAsia"/>
          <w:color w:val="000000"/>
          <w:kern w:val="0"/>
        </w:rPr>
        <w:t>）基金转换以申请当日基金份额净值为基础计算。基金</w:t>
      </w:r>
      <w:r>
        <w:rPr>
          <w:rFonts w:hint="eastAsia"/>
          <w:color w:val="000000"/>
          <w:kern w:val="0"/>
        </w:rPr>
        <w:t>份额持有人采用</w:t>
      </w:r>
      <w:r>
        <w:rPr>
          <w:color w:val="000000"/>
          <w:kern w:val="0"/>
        </w:rPr>
        <w:t>“</w:t>
      </w:r>
      <w:r>
        <w:rPr>
          <w:rFonts w:hint="eastAsia"/>
          <w:color w:val="000000"/>
          <w:kern w:val="0"/>
        </w:rPr>
        <w:t>份额转换</w:t>
      </w:r>
      <w:r>
        <w:rPr>
          <w:color w:val="000000"/>
          <w:kern w:val="0"/>
        </w:rPr>
        <w:t>”</w:t>
      </w:r>
      <w:r>
        <w:rPr>
          <w:rFonts w:hint="eastAsia"/>
          <w:color w:val="000000"/>
          <w:kern w:val="0"/>
        </w:rPr>
        <w:t>的原则提交申请。转出基金份额必须是可用份额。</w:t>
      </w:r>
    </w:p>
    <w:p w:rsidR="00000000" w:rsidRDefault="00CC22BE">
      <w:pPr>
        <w:pStyle w:val="2"/>
        <w:rPr>
          <w:kern w:val="0"/>
          <w:szCs w:val="21"/>
        </w:rPr>
      </w:pPr>
      <w:r>
        <w:rPr>
          <w:kern w:val="0"/>
        </w:rPr>
        <w:t>其他需要提示的事项</w:t>
      </w:r>
    </w:p>
    <w:p w:rsidR="00000000" w:rsidRDefault="00CC22BE">
      <w:pPr>
        <w:ind w:firstLine="480"/>
        <w:rPr>
          <w:kern w:val="0"/>
        </w:rPr>
      </w:pPr>
      <w:r>
        <w:rPr>
          <w:rFonts w:hint="eastAsia"/>
          <w:kern w:val="0"/>
        </w:rPr>
        <w:t>（</w:t>
      </w:r>
      <w:r>
        <w:rPr>
          <w:rFonts w:hint="eastAsia"/>
          <w:kern w:val="0"/>
        </w:rPr>
        <w:t>1</w:t>
      </w:r>
      <w:r>
        <w:rPr>
          <w:rFonts w:hint="eastAsia"/>
          <w:kern w:val="0"/>
        </w:rPr>
        <w:t>）</w:t>
      </w:r>
      <w:r>
        <w:rPr>
          <w:kern w:val="0"/>
        </w:rPr>
        <w:t>本公告仅对本次</w:t>
      </w:r>
      <w:r>
        <w:rPr>
          <w:rFonts w:hint="eastAsia"/>
          <w:kern w:val="0"/>
        </w:rPr>
        <w:t>开放期</w:t>
      </w:r>
      <w:r>
        <w:rPr>
          <w:kern w:val="0"/>
        </w:rPr>
        <w:t>的有关申购</w:t>
      </w:r>
      <w:r>
        <w:rPr>
          <w:rFonts w:hint="eastAsia"/>
          <w:kern w:val="0"/>
        </w:rPr>
        <w:t>、</w:t>
      </w:r>
      <w:r>
        <w:rPr>
          <w:kern w:val="0"/>
        </w:rPr>
        <w:t>赎回</w:t>
      </w:r>
      <w:r>
        <w:rPr>
          <w:rFonts w:hint="eastAsia"/>
          <w:kern w:val="0"/>
        </w:rPr>
        <w:t>和转换</w:t>
      </w:r>
      <w:r>
        <w:rPr>
          <w:kern w:val="0"/>
        </w:rPr>
        <w:t>事项予以说明。投资者欲了解本基金的详细情况，请详细阅读</w:t>
      </w:r>
      <w:r>
        <w:rPr>
          <w:rFonts w:hint="eastAsia"/>
          <w:kern w:val="0"/>
        </w:rPr>
        <w:t>刊登在</w:t>
      </w:r>
      <w:r>
        <w:rPr>
          <w:kern w:val="0"/>
        </w:rPr>
        <w:t>本公司网站</w:t>
      </w:r>
      <w:r>
        <w:rPr>
          <w:rFonts w:hint="eastAsia"/>
          <w:kern w:val="0"/>
        </w:rPr>
        <w:t>（</w:t>
      </w:r>
      <w:r>
        <w:rPr>
          <w:rFonts w:hint="eastAsia"/>
          <w:kern w:val="0"/>
        </w:rPr>
        <w:t>www.fullgoal.com.cn</w:t>
      </w:r>
      <w:r>
        <w:rPr>
          <w:rFonts w:hint="eastAsia"/>
          <w:kern w:val="0"/>
        </w:rPr>
        <w:t>）和中国证监会基金电子披露网站（</w:t>
      </w:r>
      <w:r>
        <w:rPr>
          <w:rFonts w:hint="eastAsia"/>
          <w:kern w:val="0"/>
        </w:rPr>
        <w:t>http://eid.csrc.gov.cn/fund</w:t>
      </w:r>
      <w:r>
        <w:rPr>
          <w:rFonts w:hint="eastAsia"/>
          <w:kern w:val="0"/>
        </w:rPr>
        <w:t>）的</w:t>
      </w:r>
      <w:r>
        <w:rPr>
          <w:kern w:val="0"/>
        </w:rPr>
        <w:t>《富国睿利定期开放混合型发起式证券投资基金基金合同》和《富国睿利定期开放混合型发起式证券投资基金招募说明书</w:t>
      </w:r>
      <w:r>
        <w:rPr>
          <w:rFonts w:hint="eastAsia"/>
          <w:kern w:val="0"/>
        </w:rPr>
        <w:t>（及其更新）</w:t>
      </w:r>
      <w:r>
        <w:rPr>
          <w:kern w:val="0"/>
        </w:rPr>
        <w:t>》</w:t>
      </w:r>
      <w:r>
        <w:rPr>
          <w:rFonts w:hint="eastAsia"/>
          <w:kern w:val="0"/>
        </w:rPr>
        <w:t>及相关公告</w:t>
      </w:r>
      <w:r>
        <w:rPr>
          <w:kern w:val="0"/>
        </w:rPr>
        <w:t>。</w:t>
      </w:r>
    </w:p>
    <w:p w:rsidR="00000000" w:rsidRDefault="00CC22BE">
      <w:pPr>
        <w:ind w:firstLine="480"/>
        <w:rPr>
          <w:rFonts w:hint="eastAsia"/>
          <w:b/>
          <w:kern w:val="0"/>
        </w:rPr>
      </w:pPr>
      <w:r>
        <w:rPr>
          <w:rFonts w:hint="eastAsia"/>
          <w:kern w:val="0"/>
        </w:rPr>
        <w:t>（</w:t>
      </w:r>
      <w:r>
        <w:rPr>
          <w:kern w:val="0"/>
        </w:rPr>
        <w:t>2</w:t>
      </w:r>
      <w:r>
        <w:rPr>
          <w:rFonts w:hint="eastAsia"/>
          <w:kern w:val="0"/>
        </w:rPr>
        <w:t>）</w:t>
      </w:r>
      <w:r>
        <w:rPr>
          <w:rFonts w:hint="eastAsia"/>
          <w:b/>
          <w:kern w:val="0"/>
        </w:rPr>
        <w:t>根据基金合同约定，本基金以</w:t>
      </w:r>
      <w:r>
        <w:rPr>
          <w:rFonts w:hint="eastAsia"/>
          <w:b/>
          <w:kern w:val="0"/>
        </w:rPr>
        <w:t>36</w:t>
      </w:r>
      <w:r>
        <w:rPr>
          <w:rFonts w:hint="eastAsia"/>
          <w:b/>
          <w:kern w:val="0"/>
        </w:rPr>
        <w:t>个</w:t>
      </w:r>
      <w:r>
        <w:rPr>
          <w:rFonts w:hint="eastAsia"/>
          <w:b/>
          <w:kern w:val="0"/>
        </w:rPr>
        <w:t>月为一个运作周期，本基金在每个运作周期前确定大类资产初始配比范围，并在招募说明书中列示，每个运作周期的前</w:t>
      </w:r>
      <w:r>
        <w:rPr>
          <w:rFonts w:hint="eastAsia"/>
          <w:b/>
          <w:kern w:val="0"/>
        </w:rPr>
        <w:t>3</w:t>
      </w:r>
      <w:r>
        <w:rPr>
          <w:rFonts w:hint="eastAsia"/>
          <w:b/>
          <w:kern w:val="0"/>
        </w:rPr>
        <w:t>个月为建仓期，力争在建仓期结束前达到大类资产初始配比目标。</w:t>
      </w:r>
    </w:p>
    <w:p w:rsidR="00000000" w:rsidRDefault="00CC22BE">
      <w:pPr>
        <w:ind w:firstLine="482"/>
        <w:rPr>
          <w:b/>
          <w:kern w:val="0"/>
        </w:rPr>
      </w:pPr>
      <w:r>
        <w:rPr>
          <w:rFonts w:hint="eastAsia"/>
          <w:b/>
          <w:kern w:val="0"/>
        </w:rPr>
        <w:t>基金管理人决定，第四个运作周期开始到建仓期结束前，力争做到固定收益类资产（含现金类资产）与权益类资产的占比不低于</w:t>
      </w:r>
      <w:r>
        <w:rPr>
          <w:rFonts w:hint="eastAsia"/>
          <w:b/>
          <w:kern w:val="0"/>
        </w:rPr>
        <w:t>70:30</w:t>
      </w:r>
      <w:r>
        <w:rPr>
          <w:rFonts w:hint="eastAsia"/>
          <w:b/>
          <w:kern w:val="0"/>
        </w:rPr>
        <w:t>。基金管理人将同步对招募说明书相关内容进行更新。</w:t>
      </w:r>
    </w:p>
    <w:p w:rsidR="00000000" w:rsidRDefault="00CC22BE">
      <w:pPr>
        <w:ind w:firstLine="480"/>
        <w:rPr>
          <w:kern w:val="0"/>
        </w:rPr>
      </w:pPr>
      <w:r>
        <w:rPr>
          <w:rFonts w:hint="eastAsia"/>
          <w:kern w:val="0"/>
        </w:rPr>
        <w:t>（</w:t>
      </w:r>
      <w:r>
        <w:rPr>
          <w:rFonts w:hint="eastAsia"/>
          <w:kern w:val="0"/>
        </w:rPr>
        <w:t>3</w:t>
      </w:r>
      <w:r>
        <w:rPr>
          <w:rFonts w:hint="eastAsia"/>
          <w:kern w:val="0"/>
        </w:rPr>
        <w:t>）有关本基金开放申购、赎回、转换等业务的具体规定若有变化，本公司将另行公告。</w:t>
      </w:r>
    </w:p>
    <w:p w:rsidR="00000000" w:rsidRDefault="00CC22BE">
      <w:pPr>
        <w:ind w:firstLine="480"/>
        <w:rPr>
          <w:rFonts w:hint="eastAsia"/>
          <w:kern w:val="0"/>
        </w:rPr>
      </w:pPr>
      <w:r>
        <w:rPr>
          <w:rFonts w:hint="eastAsia"/>
          <w:kern w:val="0"/>
        </w:rPr>
        <w:t>（</w:t>
      </w:r>
      <w:r>
        <w:rPr>
          <w:rFonts w:hint="eastAsia"/>
          <w:kern w:val="0"/>
        </w:rPr>
        <w:t>4</w:t>
      </w:r>
      <w:r>
        <w:rPr>
          <w:rFonts w:hint="eastAsia"/>
          <w:kern w:val="0"/>
        </w:rPr>
        <w:t>）投资者在本基金代销机构办理基金业务，具体办理规则及程序请遵循各代销机构的规定。</w:t>
      </w:r>
    </w:p>
    <w:p w:rsidR="00000000" w:rsidRDefault="00CC22BE">
      <w:pPr>
        <w:ind w:firstLine="480"/>
        <w:rPr>
          <w:kern w:val="0"/>
        </w:rPr>
      </w:pPr>
      <w:r>
        <w:rPr>
          <w:rFonts w:hint="eastAsia"/>
          <w:kern w:val="0"/>
        </w:rPr>
        <w:t>（</w:t>
      </w:r>
      <w:r>
        <w:rPr>
          <w:kern w:val="0"/>
        </w:rPr>
        <w:t>5</w:t>
      </w:r>
      <w:r>
        <w:rPr>
          <w:rFonts w:hint="eastAsia"/>
          <w:kern w:val="0"/>
        </w:rPr>
        <w:t>）</w:t>
      </w:r>
      <w:r>
        <w:rPr>
          <w:rFonts w:hint="eastAsia"/>
          <w:kern w:val="0"/>
        </w:rPr>
        <w:t>投资者可以登陆富国基金管理有限公司网站</w:t>
      </w:r>
      <w:r>
        <w:rPr>
          <w:rFonts w:hint="eastAsia"/>
          <w:kern w:val="0"/>
        </w:rPr>
        <w:t>www.fullgoal.com.cn</w:t>
      </w:r>
      <w:r>
        <w:rPr>
          <w:rFonts w:hint="eastAsia"/>
          <w:kern w:val="0"/>
        </w:rPr>
        <w:t>或拨打富国基金管理有限公司客户服务热线</w:t>
      </w:r>
      <w:r>
        <w:rPr>
          <w:rFonts w:hint="eastAsia"/>
          <w:kern w:val="0"/>
        </w:rPr>
        <w:t>95105686</w:t>
      </w:r>
      <w:r>
        <w:rPr>
          <w:rFonts w:hint="eastAsia"/>
          <w:kern w:val="0"/>
        </w:rPr>
        <w:t>、</w:t>
      </w:r>
      <w:r>
        <w:rPr>
          <w:rFonts w:hint="eastAsia"/>
          <w:kern w:val="0"/>
        </w:rPr>
        <w:t>4008880688</w:t>
      </w:r>
      <w:r>
        <w:rPr>
          <w:rFonts w:hint="eastAsia"/>
          <w:kern w:val="0"/>
        </w:rPr>
        <w:t>（全国统一，均免长途费）进行相关咨询。</w:t>
      </w:r>
    </w:p>
    <w:p w:rsidR="00000000" w:rsidRDefault="00CC22BE">
      <w:pPr>
        <w:ind w:firstLine="480"/>
        <w:rPr>
          <w:kern w:val="0"/>
        </w:rPr>
      </w:pPr>
      <w:r>
        <w:rPr>
          <w:rFonts w:hint="eastAsia"/>
          <w:kern w:val="0"/>
        </w:rPr>
        <w:t>（</w:t>
      </w:r>
      <w:r>
        <w:rPr>
          <w:kern w:val="0"/>
        </w:rPr>
        <w:t>6</w:t>
      </w:r>
      <w:r>
        <w:rPr>
          <w:rFonts w:hint="eastAsia"/>
          <w:kern w:val="0"/>
        </w:rPr>
        <w:t>）</w:t>
      </w:r>
      <w:r>
        <w:rPr>
          <w:kern w:val="0"/>
        </w:rPr>
        <w:t>风险提示：基金管理人承诺以诚实信用、勤勉尽责的原则管理和运用基金资产，但不保证基金一定盈利，也不保证最低收益。投资者投资于本基金前应认真阅读本基金的</w:t>
      </w:r>
      <w:r>
        <w:rPr>
          <w:rFonts w:hint="eastAsia"/>
          <w:kern w:val="0"/>
        </w:rPr>
        <w:t>基金合同和</w:t>
      </w:r>
      <w:r>
        <w:rPr>
          <w:kern w:val="0"/>
        </w:rPr>
        <w:t>招募说明书</w:t>
      </w:r>
      <w:r>
        <w:rPr>
          <w:rFonts w:hint="eastAsia"/>
          <w:kern w:val="0"/>
        </w:rPr>
        <w:t>等法律文件，确认已知悉基金产品资料概要，了解基金产品的详细情况，选择与自己风险识别能力和风险承受能力相匹配的基金，并注意投资风险。</w:t>
      </w:r>
    </w:p>
    <w:p w:rsidR="00000000" w:rsidRDefault="00CC22BE">
      <w:pPr>
        <w:ind w:firstLine="480"/>
        <w:rPr>
          <w:kern w:val="0"/>
        </w:rPr>
      </w:pPr>
      <w:r>
        <w:rPr>
          <w:kern w:val="0"/>
        </w:rPr>
        <w:t>特此公告。</w:t>
      </w:r>
    </w:p>
    <w:p w:rsidR="00000000" w:rsidRDefault="00CC22BE">
      <w:pPr>
        <w:ind w:firstLine="480"/>
        <w:rPr>
          <w:kern w:val="0"/>
        </w:rPr>
      </w:pPr>
    </w:p>
    <w:p w:rsidR="00000000" w:rsidRDefault="00CC22BE">
      <w:pPr>
        <w:ind w:firstLine="480"/>
        <w:jc w:val="right"/>
        <w:rPr>
          <w:kern w:val="0"/>
        </w:rPr>
      </w:pPr>
      <w:r>
        <w:rPr>
          <w:color w:val="000000"/>
          <w:kern w:val="0"/>
        </w:rPr>
        <w:t>富国基金管理有限公司</w:t>
      </w:r>
    </w:p>
    <w:p w:rsidR="00000000" w:rsidRDefault="00CC22BE">
      <w:pPr>
        <w:ind w:firstLine="480"/>
        <w:jc w:val="right"/>
        <w:rPr>
          <w:kern w:val="0"/>
        </w:rPr>
      </w:pPr>
      <w:r>
        <w:rPr>
          <w:color w:val="000000"/>
          <w:kern w:val="0"/>
        </w:rPr>
        <w:t>202</w:t>
      </w:r>
      <w:r>
        <w:rPr>
          <w:rFonts w:hint="eastAsia"/>
          <w:color w:val="000000"/>
          <w:kern w:val="0"/>
        </w:rPr>
        <w:t>5</w:t>
      </w:r>
      <w:r>
        <w:rPr>
          <w:rFonts w:hint="eastAsia"/>
          <w:color w:val="000000"/>
          <w:kern w:val="0"/>
        </w:rPr>
        <w:t>年</w:t>
      </w:r>
      <w:r>
        <w:rPr>
          <w:color w:val="000000"/>
          <w:kern w:val="0"/>
        </w:rPr>
        <w:t>1</w:t>
      </w:r>
      <w:r>
        <w:rPr>
          <w:rFonts w:hint="eastAsia"/>
          <w:color w:val="000000"/>
          <w:kern w:val="0"/>
        </w:rPr>
        <w:t>1</w:t>
      </w:r>
      <w:r>
        <w:rPr>
          <w:rFonts w:hint="eastAsia"/>
          <w:color w:val="000000"/>
          <w:kern w:val="0"/>
        </w:rPr>
        <w:t>月</w:t>
      </w:r>
      <w:r>
        <w:rPr>
          <w:color w:val="000000"/>
          <w:kern w:val="0"/>
        </w:rPr>
        <w:t>2</w:t>
      </w:r>
      <w:r>
        <w:rPr>
          <w:rFonts w:hint="eastAsia"/>
          <w:color w:val="000000"/>
          <w:kern w:val="0"/>
        </w:rPr>
        <w:t>7</w:t>
      </w:r>
      <w:r>
        <w:rPr>
          <w:rFonts w:hint="eastAsia"/>
          <w:color w:val="000000"/>
          <w:kern w:val="0"/>
        </w:rPr>
        <w:t>日</w:t>
      </w:r>
    </w:p>
    <w:p w:rsidR="00000000" w:rsidRDefault="00CC22BE">
      <w:pPr>
        <w:ind w:firstLine="480"/>
        <w:jc w:val="right"/>
      </w:pPr>
    </w:p>
    <w:sectPr w:rsidR="0000000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CC22BE">
      <w:pPr>
        <w:spacing w:line="240" w:lineRule="auto"/>
        <w:ind w:firstLine="480"/>
      </w:pPr>
      <w:r>
        <w:separator/>
      </w:r>
    </w:p>
  </w:endnote>
  <w:endnote w:type="continuationSeparator" w:id="0">
    <w:p w:rsidR="00000000" w:rsidRDefault="00CC22BE">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C22BE">
    <w:pPr>
      <w:pStyle w:val="a7"/>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C22BE">
    <w:pPr>
      <w:pStyle w:val="a7"/>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C22BE">
    <w:pPr>
      <w:pStyle w:val="a7"/>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CC22BE">
      <w:pPr>
        <w:spacing w:line="240" w:lineRule="auto"/>
        <w:ind w:firstLine="480"/>
      </w:pPr>
      <w:r>
        <w:separator/>
      </w:r>
    </w:p>
  </w:footnote>
  <w:footnote w:type="continuationSeparator" w:id="0">
    <w:p w:rsidR="00000000" w:rsidRDefault="00CC22BE">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C22BE">
    <w:pPr>
      <w:pStyle w:val="a8"/>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C22BE">
    <w:pPr>
      <w:pStyle w:val="a8"/>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C22BE">
    <w:pPr>
      <w:pStyle w:val="a8"/>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A2E3F"/>
    <w:multiLevelType w:val="multilevel"/>
    <w:tmpl w:val="207A2E3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1FC4C13"/>
    <w:multiLevelType w:val="multilevel"/>
    <w:tmpl w:val="61FC4C13"/>
    <w:lvl w:ilvl="0">
      <w:start w:val="1"/>
      <w:numFmt w:val="decimal"/>
      <w:lvlText w:val="第%1章"/>
      <w:lvlJc w:val="left"/>
      <w:pPr>
        <w:tabs>
          <w:tab w:val="num" w:pos="1440"/>
        </w:tabs>
        <w:ind w:left="432" w:hanging="432"/>
      </w:pPr>
      <w:rPr>
        <w:rFonts w:hint="eastAsia"/>
      </w:rPr>
    </w:lvl>
    <w:lvl w:ilvl="1">
      <w:start w:val="1"/>
      <w:numFmt w:val="decimal"/>
      <w:lvlText w:val="%2"/>
      <w:lvlJc w:val="left"/>
      <w:pPr>
        <w:tabs>
          <w:tab w:val="num" w:pos="576"/>
        </w:tabs>
        <w:ind w:left="576" w:hanging="576"/>
      </w:pPr>
      <w:rPr>
        <w:rFonts w:ascii="宋体" w:eastAsia="宋体" w:hAnsi="宋体" w:hint="eastAsia"/>
        <w:b/>
        <w:i w:val="0"/>
        <w:sz w:val="24"/>
      </w:rPr>
    </w:lvl>
    <w:lvl w:ilvl="2">
      <w:start w:val="1"/>
      <w:numFmt w:val="decimal"/>
      <w:isLgl/>
      <w:lvlText w:val="%2.%3"/>
      <w:lvlJc w:val="left"/>
      <w:pPr>
        <w:tabs>
          <w:tab w:val="num" w:pos="1146"/>
        </w:tabs>
        <w:ind w:left="1146" w:hanging="720"/>
      </w:pPr>
      <w:rPr>
        <w:rFonts w:hint="eastAsia"/>
      </w:rPr>
    </w:lvl>
    <w:lvl w:ilvl="3">
      <w:start w:val="1"/>
      <w:numFmt w:val="decimal"/>
      <w:lvlRestart w:val="2"/>
      <w:isLgl/>
      <w:lvlText w:val="%2.%3.%4"/>
      <w:lvlJc w:val="left"/>
      <w:pPr>
        <w:tabs>
          <w:tab w:val="num" w:pos="1080"/>
        </w:tabs>
        <w:ind w:left="864" w:hanging="864"/>
      </w:pPr>
      <w:rPr>
        <w:rFonts w:hint="eastAsia"/>
      </w:rPr>
    </w:lvl>
    <w:lvl w:ilvl="4">
      <w:start w:val="1"/>
      <w:numFmt w:val="decimal"/>
      <w:lvlText w:val="%2.%3.%4.%5"/>
      <w:lvlJc w:val="left"/>
      <w:pPr>
        <w:tabs>
          <w:tab w:val="num" w:pos="1440"/>
        </w:tabs>
        <w:ind w:left="1008" w:hanging="1008"/>
      </w:pPr>
      <w:rPr>
        <w:rFonts w:hint="eastAsia"/>
      </w:rPr>
    </w:lvl>
    <w:lvl w:ilvl="5">
      <w:start w:val="1"/>
      <w:numFmt w:val="decimal"/>
      <w:lvlText w:val="%2.%3.%4.%5.%6"/>
      <w:lvlJc w:val="left"/>
      <w:pPr>
        <w:tabs>
          <w:tab w:val="num" w:pos="1800"/>
        </w:tabs>
        <w:ind w:left="567" w:hanging="567"/>
      </w:pPr>
      <w:rPr>
        <w:rFonts w:hint="eastAsia"/>
      </w:rPr>
    </w:lvl>
    <w:lvl w:ilvl="6">
      <w:start w:val="1"/>
      <w:numFmt w:val="decimal"/>
      <w:lvlText w:val="%2.%3.%4.%5.%6.%7"/>
      <w:lvlJc w:val="left"/>
      <w:pPr>
        <w:tabs>
          <w:tab w:val="num" w:pos="2160"/>
        </w:tabs>
        <w:ind w:left="1296" w:hanging="1296"/>
      </w:pPr>
      <w:rPr>
        <w:rFonts w:hint="eastAsia"/>
      </w:rPr>
    </w:lvl>
    <w:lvl w:ilvl="7">
      <w:start w:val="1"/>
      <w:numFmt w:val="decimal"/>
      <w:lvlText w:val="%2.%3.%4.%5.%6.%7.%8"/>
      <w:lvlJc w:val="left"/>
      <w:pPr>
        <w:tabs>
          <w:tab w:val="num" w:pos="2520"/>
        </w:tabs>
        <w:ind w:left="1440" w:hanging="1440"/>
      </w:pPr>
      <w:rPr>
        <w:rFonts w:hint="eastAsia"/>
      </w:rPr>
    </w:lvl>
    <w:lvl w:ilvl="8">
      <w:start w:val="1"/>
      <w:numFmt w:val="decimal"/>
      <w:lvlText w:val="%2.%3.%4.%5.%6.%7.%8.%9"/>
      <w:lvlJc w:val="left"/>
      <w:pPr>
        <w:tabs>
          <w:tab w:val="num" w:pos="2880"/>
        </w:tabs>
        <w:ind w:left="1584" w:hanging="1584"/>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bordersDoNotSurroundHeader/>
  <w:bordersDoNotSurroundFooter/>
  <w:attachedTemplate r:id="rId1"/>
  <w:trackRevisions/>
  <w:doNotTrackMoves/>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12801"/>
    <w:rsid w:val="0001517F"/>
    <w:rsid w:val="00015723"/>
    <w:rsid w:val="000230A3"/>
    <w:rsid w:val="000235E8"/>
    <w:rsid w:val="00023A27"/>
    <w:rsid w:val="00023F85"/>
    <w:rsid w:val="00023FD3"/>
    <w:rsid w:val="0003022B"/>
    <w:rsid w:val="000344F0"/>
    <w:rsid w:val="00050A2E"/>
    <w:rsid w:val="000525C6"/>
    <w:rsid w:val="000563D0"/>
    <w:rsid w:val="000636E0"/>
    <w:rsid w:val="000641F0"/>
    <w:rsid w:val="00064265"/>
    <w:rsid w:val="00064E24"/>
    <w:rsid w:val="000858C7"/>
    <w:rsid w:val="00087342"/>
    <w:rsid w:val="00093C3C"/>
    <w:rsid w:val="000A1C08"/>
    <w:rsid w:val="000A6252"/>
    <w:rsid w:val="000A6EFF"/>
    <w:rsid w:val="000B53DC"/>
    <w:rsid w:val="000B760F"/>
    <w:rsid w:val="000B77D2"/>
    <w:rsid w:val="000C2F30"/>
    <w:rsid w:val="000C48C0"/>
    <w:rsid w:val="000E5C10"/>
    <w:rsid w:val="000F17D0"/>
    <w:rsid w:val="000F7C44"/>
    <w:rsid w:val="0010226C"/>
    <w:rsid w:val="00111EF8"/>
    <w:rsid w:val="001122B5"/>
    <w:rsid w:val="001165A8"/>
    <w:rsid w:val="00131166"/>
    <w:rsid w:val="0013236C"/>
    <w:rsid w:val="00133898"/>
    <w:rsid w:val="0014231E"/>
    <w:rsid w:val="0014339D"/>
    <w:rsid w:val="00153E6A"/>
    <w:rsid w:val="001613AA"/>
    <w:rsid w:val="00175315"/>
    <w:rsid w:val="00175598"/>
    <w:rsid w:val="001A27CF"/>
    <w:rsid w:val="001B08A9"/>
    <w:rsid w:val="001B2828"/>
    <w:rsid w:val="001C3D89"/>
    <w:rsid w:val="001C44C1"/>
    <w:rsid w:val="001F2A2F"/>
    <w:rsid w:val="001F446A"/>
    <w:rsid w:val="00206990"/>
    <w:rsid w:val="00211108"/>
    <w:rsid w:val="0023118F"/>
    <w:rsid w:val="00232E1B"/>
    <w:rsid w:val="00235ABC"/>
    <w:rsid w:val="00253A61"/>
    <w:rsid w:val="00264D2F"/>
    <w:rsid w:val="00266CCA"/>
    <w:rsid w:val="00267C3E"/>
    <w:rsid w:val="00271DDD"/>
    <w:rsid w:val="00273868"/>
    <w:rsid w:val="00274EC6"/>
    <w:rsid w:val="00280E34"/>
    <w:rsid w:val="00282CB4"/>
    <w:rsid w:val="00284024"/>
    <w:rsid w:val="002901CF"/>
    <w:rsid w:val="002A6C30"/>
    <w:rsid w:val="002B70DF"/>
    <w:rsid w:val="002C0264"/>
    <w:rsid w:val="002E1D1B"/>
    <w:rsid w:val="002E7ED6"/>
    <w:rsid w:val="002F03F6"/>
    <w:rsid w:val="002F6550"/>
    <w:rsid w:val="0030438B"/>
    <w:rsid w:val="0033587F"/>
    <w:rsid w:val="00351303"/>
    <w:rsid w:val="00365566"/>
    <w:rsid w:val="00371369"/>
    <w:rsid w:val="003868C1"/>
    <w:rsid w:val="003905F5"/>
    <w:rsid w:val="003A6283"/>
    <w:rsid w:val="003A6DE6"/>
    <w:rsid w:val="003B5F9A"/>
    <w:rsid w:val="003D0B49"/>
    <w:rsid w:val="00427D52"/>
    <w:rsid w:val="004311C4"/>
    <w:rsid w:val="00433CBB"/>
    <w:rsid w:val="004342DF"/>
    <w:rsid w:val="00437082"/>
    <w:rsid w:val="00440337"/>
    <w:rsid w:val="00443971"/>
    <w:rsid w:val="00447616"/>
    <w:rsid w:val="004508EF"/>
    <w:rsid w:val="00453CFC"/>
    <w:rsid w:val="00465075"/>
    <w:rsid w:val="00475201"/>
    <w:rsid w:val="004806DD"/>
    <w:rsid w:val="0048426C"/>
    <w:rsid w:val="00484506"/>
    <w:rsid w:val="00486FAB"/>
    <w:rsid w:val="004A47C4"/>
    <w:rsid w:val="004B5224"/>
    <w:rsid w:val="004D1A83"/>
    <w:rsid w:val="004E1B36"/>
    <w:rsid w:val="0050760F"/>
    <w:rsid w:val="00521A50"/>
    <w:rsid w:val="00533A56"/>
    <w:rsid w:val="00541D49"/>
    <w:rsid w:val="005448DC"/>
    <w:rsid w:val="00582D5B"/>
    <w:rsid w:val="0059589E"/>
    <w:rsid w:val="005A4F57"/>
    <w:rsid w:val="005B1003"/>
    <w:rsid w:val="005C65ED"/>
    <w:rsid w:val="005D77E2"/>
    <w:rsid w:val="005E2239"/>
    <w:rsid w:val="00611025"/>
    <w:rsid w:val="00611C18"/>
    <w:rsid w:val="00621F60"/>
    <w:rsid w:val="00631540"/>
    <w:rsid w:val="00633547"/>
    <w:rsid w:val="00637D9F"/>
    <w:rsid w:val="00643BDF"/>
    <w:rsid w:val="00644D9B"/>
    <w:rsid w:val="00654524"/>
    <w:rsid w:val="006600C5"/>
    <w:rsid w:val="00661450"/>
    <w:rsid w:val="00676AAA"/>
    <w:rsid w:val="006B61FC"/>
    <w:rsid w:val="006C2680"/>
    <w:rsid w:val="006D0287"/>
    <w:rsid w:val="006D77C4"/>
    <w:rsid w:val="006E1DF6"/>
    <w:rsid w:val="006E67A0"/>
    <w:rsid w:val="006F4813"/>
    <w:rsid w:val="006F5896"/>
    <w:rsid w:val="0070000B"/>
    <w:rsid w:val="00702A76"/>
    <w:rsid w:val="007146E0"/>
    <w:rsid w:val="00721D0E"/>
    <w:rsid w:val="007345CF"/>
    <w:rsid w:val="007351E4"/>
    <w:rsid w:val="00735C8F"/>
    <w:rsid w:val="00735F12"/>
    <w:rsid w:val="007464E4"/>
    <w:rsid w:val="007713E1"/>
    <w:rsid w:val="00773E86"/>
    <w:rsid w:val="00784F81"/>
    <w:rsid w:val="007866FE"/>
    <w:rsid w:val="00794320"/>
    <w:rsid w:val="007A269F"/>
    <w:rsid w:val="007A3DD0"/>
    <w:rsid w:val="007A4C78"/>
    <w:rsid w:val="007B095F"/>
    <w:rsid w:val="007C44F5"/>
    <w:rsid w:val="007C6095"/>
    <w:rsid w:val="007D06DC"/>
    <w:rsid w:val="007D15F5"/>
    <w:rsid w:val="007D45AF"/>
    <w:rsid w:val="007D70E1"/>
    <w:rsid w:val="007E170F"/>
    <w:rsid w:val="007F108C"/>
    <w:rsid w:val="007F4F5B"/>
    <w:rsid w:val="00805297"/>
    <w:rsid w:val="0081378D"/>
    <w:rsid w:val="0081387B"/>
    <w:rsid w:val="0082481F"/>
    <w:rsid w:val="008264AC"/>
    <w:rsid w:val="00830A96"/>
    <w:rsid w:val="00835992"/>
    <w:rsid w:val="00840786"/>
    <w:rsid w:val="00855FAC"/>
    <w:rsid w:val="00861D86"/>
    <w:rsid w:val="0086334F"/>
    <w:rsid w:val="00864B0D"/>
    <w:rsid w:val="00875088"/>
    <w:rsid w:val="008871CE"/>
    <w:rsid w:val="008A34AA"/>
    <w:rsid w:val="008A78BF"/>
    <w:rsid w:val="008B222D"/>
    <w:rsid w:val="008B3E5A"/>
    <w:rsid w:val="008B511A"/>
    <w:rsid w:val="008B641D"/>
    <w:rsid w:val="008B65E7"/>
    <w:rsid w:val="008B7450"/>
    <w:rsid w:val="008D091F"/>
    <w:rsid w:val="008D7369"/>
    <w:rsid w:val="008E0345"/>
    <w:rsid w:val="008F0D35"/>
    <w:rsid w:val="00920787"/>
    <w:rsid w:val="00921821"/>
    <w:rsid w:val="00927C39"/>
    <w:rsid w:val="009352A8"/>
    <w:rsid w:val="009420DD"/>
    <w:rsid w:val="00953815"/>
    <w:rsid w:val="00964411"/>
    <w:rsid w:val="00974D0B"/>
    <w:rsid w:val="0098401E"/>
    <w:rsid w:val="00992B38"/>
    <w:rsid w:val="009A03BC"/>
    <w:rsid w:val="009A139D"/>
    <w:rsid w:val="009B0230"/>
    <w:rsid w:val="009B6738"/>
    <w:rsid w:val="009C006D"/>
    <w:rsid w:val="009C0C48"/>
    <w:rsid w:val="009C6047"/>
    <w:rsid w:val="00A0162B"/>
    <w:rsid w:val="00A11BF9"/>
    <w:rsid w:val="00A21FB4"/>
    <w:rsid w:val="00A42012"/>
    <w:rsid w:val="00A63B54"/>
    <w:rsid w:val="00A63B90"/>
    <w:rsid w:val="00A745EC"/>
    <w:rsid w:val="00A7725D"/>
    <w:rsid w:val="00A8319D"/>
    <w:rsid w:val="00A84B7A"/>
    <w:rsid w:val="00A91DB9"/>
    <w:rsid w:val="00A92D74"/>
    <w:rsid w:val="00A94999"/>
    <w:rsid w:val="00AB076D"/>
    <w:rsid w:val="00AE03F3"/>
    <w:rsid w:val="00AE0844"/>
    <w:rsid w:val="00AE09AA"/>
    <w:rsid w:val="00AE1356"/>
    <w:rsid w:val="00AF277C"/>
    <w:rsid w:val="00B06F2B"/>
    <w:rsid w:val="00B117D3"/>
    <w:rsid w:val="00B13A82"/>
    <w:rsid w:val="00B14C75"/>
    <w:rsid w:val="00B1731F"/>
    <w:rsid w:val="00B303C9"/>
    <w:rsid w:val="00B362E2"/>
    <w:rsid w:val="00B37A7B"/>
    <w:rsid w:val="00B45615"/>
    <w:rsid w:val="00B53392"/>
    <w:rsid w:val="00B56D89"/>
    <w:rsid w:val="00B57558"/>
    <w:rsid w:val="00B63683"/>
    <w:rsid w:val="00B82D4D"/>
    <w:rsid w:val="00B925EA"/>
    <w:rsid w:val="00BA66AC"/>
    <w:rsid w:val="00BA7785"/>
    <w:rsid w:val="00BB5451"/>
    <w:rsid w:val="00BB6C35"/>
    <w:rsid w:val="00BC17A5"/>
    <w:rsid w:val="00BD250B"/>
    <w:rsid w:val="00BD597E"/>
    <w:rsid w:val="00C059D7"/>
    <w:rsid w:val="00C0797D"/>
    <w:rsid w:val="00C201BE"/>
    <w:rsid w:val="00C21379"/>
    <w:rsid w:val="00C44D5E"/>
    <w:rsid w:val="00C456EB"/>
    <w:rsid w:val="00C5403F"/>
    <w:rsid w:val="00C60388"/>
    <w:rsid w:val="00C81699"/>
    <w:rsid w:val="00C8654B"/>
    <w:rsid w:val="00C94423"/>
    <w:rsid w:val="00C97A13"/>
    <w:rsid w:val="00CC22BE"/>
    <w:rsid w:val="00CC2797"/>
    <w:rsid w:val="00CC4DAB"/>
    <w:rsid w:val="00CE6BB0"/>
    <w:rsid w:val="00D046FE"/>
    <w:rsid w:val="00D14050"/>
    <w:rsid w:val="00D15CD7"/>
    <w:rsid w:val="00D24FE5"/>
    <w:rsid w:val="00D37DF5"/>
    <w:rsid w:val="00D42B00"/>
    <w:rsid w:val="00D53825"/>
    <w:rsid w:val="00D617F0"/>
    <w:rsid w:val="00D70E94"/>
    <w:rsid w:val="00D91433"/>
    <w:rsid w:val="00D9236A"/>
    <w:rsid w:val="00DB19A7"/>
    <w:rsid w:val="00DC4E58"/>
    <w:rsid w:val="00DD1434"/>
    <w:rsid w:val="00DD26E0"/>
    <w:rsid w:val="00DE297B"/>
    <w:rsid w:val="00E11696"/>
    <w:rsid w:val="00E12599"/>
    <w:rsid w:val="00E1481C"/>
    <w:rsid w:val="00E170D6"/>
    <w:rsid w:val="00E44E04"/>
    <w:rsid w:val="00E512BA"/>
    <w:rsid w:val="00E51955"/>
    <w:rsid w:val="00E802A8"/>
    <w:rsid w:val="00E84238"/>
    <w:rsid w:val="00E9665B"/>
    <w:rsid w:val="00EA1494"/>
    <w:rsid w:val="00EA70D3"/>
    <w:rsid w:val="00EB16B4"/>
    <w:rsid w:val="00ED1F0D"/>
    <w:rsid w:val="00ED2ADD"/>
    <w:rsid w:val="00EE26DF"/>
    <w:rsid w:val="00EE44EF"/>
    <w:rsid w:val="00EE6BB7"/>
    <w:rsid w:val="00EF0BCD"/>
    <w:rsid w:val="00F12801"/>
    <w:rsid w:val="00F13B21"/>
    <w:rsid w:val="00F1464C"/>
    <w:rsid w:val="00F330E1"/>
    <w:rsid w:val="00F41F2B"/>
    <w:rsid w:val="00F44D2E"/>
    <w:rsid w:val="00F50F7C"/>
    <w:rsid w:val="00F555F9"/>
    <w:rsid w:val="00F6173A"/>
    <w:rsid w:val="00F66F8E"/>
    <w:rsid w:val="00F67604"/>
    <w:rsid w:val="00F77E7B"/>
    <w:rsid w:val="00F83E82"/>
    <w:rsid w:val="00FA159A"/>
    <w:rsid w:val="00FC02C3"/>
    <w:rsid w:val="00FC2044"/>
    <w:rsid w:val="00FD0E90"/>
    <w:rsid w:val="00FD1425"/>
    <w:rsid w:val="00FD35D9"/>
    <w:rsid w:val="00FD58EB"/>
    <w:rsid w:val="00FD7A63"/>
    <w:rsid w:val="00FF2A4E"/>
    <w:rsid w:val="15CC6517"/>
    <w:rsid w:val="1B4322EC"/>
    <w:rsid w:val="381A7EF1"/>
    <w:rsid w:val="53FD3F7B"/>
    <w:rsid w:val="590D65AA"/>
    <w:rsid w:val="6C707BEC"/>
    <w:rsid w:val="7AD36B9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Body Text Indent" w:semiHidden="0" w:uiPriority="0" w:unhideWhenUsed="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Document Map" w:semiHidden="0"/>
    <w:lsdException w:name="Normal Table" w:semiHidden="0"/>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Times New Roman" w:hAnsi="Times New Roman"/>
      <w:kern w:val="2"/>
      <w:sz w:val="24"/>
      <w:szCs w:val="24"/>
    </w:rPr>
  </w:style>
  <w:style w:type="paragraph" w:styleId="1">
    <w:name w:val="heading 1"/>
    <w:basedOn w:val="a"/>
    <w:next w:val="a"/>
    <w:link w:val="1Char"/>
    <w:qFormat/>
    <w:pPr>
      <w:keepNext/>
      <w:keepLines/>
      <w:ind w:firstLineChars="0" w:firstLine="0"/>
      <w:jc w:val="center"/>
      <w:outlineLvl w:val="0"/>
    </w:pPr>
    <w:rPr>
      <w:b/>
      <w:bCs/>
      <w:color w:val="000000"/>
      <w:kern w:val="44"/>
      <w:sz w:val="32"/>
      <w:szCs w:val="44"/>
    </w:rPr>
  </w:style>
  <w:style w:type="paragraph" w:styleId="2">
    <w:name w:val="heading 2"/>
    <w:basedOn w:val="a"/>
    <w:next w:val="a"/>
    <w:link w:val="2Char"/>
    <w:qFormat/>
    <w:pPr>
      <w:keepNext/>
      <w:keepLines/>
      <w:numPr>
        <w:numId w:val="1"/>
      </w:numPr>
      <w:ind w:firstLineChars="0"/>
      <w:outlineLvl w:val="1"/>
    </w:pPr>
    <w:rPr>
      <w:b/>
      <w:szCs w:val="20"/>
    </w:rPr>
  </w:style>
  <w:style w:type="paragraph" w:styleId="3">
    <w:name w:val="heading 3"/>
    <w:basedOn w:val="a"/>
    <w:next w:val="a"/>
    <w:link w:val="3Char"/>
    <w:qFormat/>
    <w:pPr>
      <w:keepNext/>
      <w:keepLines/>
      <w:ind w:firstLineChars="0" w:firstLine="0"/>
      <w:outlineLvl w:val="2"/>
    </w:pPr>
    <w:rPr>
      <w:b/>
      <w:bCs/>
      <w:szCs w:val="32"/>
    </w:rPr>
  </w:style>
  <w:style w:type="paragraph" w:styleId="4">
    <w:name w:val="heading 4"/>
    <w:basedOn w:val="a"/>
    <w:next w:val="a"/>
    <w:link w:val="4Char"/>
    <w:qFormat/>
    <w:pPr>
      <w:keepNext/>
      <w:keepLines/>
      <w:numPr>
        <w:ilvl w:val="3"/>
        <w:numId w:val="2"/>
      </w:numPr>
      <w:tabs>
        <w:tab w:val="left" w:pos="1080"/>
      </w:tabs>
      <w:spacing w:before="280" w:after="290" w:line="376" w:lineRule="auto"/>
      <w:outlineLvl w:val="3"/>
    </w:pPr>
    <w:rPr>
      <w:rFonts w:ascii="Arial" w:eastAsia="黑体" w:hAnsi="Arial"/>
      <w:b/>
      <w:bCs/>
      <w:kern w:val="0"/>
      <w:sz w:val="28"/>
      <w:szCs w:val="28"/>
    </w:rPr>
  </w:style>
  <w:style w:type="paragraph" w:styleId="5">
    <w:name w:val="heading 5"/>
    <w:basedOn w:val="a"/>
    <w:next w:val="a"/>
    <w:link w:val="5Char"/>
    <w:qFormat/>
    <w:pPr>
      <w:keepNext/>
      <w:keepLines/>
      <w:numPr>
        <w:ilvl w:val="4"/>
        <w:numId w:val="2"/>
      </w:numPr>
      <w:tabs>
        <w:tab w:val="left" w:pos="1440"/>
      </w:tabs>
      <w:spacing w:before="280" w:after="290" w:line="376" w:lineRule="auto"/>
      <w:outlineLvl w:val="4"/>
    </w:pPr>
    <w:rPr>
      <w:b/>
      <w:bCs/>
      <w:kern w:val="0"/>
      <w:sz w:val="28"/>
      <w:szCs w:val="28"/>
    </w:rPr>
  </w:style>
  <w:style w:type="paragraph" w:styleId="6">
    <w:name w:val="heading 6"/>
    <w:basedOn w:val="a"/>
    <w:next w:val="a"/>
    <w:link w:val="6Char"/>
    <w:qFormat/>
    <w:pPr>
      <w:keepNext/>
      <w:keepLines/>
      <w:numPr>
        <w:ilvl w:val="5"/>
        <w:numId w:val="2"/>
      </w:numPr>
      <w:tabs>
        <w:tab w:val="left" w:pos="1800"/>
      </w:tabs>
      <w:spacing w:before="240" w:after="64" w:line="320" w:lineRule="auto"/>
      <w:outlineLvl w:val="5"/>
    </w:pPr>
    <w:rPr>
      <w:rFonts w:ascii="Arial" w:eastAsia="黑体" w:hAnsi="Arial"/>
      <w:b/>
      <w:bCs/>
      <w:kern w:val="0"/>
    </w:rPr>
  </w:style>
  <w:style w:type="paragraph" w:styleId="7">
    <w:name w:val="heading 7"/>
    <w:basedOn w:val="a"/>
    <w:next w:val="a"/>
    <w:link w:val="7Char"/>
    <w:qFormat/>
    <w:pPr>
      <w:keepNext/>
      <w:keepLines/>
      <w:numPr>
        <w:ilvl w:val="6"/>
        <w:numId w:val="2"/>
      </w:numPr>
      <w:tabs>
        <w:tab w:val="left" w:pos="2160"/>
      </w:tabs>
      <w:spacing w:before="240" w:after="64" w:line="320" w:lineRule="auto"/>
      <w:outlineLvl w:val="6"/>
    </w:pPr>
    <w:rPr>
      <w:b/>
      <w:bCs/>
      <w:kern w:val="0"/>
    </w:rPr>
  </w:style>
  <w:style w:type="paragraph" w:styleId="8">
    <w:name w:val="heading 8"/>
    <w:basedOn w:val="a"/>
    <w:next w:val="a"/>
    <w:link w:val="8Char"/>
    <w:qFormat/>
    <w:pPr>
      <w:keepNext/>
      <w:keepLines/>
      <w:numPr>
        <w:ilvl w:val="7"/>
        <w:numId w:val="2"/>
      </w:numPr>
      <w:tabs>
        <w:tab w:val="left" w:pos="2520"/>
      </w:tabs>
      <w:spacing w:before="240" w:after="64" w:line="320" w:lineRule="auto"/>
      <w:outlineLvl w:val="7"/>
    </w:pPr>
    <w:rPr>
      <w:rFonts w:ascii="Arial" w:eastAsia="黑体" w:hAnsi="Arial"/>
      <w:kern w:val="0"/>
    </w:rPr>
  </w:style>
  <w:style w:type="paragraph" w:styleId="9">
    <w:name w:val="heading 9"/>
    <w:basedOn w:val="a"/>
    <w:next w:val="a"/>
    <w:link w:val="9Char"/>
    <w:qFormat/>
    <w:pPr>
      <w:keepNext/>
      <w:keepLines/>
      <w:numPr>
        <w:ilvl w:val="8"/>
        <w:numId w:val="2"/>
      </w:numPr>
      <w:tabs>
        <w:tab w:val="left" w:pos="2880"/>
      </w:tabs>
      <w:spacing w:before="240" w:after="64" w:line="320" w:lineRule="auto"/>
      <w:outlineLvl w:val="8"/>
    </w:pPr>
    <w:rPr>
      <w:rFonts w:ascii="Arial" w:eastAsia="黑体" w:hAnsi="Arial"/>
      <w:kern w:val="0"/>
      <w:sz w:val="20"/>
      <w:szCs w:val="21"/>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Pr>
      <w:rFonts w:ascii="Times New Roman" w:hAnsi="Times New Roman"/>
      <w:b/>
      <w:bCs/>
      <w:color w:val="000000"/>
      <w:kern w:val="44"/>
      <w:sz w:val="32"/>
      <w:szCs w:val="44"/>
    </w:rPr>
  </w:style>
  <w:style w:type="character" w:customStyle="1" w:styleId="2Char">
    <w:name w:val="标题 2 Char"/>
    <w:link w:val="2"/>
    <w:rPr>
      <w:rFonts w:ascii="Times New Roman" w:hAnsi="Times New Roman"/>
      <w:b/>
      <w:kern w:val="2"/>
      <w:sz w:val="24"/>
    </w:rPr>
  </w:style>
  <w:style w:type="character" w:customStyle="1" w:styleId="3Char">
    <w:name w:val="标题 3 Char"/>
    <w:link w:val="3"/>
    <w:rPr>
      <w:rFonts w:ascii="Times New Roman" w:hAnsi="Times New Roman"/>
      <w:b/>
      <w:bCs/>
      <w:kern w:val="2"/>
      <w:sz w:val="24"/>
      <w:szCs w:val="32"/>
    </w:rPr>
  </w:style>
  <w:style w:type="character" w:customStyle="1" w:styleId="4Char">
    <w:name w:val="标题 4 Char"/>
    <w:link w:val="4"/>
    <w:rPr>
      <w:rFonts w:ascii="Arial" w:eastAsia="黑体" w:hAnsi="Arial" w:cs="Times New Roman"/>
      <w:b/>
      <w:bCs/>
      <w:sz w:val="28"/>
      <w:szCs w:val="28"/>
    </w:rPr>
  </w:style>
  <w:style w:type="character" w:customStyle="1" w:styleId="5Char">
    <w:name w:val="标题 5 Char"/>
    <w:link w:val="5"/>
    <w:rPr>
      <w:rFonts w:ascii="Times New Roman" w:eastAsia="宋体" w:hAnsi="Times New Roman" w:cs="Times New Roman"/>
      <w:b/>
      <w:bCs/>
      <w:sz w:val="28"/>
      <w:szCs w:val="28"/>
    </w:rPr>
  </w:style>
  <w:style w:type="character" w:customStyle="1" w:styleId="6Char">
    <w:name w:val="标题 6 Char"/>
    <w:link w:val="6"/>
    <w:rPr>
      <w:rFonts w:ascii="Arial" w:eastAsia="黑体" w:hAnsi="Arial" w:cs="Times New Roman"/>
      <w:b/>
      <w:bCs/>
      <w:sz w:val="24"/>
      <w:szCs w:val="24"/>
    </w:rPr>
  </w:style>
  <w:style w:type="character" w:customStyle="1" w:styleId="7Char">
    <w:name w:val="标题 7 Char"/>
    <w:link w:val="7"/>
    <w:rPr>
      <w:rFonts w:ascii="Times New Roman" w:eastAsia="宋体" w:hAnsi="Times New Roman" w:cs="Times New Roman"/>
      <w:b/>
      <w:bCs/>
      <w:sz w:val="24"/>
      <w:szCs w:val="24"/>
    </w:rPr>
  </w:style>
  <w:style w:type="character" w:customStyle="1" w:styleId="8Char">
    <w:name w:val="标题 8 Char"/>
    <w:link w:val="8"/>
    <w:rPr>
      <w:rFonts w:ascii="Arial" w:eastAsia="黑体" w:hAnsi="Arial" w:cs="Times New Roman"/>
      <w:sz w:val="24"/>
      <w:szCs w:val="24"/>
    </w:rPr>
  </w:style>
  <w:style w:type="character" w:customStyle="1" w:styleId="9Char">
    <w:name w:val="标题 9 Char"/>
    <w:link w:val="9"/>
    <w:rPr>
      <w:rFonts w:ascii="Arial" w:eastAsia="黑体" w:hAnsi="Arial" w:cs="Times New Roman"/>
      <w:szCs w:val="21"/>
    </w:rPr>
  </w:style>
  <w:style w:type="paragraph" w:styleId="a3">
    <w:name w:val="Document Map"/>
    <w:basedOn w:val="a"/>
    <w:link w:val="Char"/>
    <w:uiPriority w:val="99"/>
    <w:unhideWhenUsed/>
    <w:rPr>
      <w:rFonts w:ascii="宋体"/>
      <w:sz w:val="18"/>
      <w:szCs w:val="18"/>
    </w:rPr>
  </w:style>
  <w:style w:type="character" w:customStyle="1" w:styleId="Char">
    <w:name w:val="文档结构图 Char"/>
    <w:link w:val="a3"/>
    <w:uiPriority w:val="99"/>
    <w:semiHidden/>
    <w:rPr>
      <w:rFonts w:ascii="宋体" w:hAnsi="Times New Roman"/>
      <w:kern w:val="2"/>
      <w:sz w:val="18"/>
      <w:szCs w:val="18"/>
    </w:rPr>
  </w:style>
  <w:style w:type="paragraph" w:styleId="a4">
    <w:name w:val="annotation text"/>
    <w:basedOn w:val="a"/>
    <w:link w:val="Char0"/>
    <w:uiPriority w:val="99"/>
    <w:unhideWhenUsed/>
    <w:pPr>
      <w:jc w:val="left"/>
    </w:pPr>
  </w:style>
  <w:style w:type="character" w:customStyle="1" w:styleId="Char0">
    <w:name w:val="批注文字 Char"/>
    <w:link w:val="a4"/>
    <w:uiPriority w:val="99"/>
    <w:semiHidden/>
    <w:rPr>
      <w:rFonts w:ascii="Times New Roman" w:hAnsi="Times New Roman"/>
      <w:kern w:val="2"/>
      <w:sz w:val="24"/>
      <w:szCs w:val="24"/>
    </w:rPr>
  </w:style>
  <w:style w:type="paragraph" w:styleId="a5">
    <w:name w:val="Body Text Indent"/>
    <w:basedOn w:val="a"/>
    <w:link w:val="Char1"/>
    <w:pPr>
      <w:autoSpaceDE w:val="0"/>
      <w:autoSpaceDN w:val="0"/>
      <w:adjustRightInd w:val="0"/>
      <w:spacing w:after="120" w:line="440" w:lineRule="atLeast"/>
      <w:ind w:firstLine="539"/>
    </w:pPr>
    <w:rPr>
      <w:rFonts w:ascii="宋体"/>
      <w:kern w:val="0"/>
      <w:szCs w:val="20"/>
    </w:rPr>
  </w:style>
  <w:style w:type="character" w:customStyle="1" w:styleId="Char1">
    <w:name w:val="正文文本缩进 Char"/>
    <w:link w:val="a5"/>
    <w:rPr>
      <w:rFonts w:ascii="宋体" w:eastAsia="宋体" w:hAnsi="Times New Roman" w:cs="Times New Roman"/>
      <w:kern w:val="0"/>
      <w:sz w:val="24"/>
      <w:szCs w:val="20"/>
    </w:rPr>
  </w:style>
  <w:style w:type="paragraph" w:styleId="a6">
    <w:name w:val="Balloon Text"/>
    <w:basedOn w:val="a"/>
    <w:link w:val="Char2"/>
    <w:uiPriority w:val="99"/>
    <w:unhideWhenUsed/>
    <w:pPr>
      <w:spacing w:line="240" w:lineRule="auto"/>
    </w:pPr>
    <w:rPr>
      <w:sz w:val="18"/>
      <w:szCs w:val="18"/>
    </w:rPr>
  </w:style>
  <w:style w:type="character" w:customStyle="1" w:styleId="Char2">
    <w:name w:val="批注框文本 Char"/>
    <w:link w:val="a6"/>
    <w:uiPriority w:val="99"/>
    <w:semiHidden/>
    <w:rPr>
      <w:rFonts w:ascii="Times New Roman" w:hAnsi="Times New Roman"/>
      <w:kern w:val="2"/>
      <w:sz w:val="18"/>
      <w:szCs w:val="18"/>
    </w:rPr>
  </w:style>
  <w:style w:type="paragraph" w:styleId="a7">
    <w:name w:val="footer"/>
    <w:basedOn w:val="a"/>
    <w:link w:val="Char3"/>
    <w:uiPriority w:val="99"/>
    <w:unhideWhenUsed/>
    <w:pPr>
      <w:tabs>
        <w:tab w:val="center" w:pos="4153"/>
        <w:tab w:val="right" w:pos="8306"/>
      </w:tabs>
      <w:snapToGrid w:val="0"/>
      <w:jc w:val="left"/>
    </w:pPr>
    <w:rPr>
      <w:kern w:val="0"/>
      <w:sz w:val="18"/>
      <w:szCs w:val="18"/>
    </w:rPr>
  </w:style>
  <w:style w:type="character" w:customStyle="1" w:styleId="Char3">
    <w:name w:val="页脚 Char"/>
    <w:link w:val="a7"/>
    <w:uiPriority w:val="99"/>
    <w:semiHidden/>
    <w:rPr>
      <w:rFonts w:ascii="Times New Roman" w:eastAsia="宋体" w:hAnsi="Times New Roman" w:cs="Times New Roman"/>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kern w:val="0"/>
      <w:sz w:val="18"/>
      <w:szCs w:val="18"/>
    </w:rPr>
  </w:style>
  <w:style w:type="character" w:customStyle="1" w:styleId="Char4">
    <w:name w:val="页眉 Char"/>
    <w:link w:val="a8"/>
    <w:uiPriority w:val="99"/>
    <w:semiHidden/>
    <w:rPr>
      <w:rFonts w:ascii="Times New Roman" w:eastAsia="宋体" w:hAnsi="Times New Roman" w:cs="Times New Roman"/>
      <w:sz w:val="18"/>
      <w:szCs w:val="18"/>
    </w:rPr>
  </w:style>
  <w:style w:type="paragraph" w:styleId="a9">
    <w:name w:val="annotation subject"/>
    <w:basedOn w:val="a4"/>
    <w:next w:val="a4"/>
    <w:link w:val="Char5"/>
    <w:uiPriority w:val="99"/>
    <w:unhideWhenUsed/>
    <w:rPr>
      <w:b/>
      <w:bCs/>
    </w:rPr>
  </w:style>
  <w:style w:type="character" w:customStyle="1" w:styleId="Char5">
    <w:name w:val="批注主题 Char"/>
    <w:link w:val="a9"/>
    <w:uiPriority w:val="99"/>
    <w:semiHidden/>
    <w:rPr>
      <w:rFonts w:ascii="Times New Roman" w:hAnsi="Times New Roman"/>
      <w:b/>
      <w:bCs/>
      <w:kern w:val="2"/>
      <w:sz w:val="24"/>
      <w:szCs w:val="24"/>
    </w:rPr>
  </w:style>
  <w:style w:type="character" w:styleId="aa">
    <w:name w:val="Strong"/>
    <w:uiPriority w:val="22"/>
    <w:qFormat/>
    <w:rPr>
      <w:b/>
      <w:bCs/>
    </w:rPr>
  </w:style>
  <w:style w:type="character" w:styleId="ab">
    <w:name w:val="Hyperlink"/>
    <w:uiPriority w:val="99"/>
    <w:rPr>
      <w:color w:val="0000FF"/>
      <w:u w:val="single"/>
    </w:rPr>
  </w:style>
  <w:style w:type="character" w:styleId="ac">
    <w:name w:val="annotation reference"/>
    <w:uiPriority w:val="99"/>
    <w:unhideWhenUsed/>
    <w:rPr>
      <w:sz w:val="21"/>
      <w:szCs w:val="21"/>
    </w:rPr>
  </w:style>
  <w:style w:type="paragraph" w:customStyle="1" w:styleId="Default">
    <w:name w:val="Default"/>
    <w:pPr>
      <w:widowControl w:val="0"/>
      <w:autoSpaceDE w:val="0"/>
      <w:autoSpaceDN w:val="0"/>
      <w:adjustRightInd w:val="0"/>
    </w:pPr>
    <w:rPr>
      <w:rFonts w:ascii="宋体" w:hAnsi="Times New Roman" w:cs="宋体"/>
      <w:color w:val="000000"/>
      <w:sz w:val="24"/>
      <w:szCs w:val="24"/>
    </w:rPr>
  </w:style>
  <w:style w:type="character" w:customStyle="1" w:styleId="apple-converted-space">
    <w:name w:val="apple-converted-space"/>
  </w:style>
  <w:style w:type="paragraph" w:customStyle="1" w:styleId="ad">
    <w:name w:val="合同正文"/>
    <w:basedOn w:val="a"/>
    <w:link w:val="Char6"/>
    <w:qFormat/>
    <w:rPr>
      <w:bCs/>
      <w:szCs w:val="20"/>
    </w:rPr>
  </w:style>
  <w:style w:type="character" w:customStyle="1" w:styleId="Char6">
    <w:name w:val="合同正文 Char"/>
    <w:link w:val="ad"/>
    <w:rPr>
      <w:rFonts w:ascii="Times New Roman" w:hAnsi="Times New Roman"/>
      <w:bCs/>
      <w:kern w:val="2"/>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ochen\Desktop\&#20844;&#21578;&#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公告模板.dotx</Template>
  <TotalTime>0</TotalTime>
  <Pages>4</Pages>
  <Words>805</Words>
  <Characters>4595</Characters>
  <Application>Microsoft Office Word</Application>
  <DocSecurity>4</DocSecurity>
  <Lines>38</Lines>
  <Paragraphs>10</Paragraphs>
  <ScaleCrop>false</ScaleCrop>
  <Company/>
  <LinksUpToDate>false</LinksUpToDate>
  <CharactersWithSpaces>5390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富国基金</dc:creator>
  <cp:keywords/>
  <cp:lastModifiedBy>ZHONGM</cp:lastModifiedBy>
  <cp:revision>2</cp:revision>
  <dcterms:created xsi:type="dcterms:W3CDTF">2025-11-26T16:02:00Z</dcterms:created>
  <dcterms:modified xsi:type="dcterms:W3CDTF">2025-11-26T16:02:00Z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1E1FBC5110B942D58298BA994146DEF4_13</vt:lpwstr>
  </property>
</Properties>
</file>