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D25A3">
      <w:pPr>
        <w:tabs>
          <w:tab w:val="right" w:leader="dot" w:pos="9080"/>
        </w:tabs>
        <w:jc w:val="center"/>
        <w:rPr>
          <w:rFonts w:ascii="宋体" w:hAnsi="宋体" w:cs="宋体"/>
          <w:b/>
          <w:bCs/>
          <w:sz w:val="28"/>
          <w:szCs w:val="28"/>
        </w:rPr>
      </w:pPr>
      <w:r>
        <w:rPr>
          <w:rFonts w:ascii="宋体" w:hAnsi="宋体" w:cs="宋体" w:hint="eastAsia"/>
          <w:b/>
          <w:bCs/>
          <w:sz w:val="28"/>
          <w:szCs w:val="28"/>
        </w:rPr>
        <w:t>渤海汇金兴荣一年定期开放债券型发起式证券投资基金分红公告</w:t>
      </w:r>
    </w:p>
    <w:p w:rsidR="00000000" w:rsidRDefault="009D25A3">
      <w:pPr>
        <w:jc w:val="center"/>
        <w:rPr>
          <w:rFonts w:ascii="宋体" w:hAnsi="宋体"/>
          <w:sz w:val="24"/>
          <w:szCs w:val="24"/>
        </w:rPr>
      </w:pPr>
      <w:r>
        <w:rPr>
          <w:rFonts w:ascii="宋体" w:hAnsi="宋体" w:cs="宋体" w:hint="eastAsia"/>
          <w:sz w:val="24"/>
          <w:szCs w:val="24"/>
        </w:rPr>
        <w:t>公告送出日期</w:t>
      </w:r>
      <w:r>
        <w:rPr>
          <w:rFonts w:ascii="宋体" w:hAnsi="宋体" w:cs="宋体" w:hint="eastAsia"/>
          <w:sz w:val="24"/>
          <w:szCs w:val="24"/>
        </w:rPr>
        <w:t>:</w:t>
      </w:r>
      <w:r>
        <w:rPr>
          <w:rFonts w:ascii="宋体" w:hAnsi="宋体" w:cs="宋体"/>
          <w:sz w:val="24"/>
        </w:rPr>
        <w:t>2025</w:t>
      </w:r>
      <w:r>
        <w:rPr>
          <w:rFonts w:ascii="宋体" w:hAnsi="宋体" w:cs="宋体"/>
          <w:sz w:val="24"/>
        </w:rPr>
        <w:t>年</w:t>
      </w:r>
      <w:r>
        <w:rPr>
          <w:rFonts w:ascii="宋体" w:hAnsi="宋体" w:cs="宋体"/>
          <w:sz w:val="24"/>
        </w:rPr>
        <w:t>11</w:t>
      </w:r>
      <w:r>
        <w:rPr>
          <w:rFonts w:ascii="宋体" w:hAnsi="宋体" w:cs="宋体"/>
          <w:sz w:val="24"/>
        </w:rPr>
        <w:t>月</w:t>
      </w:r>
      <w:r>
        <w:rPr>
          <w:rFonts w:ascii="宋体" w:hAnsi="宋体" w:cs="宋体"/>
          <w:sz w:val="24"/>
        </w:rPr>
        <w:t>27</w:t>
      </w:r>
      <w:r>
        <w:rPr>
          <w:rFonts w:ascii="宋体" w:hAnsi="宋体" w:cs="宋体"/>
          <w:sz w:val="24"/>
        </w:rPr>
        <w:t>日</w:t>
      </w:r>
    </w:p>
    <w:p w:rsidR="00000000" w:rsidRDefault="009D25A3"/>
    <w:p w:rsidR="00000000" w:rsidRDefault="009D25A3">
      <w:pPr>
        <w:pStyle w:val="2"/>
      </w:pPr>
      <w:r>
        <w:rPr>
          <w:rFonts w:ascii="宋体" w:hAnsi="宋体" w:cs="宋体"/>
        </w:rPr>
        <w:t xml:space="preserve">1 </w:t>
      </w:r>
      <w:r>
        <w:rPr>
          <w:rFonts w:ascii="宋体" w:hAnsi="宋体" w:cs="宋体"/>
        </w:rPr>
        <w:t>公告基本信息</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8"/>
        <w:gridCol w:w="2143"/>
        <w:gridCol w:w="5715"/>
      </w:tblGrid>
      <w:tr w:rsidR="00000000">
        <w:tc>
          <w:tcPr>
            <w:tcW w:w="1923" w:type="pct"/>
            <w:gridSpan w:val="2"/>
            <w:vAlign w:val="center"/>
          </w:tcPr>
          <w:p w:rsidR="00000000" w:rsidRDefault="009D25A3">
            <w:pPr>
              <w:spacing w:line="240" w:lineRule="auto"/>
              <w:jc w:val="left"/>
            </w:pPr>
            <w:r>
              <w:rPr>
                <w:rFonts w:ascii="宋体" w:hAnsi="宋体" w:cs="宋体"/>
              </w:rPr>
              <w:t>基金名称</w:t>
            </w:r>
          </w:p>
        </w:tc>
        <w:tc>
          <w:tcPr>
            <w:tcW w:w="3077" w:type="pct"/>
            <w:vAlign w:val="center"/>
          </w:tcPr>
          <w:p w:rsidR="00000000" w:rsidRDefault="009D25A3">
            <w:pPr>
              <w:spacing w:line="240" w:lineRule="auto"/>
              <w:jc w:val="left"/>
            </w:pPr>
            <w:r>
              <w:rPr>
                <w:rFonts w:ascii="宋体" w:hAnsi="宋体" w:cs="宋体"/>
              </w:rPr>
              <w:t>渤海汇金兴荣一年定期开放债券型发起式证券投资基金</w:t>
            </w:r>
          </w:p>
        </w:tc>
      </w:tr>
      <w:tr w:rsidR="00000000">
        <w:tc>
          <w:tcPr>
            <w:tcW w:w="0" w:type="dxa"/>
            <w:gridSpan w:val="2"/>
            <w:vAlign w:val="center"/>
          </w:tcPr>
          <w:p w:rsidR="00000000" w:rsidRDefault="009D25A3">
            <w:pPr>
              <w:spacing w:line="240" w:lineRule="auto"/>
              <w:jc w:val="left"/>
            </w:pPr>
            <w:r>
              <w:rPr>
                <w:rFonts w:ascii="宋体" w:hAnsi="宋体" w:cs="宋体"/>
              </w:rPr>
              <w:t>基金简称</w:t>
            </w:r>
          </w:p>
        </w:tc>
        <w:tc>
          <w:tcPr>
            <w:tcW w:w="0" w:type="dxa"/>
            <w:vAlign w:val="center"/>
          </w:tcPr>
          <w:p w:rsidR="00000000" w:rsidRDefault="009D25A3">
            <w:pPr>
              <w:spacing w:line="240" w:lineRule="auto"/>
              <w:jc w:val="left"/>
            </w:pPr>
            <w:r>
              <w:rPr>
                <w:rFonts w:ascii="宋体" w:hAnsi="宋体" w:cs="宋体"/>
              </w:rPr>
              <w:t>渤海汇金兴荣一年定期开放债券</w:t>
            </w:r>
          </w:p>
        </w:tc>
      </w:tr>
      <w:tr w:rsidR="00000000">
        <w:tc>
          <w:tcPr>
            <w:tcW w:w="0" w:type="dxa"/>
            <w:gridSpan w:val="2"/>
            <w:vAlign w:val="center"/>
          </w:tcPr>
          <w:p w:rsidR="00000000" w:rsidRDefault="009D25A3">
            <w:pPr>
              <w:spacing w:line="240" w:lineRule="auto"/>
              <w:jc w:val="left"/>
            </w:pPr>
            <w:r>
              <w:rPr>
                <w:rFonts w:ascii="宋体" w:hAnsi="宋体" w:cs="宋体"/>
              </w:rPr>
              <w:t>基金主代码</w:t>
            </w:r>
          </w:p>
        </w:tc>
        <w:tc>
          <w:tcPr>
            <w:tcW w:w="0" w:type="dxa"/>
            <w:vAlign w:val="center"/>
          </w:tcPr>
          <w:p w:rsidR="00000000" w:rsidRDefault="009D25A3">
            <w:pPr>
              <w:spacing w:line="240" w:lineRule="auto"/>
              <w:jc w:val="left"/>
            </w:pPr>
            <w:r>
              <w:rPr>
                <w:rFonts w:ascii="宋体" w:hAnsi="宋体" w:cs="宋体"/>
              </w:rPr>
              <w:t>010848</w:t>
            </w:r>
          </w:p>
        </w:tc>
      </w:tr>
      <w:tr w:rsidR="00000000">
        <w:tc>
          <w:tcPr>
            <w:tcW w:w="0" w:type="dxa"/>
            <w:gridSpan w:val="2"/>
            <w:vAlign w:val="center"/>
          </w:tcPr>
          <w:p w:rsidR="00000000" w:rsidRDefault="009D25A3">
            <w:pPr>
              <w:spacing w:line="240" w:lineRule="auto"/>
              <w:jc w:val="left"/>
            </w:pPr>
            <w:r>
              <w:rPr>
                <w:rFonts w:ascii="宋体" w:hAnsi="宋体" w:cs="宋体"/>
              </w:rPr>
              <w:t>基金合同生效日</w:t>
            </w:r>
          </w:p>
        </w:tc>
        <w:tc>
          <w:tcPr>
            <w:tcW w:w="0" w:type="dxa"/>
            <w:vAlign w:val="center"/>
          </w:tcPr>
          <w:p w:rsidR="00000000" w:rsidRDefault="009D25A3">
            <w:pPr>
              <w:spacing w:line="240" w:lineRule="auto"/>
              <w:jc w:val="left"/>
            </w:pPr>
            <w:r>
              <w:rPr>
                <w:rFonts w:ascii="宋体" w:hAnsi="宋体" w:cs="宋体"/>
              </w:rPr>
              <w:t>2021</w:t>
            </w:r>
            <w:r>
              <w:rPr>
                <w:rFonts w:ascii="宋体" w:hAnsi="宋体" w:cs="宋体"/>
              </w:rPr>
              <w:t>年</w:t>
            </w:r>
            <w:r>
              <w:rPr>
                <w:rFonts w:ascii="宋体" w:hAnsi="宋体" w:cs="宋体"/>
              </w:rPr>
              <w:t>08</w:t>
            </w:r>
            <w:r>
              <w:rPr>
                <w:rFonts w:ascii="宋体" w:hAnsi="宋体" w:cs="宋体"/>
              </w:rPr>
              <w:t>月</w:t>
            </w:r>
            <w:r>
              <w:rPr>
                <w:rFonts w:ascii="宋体" w:hAnsi="宋体" w:cs="宋体"/>
              </w:rPr>
              <w:t>10</w:t>
            </w:r>
            <w:r>
              <w:rPr>
                <w:rFonts w:ascii="宋体" w:hAnsi="宋体" w:cs="宋体"/>
              </w:rPr>
              <w:t>日</w:t>
            </w:r>
          </w:p>
        </w:tc>
      </w:tr>
      <w:tr w:rsidR="00000000">
        <w:tc>
          <w:tcPr>
            <w:tcW w:w="0" w:type="dxa"/>
            <w:gridSpan w:val="2"/>
            <w:vAlign w:val="center"/>
          </w:tcPr>
          <w:p w:rsidR="00000000" w:rsidRDefault="009D25A3">
            <w:pPr>
              <w:spacing w:line="240" w:lineRule="auto"/>
              <w:jc w:val="left"/>
            </w:pPr>
            <w:r>
              <w:rPr>
                <w:rFonts w:ascii="宋体" w:hAnsi="宋体" w:cs="宋体"/>
              </w:rPr>
              <w:t>基金管理人名称</w:t>
            </w:r>
          </w:p>
        </w:tc>
        <w:tc>
          <w:tcPr>
            <w:tcW w:w="0" w:type="dxa"/>
            <w:vAlign w:val="center"/>
          </w:tcPr>
          <w:p w:rsidR="00000000" w:rsidRDefault="009D25A3">
            <w:pPr>
              <w:spacing w:line="240" w:lineRule="auto"/>
              <w:jc w:val="left"/>
            </w:pPr>
            <w:r>
              <w:rPr>
                <w:rFonts w:ascii="宋体" w:hAnsi="宋体" w:cs="宋体"/>
              </w:rPr>
              <w:t>渤海汇金证券资产管理有限公司</w:t>
            </w:r>
          </w:p>
        </w:tc>
      </w:tr>
      <w:tr w:rsidR="00000000">
        <w:tc>
          <w:tcPr>
            <w:tcW w:w="0" w:type="dxa"/>
            <w:gridSpan w:val="2"/>
            <w:vAlign w:val="center"/>
          </w:tcPr>
          <w:p w:rsidR="00000000" w:rsidRDefault="009D25A3">
            <w:pPr>
              <w:spacing w:line="240" w:lineRule="auto"/>
              <w:jc w:val="left"/>
            </w:pPr>
            <w:r>
              <w:rPr>
                <w:rFonts w:ascii="宋体" w:hAnsi="宋体" w:cs="宋体"/>
              </w:rPr>
              <w:t>基金托管人名称</w:t>
            </w:r>
          </w:p>
        </w:tc>
        <w:tc>
          <w:tcPr>
            <w:tcW w:w="0" w:type="dxa"/>
            <w:vAlign w:val="center"/>
          </w:tcPr>
          <w:p w:rsidR="00000000" w:rsidRDefault="009D25A3">
            <w:pPr>
              <w:spacing w:line="240" w:lineRule="auto"/>
              <w:jc w:val="left"/>
            </w:pPr>
            <w:r>
              <w:rPr>
                <w:rFonts w:ascii="宋体" w:hAnsi="宋体" w:cs="宋体"/>
              </w:rPr>
              <w:t>兴业银行股份有限公司</w:t>
            </w:r>
          </w:p>
        </w:tc>
      </w:tr>
      <w:tr w:rsidR="00000000">
        <w:tc>
          <w:tcPr>
            <w:tcW w:w="0" w:type="dxa"/>
            <w:gridSpan w:val="2"/>
            <w:vAlign w:val="center"/>
          </w:tcPr>
          <w:p w:rsidR="00000000" w:rsidRDefault="009D25A3">
            <w:pPr>
              <w:spacing w:line="240" w:lineRule="auto"/>
              <w:jc w:val="left"/>
            </w:pPr>
            <w:r>
              <w:rPr>
                <w:rFonts w:ascii="宋体" w:hAnsi="宋体" w:cs="宋体"/>
              </w:rPr>
              <w:t>公告依据</w:t>
            </w:r>
          </w:p>
        </w:tc>
        <w:tc>
          <w:tcPr>
            <w:tcW w:w="0" w:type="dxa"/>
            <w:vAlign w:val="center"/>
          </w:tcPr>
          <w:p w:rsidR="00000000" w:rsidRDefault="009D25A3">
            <w:pPr>
              <w:spacing w:line="240" w:lineRule="auto"/>
              <w:jc w:val="left"/>
            </w:pPr>
            <w:r>
              <w:rPr>
                <w:rFonts w:ascii="宋体" w:hAnsi="宋体" w:cs="宋体"/>
              </w:rPr>
              <w:t>《中华人民共和国证券投资基金法》、《公开募集证券投资基金运作管理办法》等法律法规以及《渤海汇金兴荣一年定期开放债券型发起式证</w:t>
            </w:r>
            <w:r>
              <w:rPr>
                <w:rFonts w:ascii="宋体" w:hAnsi="宋体" w:cs="宋体"/>
              </w:rPr>
              <w:t>券投资基金基金合同》、《渤海汇金兴荣一年定期开放债券型发起式证券投资基金招募说明书》</w:t>
            </w:r>
          </w:p>
        </w:tc>
      </w:tr>
      <w:tr w:rsidR="00000000">
        <w:tc>
          <w:tcPr>
            <w:tcW w:w="0" w:type="dxa"/>
            <w:gridSpan w:val="2"/>
            <w:vAlign w:val="center"/>
          </w:tcPr>
          <w:p w:rsidR="00000000" w:rsidRDefault="009D25A3">
            <w:pPr>
              <w:spacing w:line="240" w:lineRule="auto"/>
              <w:jc w:val="left"/>
            </w:pPr>
            <w:r>
              <w:rPr>
                <w:rFonts w:ascii="宋体" w:hAnsi="宋体" w:cs="宋体"/>
              </w:rPr>
              <w:t>收益分配基准日</w:t>
            </w:r>
          </w:p>
        </w:tc>
        <w:tc>
          <w:tcPr>
            <w:tcW w:w="0" w:type="dxa"/>
            <w:vAlign w:val="center"/>
          </w:tcPr>
          <w:p w:rsidR="00000000" w:rsidRDefault="009D25A3">
            <w:pPr>
              <w:spacing w:line="240" w:lineRule="auto"/>
              <w:jc w:val="left"/>
            </w:pP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21</w:t>
            </w:r>
            <w:r>
              <w:rPr>
                <w:rFonts w:ascii="宋体" w:hAnsi="宋体" w:cs="宋体"/>
              </w:rPr>
              <w:t>日</w:t>
            </w:r>
          </w:p>
        </w:tc>
      </w:tr>
      <w:tr w:rsidR="00000000">
        <w:tc>
          <w:tcPr>
            <w:tcW w:w="769" w:type="pct"/>
            <w:vMerge w:val="restart"/>
            <w:vAlign w:val="center"/>
          </w:tcPr>
          <w:p w:rsidR="00000000" w:rsidRDefault="009D25A3">
            <w:pPr>
              <w:spacing w:line="240" w:lineRule="auto"/>
              <w:jc w:val="left"/>
            </w:pPr>
            <w:r>
              <w:rPr>
                <w:rFonts w:ascii="宋体" w:hAnsi="宋体" w:cs="宋体"/>
              </w:rPr>
              <w:t>截止收益分配基准日的相关指标</w:t>
            </w:r>
          </w:p>
        </w:tc>
        <w:tc>
          <w:tcPr>
            <w:tcW w:w="1154" w:type="pct"/>
            <w:vAlign w:val="center"/>
          </w:tcPr>
          <w:p w:rsidR="00000000" w:rsidRDefault="009D25A3">
            <w:pPr>
              <w:spacing w:line="240" w:lineRule="auto"/>
              <w:jc w:val="left"/>
            </w:pPr>
            <w:r>
              <w:rPr>
                <w:rFonts w:ascii="宋体" w:hAnsi="宋体" w:cs="宋体"/>
              </w:rPr>
              <w:t>基准日基金份额净值（单位</w:t>
            </w:r>
            <w:r>
              <w:rPr>
                <w:rFonts w:ascii="宋体" w:hAnsi="宋体" w:cs="宋体"/>
              </w:rPr>
              <w:t>:</w:t>
            </w:r>
            <w:r>
              <w:rPr>
                <w:rFonts w:ascii="宋体" w:hAnsi="宋体" w:cs="宋体"/>
              </w:rPr>
              <w:t>人民币元）</w:t>
            </w:r>
          </w:p>
        </w:tc>
        <w:tc>
          <w:tcPr>
            <w:tcW w:w="0" w:type="dxa"/>
            <w:vAlign w:val="center"/>
          </w:tcPr>
          <w:p w:rsidR="00000000" w:rsidRDefault="009D25A3">
            <w:pPr>
              <w:spacing w:line="240" w:lineRule="auto"/>
              <w:jc w:val="left"/>
            </w:pPr>
            <w:r>
              <w:rPr>
                <w:rFonts w:ascii="宋体" w:hAnsi="宋体" w:cs="宋体"/>
              </w:rPr>
              <w:t>1.0459</w:t>
            </w:r>
          </w:p>
        </w:tc>
      </w:tr>
      <w:tr w:rsidR="00000000">
        <w:tc>
          <w:tcPr>
            <w:tcW w:w="1428" w:type="dxa"/>
            <w:vMerge/>
          </w:tcPr>
          <w:p w:rsidR="00000000" w:rsidRDefault="009D25A3"/>
        </w:tc>
        <w:tc>
          <w:tcPr>
            <w:tcW w:w="0" w:type="dxa"/>
            <w:vAlign w:val="center"/>
          </w:tcPr>
          <w:p w:rsidR="00000000" w:rsidRDefault="009D25A3">
            <w:pPr>
              <w:spacing w:line="240" w:lineRule="auto"/>
              <w:jc w:val="left"/>
            </w:pPr>
            <w:r>
              <w:rPr>
                <w:rFonts w:ascii="宋体" w:hAnsi="宋体" w:cs="宋体"/>
              </w:rPr>
              <w:t>基准日基金可供分配利润（单位</w:t>
            </w:r>
            <w:r>
              <w:rPr>
                <w:rFonts w:ascii="宋体" w:hAnsi="宋体" w:cs="宋体"/>
              </w:rPr>
              <w:t>:</w:t>
            </w:r>
            <w:r>
              <w:rPr>
                <w:rFonts w:ascii="宋体" w:hAnsi="宋体" w:cs="宋体"/>
              </w:rPr>
              <w:t>人民币元）</w:t>
            </w:r>
          </w:p>
        </w:tc>
        <w:tc>
          <w:tcPr>
            <w:tcW w:w="0" w:type="dxa"/>
            <w:vAlign w:val="center"/>
          </w:tcPr>
          <w:p w:rsidR="00000000" w:rsidRDefault="009D25A3">
            <w:pPr>
              <w:spacing w:line="240" w:lineRule="auto"/>
              <w:jc w:val="left"/>
            </w:pPr>
            <w:r>
              <w:rPr>
                <w:rFonts w:ascii="宋体" w:hAnsi="宋体" w:cs="宋体"/>
              </w:rPr>
              <w:t>32,334,979.50</w:t>
            </w:r>
          </w:p>
        </w:tc>
      </w:tr>
      <w:tr w:rsidR="00000000">
        <w:tc>
          <w:tcPr>
            <w:tcW w:w="0" w:type="dxa"/>
            <w:gridSpan w:val="2"/>
            <w:vAlign w:val="center"/>
          </w:tcPr>
          <w:p w:rsidR="00000000" w:rsidRDefault="009D25A3">
            <w:pPr>
              <w:spacing w:line="240" w:lineRule="auto"/>
              <w:jc w:val="left"/>
            </w:pPr>
            <w:r>
              <w:rPr>
                <w:rFonts w:ascii="宋体" w:hAnsi="宋体" w:cs="宋体"/>
              </w:rPr>
              <w:t>本次分红方案（单位</w:t>
            </w:r>
            <w:r>
              <w:rPr>
                <w:rFonts w:ascii="宋体" w:hAnsi="宋体" w:cs="宋体"/>
              </w:rPr>
              <w:t>:</w:t>
            </w:r>
            <w:r>
              <w:rPr>
                <w:rFonts w:ascii="宋体" w:hAnsi="宋体" w:cs="宋体"/>
              </w:rPr>
              <w:t>元</w:t>
            </w:r>
            <w:r>
              <w:rPr>
                <w:rFonts w:ascii="宋体" w:hAnsi="宋体" w:cs="宋体"/>
              </w:rPr>
              <w:t>/10</w:t>
            </w:r>
            <w:r>
              <w:rPr>
                <w:rFonts w:ascii="宋体" w:hAnsi="宋体" w:cs="宋体"/>
              </w:rPr>
              <w:t>份基金份额）</w:t>
            </w:r>
          </w:p>
        </w:tc>
        <w:tc>
          <w:tcPr>
            <w:tcW w:w="0" w:type="dxa"/>
            <w:vAlign w:val="center"/>
          </w:tcPr>
          <w:p w:rsidR="00000000" w:rsidRDefault="009D25A3">
            <w:pPr>
              <w:spacing w:line="240" w:lineRule="auto"/>
              <w:jc w:val="left"/>
            </w:pPr>
            <w:r>
              <w:rPr>
                <w:rFonts w:ascii="宋体" w:hAnsi="宋体" w:cs="宋体"/>
              </w:rPr>
              <w:t>0.130</w:t>
            </w:r>
          </w:p>
        </w:tc>
      </w:tr>
      <w:tr w:rsidR="00000000">
        <w:tc>
          <w:tcPr>
            <w:tcW w:w="0" w:type="dxa"/>
            <w:gridSpan w:val="2"/>
            <w:vAlign w:val="center"/>
          </w:tcPr>
          <w:p w:rsidR="00000000" w:rsidRDefault="009D25A3">
            <w:pPr>
              <w:spacing w:line="240" w:lineRule="auto"/>
              <w:jc w:val="left"/>
            </w:pPr>
            <w:r>
              <w:rPr>
                <w:rFonts w:ascii="宋体" w:hAnsi="宋体" w:cs="宋体"/>
              </w:rPr>
              <w:t>有关年度分红次数的说明</w:t>
            </w:r>
          </w:p>
        </w:tc>
        <w:tc>
          <w:tcPr>
            <w:tcW w:w="0" w:type="dxa"/>
            <w:vAlign w:val="center"/>
          </w:tcPr>
          <w:p w:rsidR="00000000" w:rsidRDefault="009D25A3">
            <w:pPr>
              <w:spacing w:line="240" w:lineRule="auto"/>
              <w:jc w:val="left"/>
            </w:pPr>
            <w:r>
              <w:rPr>
                <w:rFonts w:ascii="宋体" w:hAnsi="宋体" w:cs="宋体"/>
              </w:rPr>
              <w:t>本次分红为</w:t>
            </w:r>
            <w:r>
              <w:rPr>
                <w:rFonts w:ascii="宋体" w:hAnsi="宋体" w:cs="宋体"/>
              </w:rPr>
              <w:t>2025</w:t>
            </w:r>
            <w:r>
              <w:rPr>
                <w:rFonts w:ascii="宋体" w:hAnsi="宋体" w:cs="宋体"/>
              </w:rPr>
              <w:t>年度的第</w:t>
            </w:r>
            <w:r>
              <w:rPr>
                <w:rFonts w:ascii="宋体" w:hAnsi="宋体" w:cs="宋体"/>
              </w:rPr>
              <w:t>3</w:t>
            </w:r>
            <w:r>
              <w:rPr>
                <w:rFonts w:ascii="宋体" w:hAnsi="宋体" w:cs="宋体"/>
              </w:rPr>
              <w:t>次分红</w:t>
            </w:r>
          </w:p>
        </w:tc>
      </w:tr>
    </w:tbl>
    <w:p w:rsidR="00000000" w:rsidRDefault="009D25A3">
      <w:r>
        <w:rPr>
          <w:rFonts w:ascii="宋体" w:hAnsi="宋体" w:cs="宋体"/>
        </w:rPr>
        <w:t>注：在符合有关基金分红条件的前提下，基金管理人可以根据实际情况进行收益分配。基金收益分配后基金份额净值不能</w:t>
      </w:r>
      <w:r>
        <w:rPr>
          <w:rFonts w:ascii="宋体" w:hAnsi="宋体" w:cs="宋体"/>
        </w:rPr>
        <w:t>低于面值</w:t>
      </w:r>
      <w:r>
        <w:rPr>
          <w:rFonts w:ascii="宋体" w:hAnsi="宋体" w:cs="宋体"/>
        </w:rPr>
        <w:t>,</w:t>
      </w:r>
      <w:r>
        <w:rPr>
          <w:rFonts w:ascii="宋体" w:hAnsi="宋体" w:cs="宋体"/>
        </w:rPr>
        <w:t>即基金收益分配基准日的基金份额净值减去每单位基金份额收益分配金额后不能低于面值。</w:t>
      </w:r>
    </w:p>
    <w:p w:rsidR="00000000" w:rsidRDefault="009D25A3"/>
    <w:p w:rsidR="00000000" w:rsidRDefault="009D25A3">
      <w:pPr>
        <w:pStyle w:val="2"/>
      </w:pPr>
      <w:r>
        <w:rPr>
          <w:rFonts w:ascii="宋体" w:hAnsi="宋体" w:cs="宋体"/>
        </w:rPr>
        <w:t xml:space="preserve">2 </w:t>
      </w:r>
      <w:r>
        <w:rPr>
          <w:rFonts w:ascii="宋体" w:hAnsi="宋体" w:cs="宋体"/>
        </w:rPr>
        <w:t>与分红相关的其他信息</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4"/>
        <w:gridCol w:w="6192"/>
      </w:tblGrid>
      <w:tr w:rsidR="00000000">
        <w:tc>
          <w:tcPr>
            <w:tcW w:w="1538" w:type="pct"/>
            <w:vAlign w:val="center"/>
          </w:tcPr>
          <w:p w:rsidR="00000000" w:rsidRDefault="009D25A3">
            <w:pPr>
              <w:spacing w:line="240" w:lineRule="auto"/>
              <w:jc w:val="left"/>
            </w:pPr>
            <w:r>
              <w:rPr>
                <w:rFonts w:ascii="宋体" w:hAnsi="宋体" w:cs="宋体"/>
              </w:rPr>
              <w:t>权益登记日</w:t>
            </w:r>
          </w:p>
        </w:tc>
        <w:tc>
          <w:tcPr>
            <w:tcW w:w="3077" w:type="pct"/>
            <w:vAlign w:val="center"/>
          </w:tcPr>
          <w:p w:rsidR="00000000" w:rsidRDefault="009D25A3">
            <w:pPr>
              <w:spacing w:line="240" w:lineRule="auto"/>
              <w:jc w:val="left"/>
            </w:pP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27</w:t>
            </w:r>
            <w:r>
              <w:rPr>
                <w:rFonts w:ascii="宋体" w:hAnsi="宋体" w:cs="宋体"/>
              </w:rPr>
              <w:t>日</w:t>
            </w:r>
          </w:p>
        </w:tc>
      </w:tr>
      <w:tr w:rsidR="00000000">
        <w:tc>
          <w:tcPr>
            <w:tcW w:w="0" w:type="dxa"/>
            <w:vAlign w:val="center"/>
          </w:tcPr>
          <w:p w:rsidR="00000000" w:rsidRDefault="009D25A3">
            <w:pPr>
              <w:spacing w:line="240" w:lineRule="auto"/>
              <w:jc w:val="left"/>
            </w:pPr>
            <w:r>
              <w:rPr>
                <w:rFonts w:ascii="宋体" w:hAnsi="宋体" w:cs="宋体"/>
              </w:rPr>
              <w:t>除息日</w:t>
            </w:r>
          </w:p>
        </w:tc>
        <w:tc>
          <w:tcPr>
            <w:tcW w:w="1538" w:type="pct"/>
            <w:vAlign w:val="center"/>
          </w:tcPr>
          <w:p w:rsidR="00000000" w:rsidRDefault="009D25A3">
            <w:pPr>
              <w:spacing w:line="240" w:lineRule="auto"/>
              <w:jc w:val="left"/>
            </w:pP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27</w:t>
            </w:r>
            <w:r>
              <w:rPr>
                <w:rFonts w:ascii="宋体" w:hAnsi="宋体" w:cs="宋体"/>
              </w:rPr>
              <w:t>日</w:t>
            </w:r>
          </w:p>
        </w:tc>
      </w:tr>
      <w:tr w:rsidR="00000000">
        <w:tc>
          <w:tcPr>
            <w:tcW w:w="0" w:type="dxa"/>
            <w:vAlign w:val="center"/>
          </w:tcPr>
          <w:p w:rsidR="00000000" w:rsidRDefault="009D25A3">
            <w:pPr>
              <w:spacing w:line="240" w:lineRule="auto"/>
              <w:jc w:val="left"/>
            </w:pPr>
            <w:r>
              <w:rPr>
                <w:rFonts w:ascii="宋体" w:hAnsi="宋体" w:cs="宋体"/>
              </w:rPr>
              <w:t>现金红利发放日</w:t>
            </w:r>
          </w:p>
        </w:tc>
        <w:tc>
          <w:tcPr>
            <w:tcW w:w="0" w:type="dxa"/>
            <w:vAlign w:val="center"/>
          </w:tcPr>
          <w:p w:rsidR="00000000" w:rsidRDefault="009D25A3">
            <w:pPr>
              <w:spacing w:line="240" w:lineRule="auto"/>
              <w:jc w:val="left"/>
            </w:pP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28</w:t>
            </w:r>
            <w:r>
              <w:rPr>
                <w:rFonts w:ascii="宋体" w:hAnsi="宋体" w:cs="宋体"/>
              </w:rPr>
              <w:t>日</w:t>
            </w:r>
          </w:p>
        </w:tc>
      </w:tr>
      <w:tr w:rsidR="00000000">
        <w:tc>
          <w:tcPr>
            <w:tcW w:w="0" w:type="dxa"/>
            <w:vAlign w:val="center"/>
          </w:tcPr>
          <w:p w:rsidR="00000000" w:rsidRDefault="009D25A3">
            <w:pPr>
              <w:spacing w:line="240" w:lineRule="auto"/>
              <w:jc w:val="left"/>
            </w:pPr>
            <w:r>
              <w:rPr>
                <w:rFonts w:ascii="宋体" w:hAnsi="宋体" w:cs="宋体"/>
              </w:rPr>
              <w:t>分红对象</w:t>
            </w:r>
          </w:p>
        </w:tc>
        <w:tc>
          <w:tcPr>
            <w:tcW w:w="0" w:type="dxa"/>
            <w:vAlign w:val="center"/>
          </w:tcPr>
          <w:p w:rsidR="00000000" w:rsidRDefault="009D25A3">
            <w:pPr>
              <w:spacing w:line="240" w:lineRule="auto"/>
              <w:jc w:val="left"/>
            </w:pPr>
            <w:r>
              <w:rPr>
                <w:rFonts w:ascii="宋体" w:hAnsi="宋体" w:cs="宋体"/>
              </w:rPr>
              <w:t>权益登记日在注册登记机构登记在册的本基金全体基金份额持有人</w:t>
            </w:r>
          </w:p>
        </w:tc>
      </w:tr>
      <w:tr w:rsidR="00000000">
        <w:tc>
          <w:tcPr>
            <w:tcW w:w="0" w:type="dxa"/>
            <w:vAlign w:val="center"/>
          </w:tcPr>
          <w:p w:rsidR="00000000" w:rsidRDefault="009D25A3">
            <w:pPr>
              <w:spacing w:line="240" w:lineRule="auto"/>
              <w:jc w:val="left"/>
            </w:pPr>
            <w:r>
              <w:rPr>
                <w:rFonts w:ascii="宋体" w:hAnsi="宋体" w:cs="宋体"/>
              </w:rPr>
              <w:t>红利再投资相关事项的说明</w:t>
            </w:r>
          </w:p>
        </w:tc>
        <w:tc>
          <w:tcPr>
            <w:tcW w:w="0" w:type="dxa"/>
            <w:vAlign w:val="center"/>
          </w:tcPr>
          <w:p w:rsidR="00000000" w:rsidRDefault="009D25A3">
            <w:pPr>
              <w:spacing w:line="240" w:lineRule="auto"/>
              <w:jc w:val="left"/>
            </w:pPr>
            <w:r>
              <w:rPr>
                <w:rFonts w:ascii="宋体" w:hAnsi="宋体" w:cs="宋体"/>
              </w:rPr>
              <w:t>本基金收益分配方式仅有现金分红。</w:t>
            </w:r>
          </w:p>
        </w:tc>
      </w:tr>
      <w:tr w:rsidR="00000000">
        <w:tc>
          <w:tcPr>
            <w:tcW w:w="0" w:type="dxa"/>
            <w:vAlign w:val="center"/>
          </w:tcPr>
          <w:p w:rsidR="00000000" w:rsidRDefault="009D25A3">
            <w:pPr>
              <w:spacing w:line="240" w:lineRule="auto"/>
              <w:jc w:val="left"/>
            </w:pPr>
            <w:r>
              <w:rPr>
                <w:rFonts w:ascii="宋体" w:hAnsi="宋体" w:cs="宋体"/>
              </w:rPr>
              <w:t>税收相关事项的说明</w:t>
            </w:r>
          </w:p>
        </w:tc>
        <w:tc>
          <w:tcPr>
            <w:tcW w:w="0" w:type="dxa"/>
            <w:vAlign w:val="center"/>
          </w:tcPr>
          <w:p w:rsidR="00000000" w:rsidRDefault="009D25A3">
            <w:pPr>
              <w:spacing w:line="240" w:lineRule="auto"/>
              <w:jc w:val="left"/>
            </w:pPr>
            <w:r>
              <w:rPr>
                <w:rFonts w:ascii="宋体" w:hAnsi="宋体" w:cs="宋体"/>
              </w:rPr>
              <w:t>根据财政部、国家税务总局颁布的相关法规，基金向投资者分配的基金收益，暂免征收所得税。法律法规或监管机关另有规定的，从其规定。</w:t>
            </w:r>
          </w:p>
        </w:tc>
      </w:tr>
      <w:tr w:rsidR="00000000">
        <w:tc>
          <w:tcPr>
            <w:tcW w:w="0" w:type="dxa"/>
            <w:vAlign w:val="center"/>
          </w:tcPr>
          <w:p w:rsidR="00000000" w:rsidRDefault="009D25A3">
            <w:pPr>
              <w:spacing w:line="240" w:lineRule="auto"/>
              <w:jc w:val="left"/>
            </w:pPr>
            <w:r>
              <w:rPr>
                <w:rFonts w:ascii="宋体" w:hAnsi="宋体" w:cs="宋体"/>
              </w:rPr>
              <w:t>费用相关事项的说明</w:t>
            </w:r>
          </w:p>
        </w:tc>
        <w:tc>
          <w:tcPr>
            <w:tcW w:w="0" w:type="dxa"/>
            <w:vAlign w:val="center"/>
          </w:tcPr>
          <w:p w:rsidR="00000000" w:rsidRDefault="009D25A3">
            <w:pPr>
              <w:spacing w:line="240" w:lineRule="auto"/>
              <w:jc w:val="left"/>
            </w:pPr>
            <w:r>
              <w:rPr>
                <w:rFonts w:ascii="宋体" w:hAnsi="宋体" w:cs="宋体"/>
              </w:rPr>
              <w:t>本基金本次分红免收分红手续费。</w:t>
            </w:r>
          </w:p>
        </w:tc>
      </w:tr>
    </w:tbl>
    <w:p w:rsidR="00000000" w:rsidRDefault="009D25A3"/>
    <w:p w:rsidR="00000000" w:rsidRDefault="009D25A3">
      <w:pPr>
        <w:pStyle w:val="2"/>
      </w:pPr>
      <w:r>
        <w:rPr>
          <w:rFonts w:ascii="宋体" w:hAnsi="宋体" w:cs="宋体"/>
        </w:rPr>
        <w:t xml:space="preserve">3 </w:t>
      </w:r>
      <w:r>
        <w:rPr>
          <w:rFonts w:ascii="宋体" w:hAnsi="宋体" w:cs="宋体"/>
        </w:rPr>
        <w:t>其他需要提示的事项</w:t>
      </w:r>
    </w:p>
    <w:p w:rsidR="00000000" w:rsidRDefault="009D25A3">
      <w:pPr>
        <w:jc w:val="left"/>
      </w:pPr>
      <w:r>
        <w:rPr>
          <w:rFonts w:ascii="宋体" w:hAnsi="宋体" w:cs="宋体"/>
        </w:rPr>
        <w:t xml:space="preserve">    1</w:t>
      </w:r>
      <w:r>
        <w:rPr>
          <w:rFonts w:ascii="宋体" w:hAnsi="宋体" w:cs="宋体"/>
        </w:rPr>
        <w:t>、权益登记日当天有效申购基金份额不享有本次分红权益，权益登记日当天有效赎回基金份额享有本次分红权益。</w:t>
      </w:r>
      <w:r>
        <w:rPr>
          <w:rFonts w:ascii="宋体" w:hAnsi="宋体" w:cs="宋体"/>
        </w:rPr>
        <w:cr/>
      </w:r>
      <w:r>
        <w:rPr>
          <w:rFonts w:ascii="宋体" w:hAnsi="宋体" w:cs="宋体"/>
        </w:rPr>
        <w:t xml:space="preserve">    2</w:t>
      </w:r>
      <w:r>
        <w:rPr>
          <w:rFonts w:ascii="宋体" w:hAnsi="宋体" w:cs="宋体"/>
        </w:rPr>
        <w:t>、本基金收益分配方式仅有现金分红。</w:t>
      </w:r>
      <w:r>
        <w:rPr>
          <w:rFonts w:ascii="宋体" w:hAnsi="宋体" w:cs="宋体"/>
        </w:rPr>
        <w:cr/>
      </w:r>
      <w:r>
        <w:rPr>
          <w:rFonts w:ascii="宋体" w:hAnsi="宋体" w:cs="宋体"/>
        </w:rPr>
        <w:t xml:space="preserve">    3</w:t>
      </w:r>
      <w:r>
        <w:rPr>
          <w:rFonts w:ascii="宋体" w:hAnsi="宋体" w:cs="宋体"/>
        </w:rPr>
        <w:t>、本次基金分红导致基金份额净值变化，不会改变基金的风险收益特征，不会降低基金投资风险或提高基金投资收益。</w:t>
      </w:r>
      <w:r>
        <w:rPr>
          <w:rFonts w:ascii="宋体" w:hAnsi="宋体" w:cs="宋体"/>
        </w:rPr>
        <w:cr/>
      </w:r>
      <w:r>
        <w:rPr>
          <w:rFonts w:ascii="宋体" w:hAnsi="宋体" w:cs="宋体"/>
        </w:rPr>
        <w:t xml:space="preserve">    4</w:t>
      </w:r>
      <w:r>
        <w:rPr>
          <w:rFonts w:ascii="宋体" w:hAnsi="宋体" w:cs="宋体"/>
        </w:rPr>
        <w:t>、投资人可以拨打本基金管理人客户服务电话（</w:t>
      </w:r>
      <w:r>
        <w:rPr>
          <w:rFonts w:ascii="宋体" w:hAnsi="宋体" w:cs="宋体"/>
        </w:rPr>
        <w:t>4006511717</w:t>
      </w:r>
      <w:r>
        <w:rPr>
          <w:rFonts w:ascii="宋体" w:hAnsi="宋体" w:cs="宋体"/>
        </w:rPr>
        <w:t>）垂询相关事宜。</w:t>
      </w:r>
      <w:r>
        <w:rPr>
          <w:rFonts w:ascii="宋体" w:hAnsi="宋体" w:cs="宋体"/>
        </w:rPr>
        <w:cr/>
      </w:r>
      <w:r>
        <w:rPr>
          <w:rFonts w:ascii="宋体" w:hAnsi="宋体" w:cs="宋体"/>
        </w:rPr>
        <w:t xml:space="preserve">    5</w:t>
      </w:r>
      <w:r>
        <w:rPr>
          <w:rFonts w:ascii="宋体" w:hAnsi="宋体" w:cs="宋体"/>
        </w:rPr>
        <w:t>、风险提示：本基金管理人承诺依照恪尽职守、诚实信用、谨</w:t>
      </w:r>
      <w:r>
        <w:rPr>
          <w:rFonts w:ascii="宋体" w:hAnsi="宋体" w:cs="宋体"/>
        </w:rPr>
        <w:t>慎勤勉的原则管理和运用基金财产，但不保证投资本基金一定盈利，也不保证最低收益。基金的过往业绩并不预示其未来表现，基金管理人管理的其他基金的业绩并不构成对本基金业绩表现的保证。基金管理人提醒投资者基金投资的</w:t>
      </w:r>
      <w:r>
        <w:rPr>
          <w:rFonts w:ascii="宋体" w:hAnsi="宋体" w:cs="宋体"/>
        </w:rPr>
        <w:t>“</w:t>
      </w:r>
      <w:r>
        <w:rPr>
          <w:rFonts w:ascii="宋体" w:hAnsi="宋体" w:cs="宋体"/>
        </w:rPr>
        <w:t>买者自负</w:t>
      </w:r>
      <w:r>
        <w:rPr>
          <w:rFonts w:ascii="宋体" w:hAnsi="宋体" w:cs="宋体"/>
        </w:rPr>
        <w:t>”</w:t>
      </w:r>
      <w:r>
        <w:rPr>
          <w:rFonts w:ascii="宋体" w:hAnsi="宋体" w:cs="宋体"/>
        </w:rPr>
        <w:t>原则，在投资者作出投资决策后，基金运营状况与基金净值变化引致的投资风险，由投资者自行负责。</w:t>
      </w:r>
      <w:r>
        <w:rPr>
          <w:rFonts w:ascii="宋体" w:hAnsi="宋体" w:cs="宋体"/>
        </w:rPr>
        <w:cr/>
      </w:r>
      <w:r>
        <w:rPr>
          <w:rFonts w:ascii="宋体" w:hAnsi="宋体" w:cs="宋体"/>
        </w:rPr>
        <w:t xml:space="preserve">    </w:t>
      </w:r>
      <w:r>
        <w:rPr>
          <w:rFonts w:ascii="宋体" w:hAnsi="宋体" w:cs="宋体"/>
        </w:rPr>
        <w:t>特此公告。</w:t>
      </w:r>
    </w:p>
    <w:p w:rsidR="00000000" w:rsidRDefault="009D25A3"/>
    <w:p w:rsidR="00000000" w:rsidRDefault="009D25A3">
      <w:pPr>
        <w:jc w:val="right"/>
      </w:pPr>
      <w:r>
        <w:rPr>
          <w:rFonts w:ascii="宋体" w:hAnsi="宋体" w:cs="宋体"/>
        </w:rPr>
        <w:t>渤海汇金证券资产管理有限公司</w:t>
      </w:r>
    </w:p>
    <w:p w:rsidR="00000000" w:rsidRDefault="009D25A3">
      <w:pPr>
        <w:jc w:val="right"/>
      </w:pP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27</w:t>
      </w:r>
      <w:r>
        <w:rPr>
          <w:rFonts w:ascii="宋体" w:hAnsi="宋体" w:cs="宋体"/>
        </w:rPr>
        <w:t>日</w:t>
      </w:r>
    </w:p>
    <w:sectPr w:rsidR="00000000">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1"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9D25A3">
      <w:pPr>
        <w:spacing w:line="240" w:lineRule="auto"/>
      </w:pPr>
      <w:r>
        <w:separator/>
      </w:r>
    </w:p>
  </w:endnote>
  <w:endnote w:type="continuationSeparator" w:id="0">
    <w:p w:rsidR="00000000" w:rsidRDefault="009D25A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25A3">
    <w:pPr>
      <w:pStyle w:val="a8"/>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25A3">
    <w:pPr>
      <w:pBdr>
        <w:top w:val="single" w:sz="2" w:space="0" w:color="auto"/>
      </w:pBdr>
      <w:tabs>
        <w:tab w:val="right" w:pos="8640"/>
      </w:tabs>
      <w:jc w:val="center"/>
      <w:textAlignment w:val="center"/>
      <w:rPr>
        <w:rFonts w:ascii="宋体" w:hAnsi="宋体"/>
        <w:sz w:val="20"/>
        <w:szCs w:val="20"/>
      </w:rPr>
    </w:pPr>
    <w:r>
      <w:rPr>
        <w:rFonts w:ascii="宋体" w:hAnsi="宋体" w:cs="宋体" w:hint="eastAsia"/>
        <w:sz w:val="20"/>
        <w:szCs w:val="20"/>
        <w:lang/>
      </w:rPr>
      <w:t>第</w:t>
    </w:r>
    <w:r>
      <w:rPr>
        <w:rFonts w:ascii="宋体" w:hAnsi="宋体" w:hint="eastAsia"/>
        <w:sz w:val="20"/>
        <w:szCs w:val="20"/>
        <w:lang/>
      </w:rPr>
      <w:fldChar w:fldCharType="begin"/>
    </w:r>
    <w:r>
      <w:rPr>
        <w:rFonts w:ascii="宋体" w:hAnsi="宋体" w:cs="宋体" w:hint="eastAsia"/>
        <w:sz w:val="20"/>
        <w:szCs w:val="20"/>
        <w:lang/>
      </w:rPr>
      <w:instrText>PAGE  \* MERGEFORMAT</w:instrText>
    </w:r>
    <w:r>
      <w:rPr>
        <w:rFonts w:ascii="宋体" w:hAnsi="宋体" w:hint="eastAsia"/>
        <w:sz w:val="20"/>
        <w:szCs w:val="20"/>
        <w:lang/>
      </w:rPr>
      <w:fldChar w:fldCharType="separate"/>
    </w:r>
    <w:r>
      <w:rPr>
        <w:rFonts w:ascii="宋体" w:hAnsi="宋体" w:cs="宋体"/>
        <w:noProof/>
        <w:sz w:val="20"/>
        <w:szCs w:val="20"/>
        <w:lang/>
      </w:rPr>
      <w:t>1</w:t>
    </w:r>
    <w:r>
      <w:rPr>
        <w:rFonts w:ascii="宋体" w:hAnsi="宋体" w:cs="宋体" w:hint="eastAsia"/>
        <w:sz w:val="20"/>
        <w:szCs w:val="20"/>
        <w:lang/>
      </w:rPr>
      <w:fldChar w:fldCharType="end"/>
    </w:r>
    <w:r>
      <w:rPr>
        <w:rFonts w:ascii="宋体" w:hAnsi="宋体" w:cs="宋体" w:hint="eastAsia"/>
        <w:sz w:val="20"/>
        <w:szCs w:val="20"/>
        <w:lang/>
      </w:rPr>
      <w:t>页，共</w:t>
    </w:r>
    <w:fldSimple w:instr="NUMPAGES  \* MERGEFORMAT ">
      <w:r>
        <w:rPr>
          <w:rFonts w:ascii="宋体" w:hAnsi="宋体" w:cs="宋体"/>
          <w:noProof/>
          <w:sz w:val="20"/>
          <w:szCs w:val="20"/>
          <w:lang/>
        </w:rPr>
        <w:t>2</w:t>
      </w:r>
    </w:fldSimple>
    <w:r>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25A3">
    <w:pPr>
      <w:pStyle w:val="a8"/>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9D25A3">
      <w:pPr>
        <w:spacing w:line="240" w:lineRule="auto"/>
      </w:pPr>
      <w:r>
        <w:separator/>
      </w:r>
    </w:p>
  </w:footnote>
  <w:footnote w:type="continuationSeparator" w:id="0">
    <w:p w:rsidR="00000000" w:rsidRDefault="009D25A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25A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25A3">
    <w:pPr>
      <w:pBdr>
        <w:bottom w:val="single" w:sz="4" w:space="1" w:color="auto"/>
      </w:pBdr>
      <w:rPr>
        <w:rFonts w:ascii="宋体" w:hAnsi="宋体"/>
      </w:rPr>
    </w:pPr>
    <w:r>
      <w:rPr>
        <w:rFonts w:ascii="宋体" w:hAnsi="宋体"/>
      </w:rPr>
      <w:tab/>
    </w:r>
    <w:r>
      <w:rPr>
        <w:rFonts w:ascii="宋体" w:hAnsi="宋体" w:hint="eastAsia"/>
        <w:sz w:val="18"/>
      </w:rPr>
      <w:t>渤海汇金兴荣一年定期开放债券型发起式证券投资基金分红公告</w:t>
    </w:r>
    <w:r>
      <w:rPr>
        <w:rFonts w:ascii="宋体" w:hAnsi="宋体"/>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25A3"/>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14F1"/>
    <w:rsid w:val="0000797B"/>
    <w:rsid w:val="000172DD"/>
    <w:rsid w:val="00031D8B"/>
    <w:rsid w:val="00033DD2"/>
    <w:rsid w:val="000358E9"/>
    <w:rsid w:val="00044DFE"/>
    <w:rsid w:val="000B14F1"/>
    <w:rsid w:val="000D44F1"/>
    <w:rsid w:val="000F65E0"/>
    <w:rsid w:val="00136A1E"/>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55A5F"/>
    <w:rsid w:val="003B643E"/>
    <w:rsid w:val="003E01BE"/>
    <w:rsid w:val="003E7B21"/>
    <w:rsid w:val="00420D84"/>
    <w:rsid w:val="00422907"/>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D25A3"/>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90B80"/>
    <w:rsid w:val="00CC4CE4"/>
    <w:rsid w:val="00D04B24"/>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1FD5A936"/>
    <w:rsid w:val="312016A7"/>
    <w:rsid w:val="328572ED"/>
    <w:rsid w:val="3E9A1429"/>
    <w:rsid w:val="3EEE1DDF"/>
    <w:rsid w:val="5EE34946"/>
    <w:rsid w:val="5FEE3864"/>
    <w:rsid w:val="62671060"/>
    <w:rsid w:val="67517C74"/>
    <w:rsid w:val="74EE5D7C"/>
    <w:rsid w:val="791E22E2"/>
    <w:rsid w:val="7A382AC9"/>
    <w:rsid w:val="7DDDB1F9"/>
    <w:rsid w:val="7F246E1A"/>
    <w:rsid w:val="EFFFDAA6"/>
    <w:rsid w:val="F3BF17C6"/>
    <w:rsid w:val="FEFDFDA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88" w:lineRule="auto"/>
      <w:jc w:val="both"/>
    </w:pPr>
    <w:rPr>
      <w:rFonts w:eastAsia="宋体"/>
      <w:kern w:val="2"/>
      <w:sz w:val="21"/>
      <w:szCs w:val="21"/>
    </w:rPr>
  </w:style>
  <w:style w:type="paragraph" w:styleId="1">
    <w:name w:val="heading 1"/>
    <w:basedOn w:val="a"/>
    <w:next w:val="a"/>
    <w:link w:val="1Char"/>
    <w:uiPriority w:val="9"/>
    <w:qFormat/>
    <w:pPr>
      <w:adjustRightInd w:val="0"/>
      <w:spacing w:line="360" w:lineRule="auto"/>
      <w:jc w:val="left"/>
      <w:outlineLvl w:val="0"/>
    </w:pPr>
    <w:rPr>
      <w:b/>
      <w:bCs/>
      <w:sz w:val="24"/>
      <w:szCs w:val="44"/>
    </w:rPr>
  </w:style>
  <w:style w:type="paragraph" w:styleId="2">
    <w:name w:val="heading 2"/>
    <w:basedOn w:val="a"/>
    <w:next w:val="a"/>
    <w:link w:val="2Char"/>
    <w:uiPriority w:val="9"/>
    <w:qFormat/>
    <w:pPr>
      <w:adjustRightInd w:val="0"/>
      <w:spacing w:line="360" w:lineRule="auto"/>
      <w:jc w:val="left"/>
      <w:outlineLvl w:val="1"/>
    </w:pPr>
    <w:rPr>
      <w:rFonts w:ascii="等线 Light" w:hAnsi="等线 Light"/>
      <w:b/>
      <w:bCs/>
      <w:sz w:val="24"/>
      <w:szCs w:val="32"/>
    </w:rPr>
  </w:style>
  <w:style w:type="paragraph" w:styleId="3">
    <w:name w:val="heading 3"/>
    <w:basedOn w:val="a"/>
    <w:next w:val="a"/>
    <w:link w:val="3Char"/>
    <w:uiPriority w:val="9"/>
    <w:qFormat/>
    <w:pPr>
      <w:keepNext/>
      <w:keepLines/>
      <w:spacing w:line="360" w:lineRule="auto"/>
      <w:outlineLvl w:val="2"/>
    </w:pPr>
    <w:rPr>
      <w:b/>
      <w:bCs/>
      <w:sz w:val="24"/>
      <w:szCs w:val="32"/>
    </w:rPr>
  </w:style>
  <w:style w:type="paragraph" w:styleId="4">
    <w:name w:val="heading 4"/>
    <w:basedOn w:val="a"/>
    <w:next w:val="a"/>
    <w:link w:val="4Char"/>
    <w:uiPriority w:val="9"/>
    <w:qFormat/>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eastAsia="宋体"/>
      <w:b/>
      <w:bCs/>
      <w:sz w:val="24"/>
      <w:szCs w:val="44"/>
    </w:rPr>
  </w:style>
  <w:style w:type="character" w:customStyle="1" w:styleId="2Char">
    <w:name w:val="标题 2 Char"/>
    <w:basedOn w:val="a0"/>
    <w:link w:val="2"/>
    <w:uiPriority w:val="9"/>
    <w:qFormat/>
    <w:rPr>
      <w:rFonts w:ascii="等线 Light" w:eastAsia="宋体" w:hAnsi="等线 Light" w:cs="Times New Roman"/>
      <w:b/>
      <w:bCs/>
      <w:sz w:val="24"/>
      <w:szCs w:val="32"/>
    </w:rPr>
  </w:style>
  <w:style w:type="character" w:customStyle="1" w:styleId="3Char">
    <w:name w:val="标题 3 Char"/>
    <w:basedOn w:val="a0"/>
    <w:link w:val="3"/>
    <w:uiPriority w:val="9"/>
    <w:rPr>
      <w:rFonts w:eastAsia="宋体"/>
      <w:b/>
      <w:bCs/>
      <w:sz w:val="24"/>
      <w:szCs w:val="32"/>
    </w:rPr>
  </w:style>
  <w:style w:type="character" w:customStyle="1" w:styleId="4Char">
    <w:name w:val="标题 4 Char"/>
    <w:basedOn w:val="a0"/>
    <w:link w:val="4"/>
    <w:uiPriority w:val="9"/>
    <w:semiHidden/>
    <w:qFormat/>
    <w:rPr>
      <w:rFonts w:ascii="等线 Light" w:eastAsia="等线 Light" w:hAnsi="等线 Light" w:cs="Times New Roman"/>
      <w:b/>
      <w:bCs/>
      <w:sz w:val="28"/>
      <w:szCs w:val="28"/>
    </w:rPr>
  </w:style>
  <w:style w:type="paragraph" w:styleId="7">
    <w:name w:val="toc 7"/>
    <w:basedOn w:val="a"/>
    <w:next w:val="a"/>
    <w:uiPriority w:val="39"/>
    <w:unhideWhenUsed/>
    <w:pPr>
      <w:ind w:left="1260"/>
      <w:jc w:val="left"/>
    </w:pPr>
    <w:rPr>
      <w:sz w:val="18"/>
      <w:szCs w:val="18"/>
    </w:rPr>
  </w:style>
  <w:style w:type="paragraph" w:styleId="a3">
    <w:name w:val="Normal Indent"/>
    <w:basedOn w:val="a"/>
    <w:link w:val="Char"/>
    <w:uiPriority w:val="99"/>
    <w:unhideWhenUsed/>
    <w:qFormat/>
    <w:pPr>
      <w:ind w:firstLineChars="200" w:firstLine="420"/>
    </w:pPr>
  </w:style>
  <w:style w:type="character" w:customStyle="1" w:styleId="Char">
    <w:name w:val="正文缩进 Char"/>
    <w:link w:val="a3"/>
    <w:uiPriority w:val="99"/>
    <w:semiHidden/>
    <w:qFormat/>
    <w:rPr>
      <w:rFonts w:ascii="等线" w:eastAsia="等线" w:hAnsi="等线" w:cs="Times New Roman"/>
      <w:sz w:val="21"/>
      <w:szCs w:val="22"/>
    </w:rPr>
  </w:style>
  <w:style w:type="paragraph" w:styleId="a4">
    <w:name w:val="Document Map"/>
    <w:basedOn w:val="a"/>
    <w:link w:val="Char0"/>
    <w:uiPriority w:val="99"/>
    <w:unhideWhenUsed/>
    <w:rPr>
      <w:rFonts w:ascii="宋体"/>
      <w:sz w:val="18"/>
      <w:szCs w:val="18"/>
    </w:rPr>
  </w:style>
  <w:style w:type="character" w:customStyle="1" w:styleId="Char0">
    <w:name w:val="文档结构图 Char"/>
    <w:basedOn w:val="a0"/>
    <w:link w:val="a4"/>
    <w:uiPriority w:val="99"/>
    <w:semiHidden/>
    <w:rPr>
      <w:rFonts w:ascii="宋体" w:eastAsia="宋体"/>
      <w:sz w:val="18"/>
      <w:szCs w:val="18"/>
    </w:rPr>
  </w:style>
  <w:style w:type="paragraph" w:styleId="a5">
    <w:name w:val="annotation text"/>
    <w:basedOn w:val="a"/>
    <w:link w:val="Char1"/>
    <w:uiPriority w:val="99"/>
    <w:unhideWhenUsed/>
    <w:pPr>
      <w:jc w:val="left"/>
    </w:pPr>
  </w:style>
  <w:style w:type="character" w:customStyle="1" w:styleId="Char1">
    <w:name w:val="批注文字 Char"/>
    <w:basedOn w:val="a0"/>
    <w:link w:val="a5"/>
    <w:uiPriority w:val="99"/>
    <w:semiHidden/>
    <w:rPr>
      <w:rFonts w:ascii="等线" w:eastAsia="等线" w:hAnsi="等线" w:cs="Times New Roman"/>
      <w:sz w:val="21"/>
      <w:szCs w:val="22"/>
    </w:rPr>
  </w:style>
  <w:style w:type="paragraph" w:styleId="a6">
    <w:name w:val="Body Text"/>
    <w:basedOn w:val="a"/>
    <w:link w:val="Char2"/>
    <w:uiPriority w:val="99"/>
    <w:unhideWhenUsed/>
    <w:pPr>
      <w:spacing w:after="120"/>
    </w:pPr>
  </w:style>
  <w:style w:type="character" w:customStyle="1" w:styleId="Char2">
    <w:name w:val="正文文本 Char"/>
    <w:basedOn w:val="a0"/>
    <w:link w:val="a6"/>
    <w:uiPriority w:val="99"/>
    <w:semiHidden/>
    <w:rPr>
      <w:rFonts w:ascii="等线" w:eastAsia="等线" w:hAnsi="等线" w:cs="Times New Roman"/>
      <w:sz w:val="21"/>
      <w:szCs w:val="22"/>
    </w:rPr>
  </w:style>
  <w:style w:type="paragraph" w:styleId="5">
    <w:name w:val="toc 5"/>
    <w:basedOn w:val="a"/>
    <w:next w:val="a"/>
    <w:uiPriority w:val="39"/>
    <w:unhideWhenUsed/>
    <w:pPr>
      <w:ind w:left="840"/>
      <w:jc w:val="left"/>
    </w:pPr>
    <w:rPr>
      <w:sz w:val="18"/>
      <w:szCs w:val="18"/>
    </w:rPr>
  </w:style>
  <w:style w:type="paragraph" w:styleId="30">
    <w:name w:val="toc 3"/>
    <w:basedOn w:val="a"/>
    <w:next w:val="a"/>
    <w:uiPriority w:val="39"/>
    <w:unhideWhenUsed/>
    <w:pPr>
      <w:spacing w:line="240" w:lineRule="auto"/>
      <w:ind w:left="420"/>
      <w:jc w:val="left"/>
    </w:pPr>
    <w:rPr>
      <w:i/>
      <w:iCs/>
      <w:szCs w:val="20"/>
    </w:rPr>
  </w:style>
  <w:style w:type="paragraph" w:styleId="a7">
    <w:name w:val="Plain Text"/>
    <w:basedOn w:val="a"/>
    <w:link w:val="Char3"/>
    <w:uiPriority w:val="99"/>
    <w:unhideWhenUsed/>
    <w:rPr>
      <w:rFonts w:hAnsi="Courier New" w:cs="Courier New"/>
    </w:rPr>
  </w:style>
  <w:style w:type="character" w:customStyle="1" w:styleId="Char3">
    <w:name w:val="纯文本 Char"/>
    <w:basedOn w:val="a0"/>
    <w:link w:val="a7"/>
    <w:uiPriority w:val="99"/>
    <w:semiHidden/>
    <w:rPr>
      <w:rFonts w:ascii="等线" w:eastAsia="等线" w:hAnsi="Courier New" w:cs="Courier New"/>
      <w:sz w:val="21"/>
      <w:szCs w:val="22"/>
    </w:rPr>
  </w:style>
  <w:style w:type="paragraph" w:styleId="8">
    <w:name w:val="toc 8"/>
    <w:basedOn w:val="a"/>
    <w:next w:val="a"/>
    <w:uiPriority w:val="39"/>
    <w:unhideWhenUsed/>
    <w:pPr>
      <w:ind w:left="1470"/>
      <w:jc w:val="left"/>
    </w:pPr>
    <w:rPr>
      <w:rFonts w:eastAsia="等线"/>
      <w:sz w:val="18"/>
      <w:szCs w:val="18"/>
    </w:rPr>
  </w:style>
  <w:style w:type="paragraph" w:styleId="a8">
    <w:name w:val="Date"/>
    <w:basedOn w:val="a"/>
    <w:next w:val="a"/>
    <w:link w:val="Char4"/>
    <w:uiPriority w:val="99"/>
    <w:unhideWhenUsed/>
    <w:pPr>
      <w:ind w:leftChars="2500" w:left="100"/>
    </w:pPr>
  </w:style>
  <w:style w:type="character" w:customStyle="1" w:styleId="Char4">
    <w:name w:val="日期 Char"/>
    <w:basedOn w:val="a0"/>
    <w:link w:val="a8"/>
    <w:uiPriority w:val="99"/>
    <w:semiHidden/>
    <w:qFormat/>
    <w:rPr>
      <w:rFonts w:ascii="等线" w:eastAsia="等线" w:hAnsi="等线" w:cs="Times New Roman"/>
      <w:sz w:val="21"/>
      <w:szCs w:val="22"/>
    </w:rPr>
  </w:style>
  <w:style w:type="paragraph" w:styleId="a9">
    <w:name w:val="Balloon Text"/>
    <w:basedOn w:val="a"/>
    <w:link w:val="Char5"/>
    <w:uiPriority w:val="99"/>
    <w:unhideWhenUsed/>
    <w:rPr>
      <w:sz w:val="18"/>
      <w:szCs w:val="18"/>
    </w:rPr>
  </w:style>
  <w:style w:type="character" w:customStyle="1" w:styleId="Char5">
    <w:name w:val="批注框文本 Char"/>
    <w:basedOn w:val="a0"/>
    <w:link w:val="a9"/>
    <w:uiPriority w:val="99"/>
    <w:semiHidden/>
    <w:rPr>
      <w:rFonts w:ascii="等线" w:eastAsia="等线" w:hAnsi="等线" w:cs="Times New Roman"/>
      <w:sz w:val="18"/>
      <w:szCs w:val="18"/>
    </w:rPr>
  </w:style>
  <w:style w:type="paragraph" w:styleId="aa">
    <w:name w:val="footer"/>
    <w:basedOn w:val="a"/>
    <w:link w:val="Char6"/>
    <w:uiPriority w:val="99"/>
    <w:unhideWhenUsed/>
    <w:pPr>
      <w:tabs>
        <w:tab w:val="center" w:pos="4153"/>
        <w:tab w:val="right" w:pos="8306"/>
      </w:tabs>
      <w:snapToGrid w:val="0"/>
      <w:jc w:val="left"/>
    </w:pPr>
    <w:rPr>
      <w:sz w:val="18"/>
      <w:szCs w:val="18"/>
    </w:rPr>
  </w:style>
  <w:style w:type="character" w:customStyle="1" w:styleId="Char6">
    <w:name w:val="页脚 Char"/>
    <w:basedOn w:val="a0"/>
    <w:link w:val="aa"/>
    <w:uiPriority w:val="99"/>
    <w:rPr>
      <w:rFonts w:ascii="等线" w:eastAsia="等线" w:hAnsi="等线" w:cs="Times New Roman"/>
      <w:sz w:val="18"/>
      <w:szCs w:val="18"/>
    </w:rPr>
  </w:style>
  <w:style w:type="paragraph" w:styleId="ab">
    <w:name w:val="header"/>
    <w:basedOn w:val="a"/>
    <w:link w:val="Char7"/>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b"/>
    <w:uiPriority w:val="99"/>
    <w:rPr>
      <w:rFonts w:ascii="等线" w:eastAsia="等线" w:hAnsi="等线" w:cs="Times New Roman"/>
      <w:sz w:val="18"/>
      <w:szCs w:val="18"/>
    </w:rPr>
  </w:style>
  <w:style w:type="paragraph" w:styleId="10">
    <w:name w:val="toc 1"/>
    <w:basedOn w:val="a"/>
    <w:next w:val="a"/>
    <w:uiPriority w:val="39"/>
    <w:unhideWhenUsed/>
    <w:pPr>
      <w:tabs>
        <w:tab w:val="right" w:leader="dot" w:pos="9060"/>
      </w:tabs>
      <w:spacing w:line="240" w:lineRule="auto"/>
      <w:jc w:val="left"/>
    </w:pPr>
    <w:rPr>
      <w:b/>
      <w:bCs/>
      <w:caps/>
      <w:szCs w:val="20"/>
    </w:rPr>
  </w:style>
  <w:style w:type="paragraph" w:styleId="40">
    <w:name w:val="toc 4"/>
    <w:basedOn w:val="a"/>
    <w:next w:val="a"/>
    <w:uiPriority w:val="39"/>
    <w:unhideWhenUsed/>
    <w:pPr>
      <w:ind w:left="630"/>
      <w:jc w:val="left"/>
    </w:pPr>
    <w:rPr>
      <w:sz w:val="18"/>
      <w:szCs w:val="18"/>
    </w:rPr>
  </w:style>
  <w:style w:type="paragraph" w:styleId="6">
    <w:name w:val="toc 6"/>
    <w:basedOn w:val="a"/>
    <w:next w:val="a"/>
    <w:uiPriority w:val="39"/>
    <w:unhideWhenUsed/>
    <w:pPr>
      <w:ind w:left="1050"/>
      <w:jc w:val="left"/>
    </w:pPr>
    <w:rPr>
      <w:sz w:val="18"/>
      <w:szCs w:val="18"/>
    </w:rPr>
  </w:style>
  <w:style w:type="paragraph" w:styleId="20">
    <w:name w:val="toc 2"/>
    <w:basedOn w:val="a"/>
    <w:next w:val="a"/>
    <w:uiPriority w:val="39"/>
    <w:unhideWhenUsed/>
    <w:pPr>
      <w:spacing w:line="240" w:lineRule="auto"/>
      <w:ind w:left="210"/>
      <w:jc w:val="left"/>
    </w:pPr>
    <w:rPr>
      <w:smallCaps/>
      <w:szCs w:val="20"/>
    </w:rPr>
  </w:style>
  <w:style w:type="paragraph" w:styleId="9">
    <w:name w:val="toc 9"/>
    <w:basedOn w:val="a"/>
    <w:next w:val="a"/>
    <w:uiPriority w:val="39"/>
    <w:unhideWhenUsed/>
    <w:pPr>
      <w:ind w:left="1680"/>
      <w:jc w:val="left"/>
    </w:pPr>
    <w:rPr>
      <w:rFonts w:eastAsia="等线"/>
      <w:sz w:val="18"/>
      <w:szCs w:val="18"/>
    </w:rPr>
  </w:style>
  <w:style w:type="paragraph" w:styleId="ac">
    <w:name w:val="Normal (Web)"/>
    <w:basedOn w:val="a"/>
    <w:uiPriority w:val="99"/>
    <w:unhideWhenUsed/>
    <w:rPr>
      <w:rFonts w:ascii="Times New Roman" w:hAnsi="Times New Roman" w:cs="宋体"/>
      <w:sz w:val="24"/>
      <w:szCs w:val="24"/>
    </w:rPr>
  </w:style>
  <w:style w:type="paragraph" w:styleId="ad">
    <w:name w:val="Title"/>
    <w:basedOn w:val="a"/>
    <w:next w:val="a"/>
    <w:link w:val="Char8"/>
    <w:uiPriority w:val="10"/>
    <w:qFormat/>
    <w:pPr>
      <w:spacing w:before="240" w:after="60"/>
      <w:jc w:val="center"/>
      <w:outlineLvl w:val="0"/>
    </w:pPr>
    <w:rPr>
      <w:rFonts w:ascii="等线 Light" w:eastAsia="等线 Light" w:hAnsi="等线 Light"/>
      <w:b/>
      <w:bCs/>
      <w:sz w:val="32"/>
      <w:szCs w:val="32"/>
    </w:rPr>
  </w:style>
  <w:style w:type="character" w:customStyle="1" w:styleId="Char8">
    <w:name w:val="标题 Char"/>
    <w:basedOn w:val="a0"/>
    <w:link w:val="ad"/>
    <w:uiPriority w:val="10"/>
    <w:rPr>
      <w:rFonts w:ascii="等线 Light" w:eastAsia="等线 Light" w:hAnsi="等线 Light" w:cs="Times New Roman"/>
      <w:b/>
      <w:bCs/>
      <w:sz w:val="32"/>
      <w:szCs w:val="32"/>
    </w:rPr>
  </w:style>
  <w:style w:type="paragraph" w:styleId="ae">
    <w:name w:val="annotation subject"/>
    <w:basedOn w:val="a5"/>
    <w:next w:val="a5"/>
    <w:link w:val="Char9"/>
    <w:uiPriority w:val="99"/>
    <w:unhideWhenUsed/>
    <w:qFormat/>
    <w:rPr>
      <w:b/>
      <w:bCs/>
    </w:rPr>
  </w:style>
  <w:style w:type="character" w:customStyle="1" w:styleId="Char9">
    <w:name w:val="批注主题 Char"/>
    <w:basedOn w:val="Char1"/>
    <w:link w:val="ae"/>
    <w:uiPriority w:val="99"/>
    <w:semiHidden/>
    <w:rPr>
      <w:rFonts w:ascii="等线" w:eastAsia="等线" w:hAnsi="等线" w:cs="Times New Roman"/>
      <w:b/>
      <w:bCs/>
      <w:sz w:val="21"/>
      <w:szCs w:val="22"/>
    </w:rPr>
  </w:style>
  <w:style w:type="table" w:styleId="af">
    <w:name w:val="Table Grid"/>
    <w:basedOn w:val="a1"/>
    <w:uiPriority w:val="3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unhideWhenUsed/>
    <w:rPr>
      <w:rFonts w:ascii="Times New Roman" w:eastAsia="宋体" w:hAnsi="Times New Roman"/>
    </w:rPr>
    <w:tblPr>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5B9BD5"/>
          <w:left w:val="single" w:sz="8" w:space="0" w:color="5B9BD5"/>
          <w:bottom w:val="single" w:sz="8" w:space="0" w:color="5B9BD5"/>
          <w:right w:val="single" w:sz="8" w:space="0" w:color="5B9BD5"/>
          <w:insideH w:val="none" w:sz="0" w:space="0" w:color="auto"/>
          <w:insideV w:val="none" w:sz="0" w:space="0" w:color="auto"/>
          <w:tl2br w:val="none" w:sz="0" w:space="0" w:color="auto"/>
          <w:tr2bl w:val="none" w:sz="0" w:space="0" w:color="auto"/>
        </w:tcBorders>
      </w:tcPr>
    </w:tblStylePr>
  </w:style>
  <w:style w:type="character" w:styleId="af0">
    <w:name w:val="Strong"/>
    <w:basedOn w:val="a0"/>
    <w:uiPriority w:val="22"/>
    <w:qFormat/>
    <w:rPr>
      <w:b/>
      <w:bCs/>
    </w:rPr>
  </w:style>
  <w:style w:type="character" w:styleId="af1">
    <w:name w:val="Hyperlink"/>
    <w:basedOn w:val="a0"/>
    <w:uiPriority w:val="99"/>
    <w:unhideWhenUsed/>
    <w:qFormat/>
    <w:rPr>
      <w:color w:val="0000FF"/>
      <w:u w:val="single"/>
    </w:rPr>
  </w:style>
  <w:style w:type="character" w:styleId="HTML">
    <w:name w:val="HTML Code"/>
    <w:basedOn w:val="a0"/>
    <w:uiPriority w:val="99"/>
    <w:unhideWhenUsed/>
    <w:rPr>
      <w:rFonts w:ascii="Courier New" w:hAnsi="Courier New" w:cs="Courier New"/>
      <w:sz w:val="20"/>
      <w:szCs w:val="20"/>
    </w:rPr>
  </w:style>
  <w:style w:type="character" w:styleId="af2">
    <w:name w:val="annotation reference"/>
    <w:basedOn w:val="a0"/>
    <w:uiPriority w:val="99"/>
    <w:unhideWhenUsed/>
    <w:rPr>
      <w:sz w:val="21"/>
      <w:szCs w:val="21"/>
    </w:rPr>
  </w:style>
  <w:style w:type="paragraph" w:customStyle="1" w:styleId="af3">
    <w:name w:val="代码样式"/>
    <w:link w:val="Chara"/>
    <w:qFormat/>
    <w:pPr>
      <w:pBdr>
        <w:top w:val="single" w:sz="4" w:space="1" w:color="auto"/>
        <w:left w:val="single" w:sz="4" w:space="4" w:color="auto"/>
        <w:bottom w:val="single" w:sz="4" w:space="1" w:color="auto"/>
        <w:right w:val="single" w:sz="4" w:space="4" w:color="auto"/>
      </w:pBdr>
      <w:shd w:val="clear" w:color="auto" w:fill="A8D08D"/>
      <w:spacing w:beforeLines="50" w:afterLines="50"/>
      <w:ind w:leftChars="50" w:left="50" w:rightChars="50" w:right="50"/>
    </w:pPr>
    <w:rPr>
      <w:kern w:val="2"/>
      <w:sz w:val="21"/>
      <w:szCs w:val="21"/>
    </w:rPr>
  </w:style>
  <w:style w:type="character" w:customStyle="1" w:styleId="Chara">
    <w:name w:val="代码样式 Char"/>
    <w:basedOn w:val="a0"/>
    <w:link w:val="af3"/>
    <w:qFormat/>
    <w:rPr>
      <w:shd w:val="clear" w:color="auto" w:fill="A8D08D"/>
    </w:rPr>
  </w:style>
  <w:style w:type="paragraph" w:styleId="af4">
    <w:name w:val="List Paragraph"/>
    <w:basedOn w:val="a"/>
    <w:uiPriority w:val="34"/>
    <w:qFormat/>
    <w:pPr>
      <w:ind w:firstLineChars="200" w:firstLine="420"/>
    </w:pPr>
  </w:style>
  <w:style w:type="paragraph" w:customStyle="1" w:styleId="biaogeleft">
    <w:name w:val="biaoge_left"/>
    <w:basedOn w:val="a"/>
    <w:qFormat/>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Pr>
      <w:rFonts w:ascii="宋体" w:eastAsia="宋体" w:hAnsi="宋体"/>
      <w:color w:val="000000"/>
      <w:sz w:val="21"/>
    </w:rPr>
  </w:style>
  <w:style w:type="paragraph" w:customStyle="1" w:styleId="TOCHeading">
    <w:name w:val="TOC Heading"/>
    <w:basedOn w:val="1"/>
    <w:next w:val="a"/>
    <w:uiPriority w:val="39"/>
    <w:unhideWhenUsed/>
    <w:qFormat/>
    <w:pPr>
      <w:keepNext/>
      <w:keepLines/>
      <w:widowControl/>
      <w:spacing w:before="240" w:line="259" w:lineRule="auto"/>
      <w:outlineLvl w:val="9"/>
    </w:pPr>
    <w:rPr>
      <w:rFonts w:ascii="等线 Light" w:eastAsia="等线 Light" w:hAnsi="等线 Light"/>
      <w:b w:val="0"/>
      <w:bCs w:val="0"/>
      <w:color w:val="2E75B5"/>
      <w:kern w:val="0"/>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1035</Characters>
  <Application>Microsoft Office Word</Application>
  <DocSecurity>4</DocSecurity>
  <Lines>8</Lines>
  <Paragraphs>2</Paragraphs>
  <ScaleCrop>false</ScaleCrop>
  <Manager/>
  <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2025-11-26T16:01:00Z</dcterms:created>
  <dcterms:modified xsi:type="dcterms:W3CDTF">2025-11-26T16:01:00Z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1BEEA201F39F4BA49391259C972243E4</vt:lpwstr>
  </property>
</Properties>
</file>