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548D5">
      <w:pPr>
        <w:spacing w:line="300" w:lineRule="auto"/>
        <w:jc w:val="center"/>
        <w:rPr>
          <w:rFonts w:ascii="宋体" w:hAnsi="宋体"/>
          <w:lang w:eastAsia="en-US"/>
        </w:rPr>
      </w:pPr>
      <w:r>
        <w:rPr>
          <w:rFonts w:ascii="宋体" w:hAnsi="宋体"/>
          <w:b/>
          <w:sz w:val="24"/>
          <w:szCs w:val="24"/>
          <w:lang w:eastAsia="en-US"/>
        </w:rPr>
        <w:t>永赢锐见先锋混合型证券投资基金开放日常申购、赎回、转换、定期定额投资业务的公告</w:t>
      </w:r>
    </w:p>
    <w:p w:rsidR="00000000" w:rsidRDefault="00F548D5">
      <w:pPr>
        <w:spacing w:line="360" w:lineRule="auto"/>
        <w:ind w:firstLine="480"/>
        <w:jc w:val="center"/>
        <w:rPr>
          <w:lang w:eastAsia="en-US"/>
        </w:rPr>
      </w:pPr>
      <w:r>
        <w:rPr>
          <w:rFonts w:ascii="宋体" w:hAnsi="宋体"/>
          <w:sz w:val="24"/>
          <w:szCs w:val="24"/>
          <w:lang w:eastAsia="en-US"/>
        </w:rPr>
        <w:t>公告送出日期：</w:t>
      </w:r>
      <w:r>
        <w:rPr>
          <w:rFonts w:ascii="宋体" w:hAnsi="宋体"/>
          <w:sz w:val="24"/>
          <w:szCs w:val="24"/>
          <w:lang w:eastAsia="en-US"/>
        </w:rPr>
        <w:t>2025</w:t>
      </w:r>
      <w:r>
        <w:rPr>
          <w:rFonts w:ascii="宋体" w:hAnsi="宋体"/>
          <w:sz w:val="24"/>
          <w:szCs w:val="24"/>
          <w:lang w:eastAsia="en-US"/>
        </w:rPr>
        <w:t>年</w:t>
      </w:r>
      <w:r>
        <w:rPr>
          <w:rFonts w:ascii="宋体" w:hAnsi="宋体"/>
          <w:sz w:val="24"/>
          <w:szCs w:val="24"/>
          <w:lang w:eastAsia="en-US"/>
        </w:rPr>
        <w:t>11</w:t>
      </w:r>
      <w:r>
        <w:rPr>
          <w:rFonts w:ascii="宋体" w:hAnsi="宋体"/>
          <w:sz w:val="24"/>
          <w:szCs w:val="24"/>
          <w:lang w:eastAsia="en-US"/>
        </w:rPr>
        <w:t>月</w:t>
      </w:r>
      <w:r>
        <w:rPr>
          <w:rFonts w:ascii="宋体" w:hAnsi="宋体"/>
          <w:sz w:val="24"/>
          <w:szCs w:val="24"/>
          <w:lang w:eastAsia="en-US"/>
        </w:rPr>
        <w:t>27</w:t>
      </w:r>
      <w:r>
        <w:rPr>
          <w:rFonts w:ascii="宋体" w:hAnsi="宋体"/>
          <w:sz w:val="24"/>
          <w:szCs w:val="24"/>
          <w:lang w:eastAsia="en-US"/>
        </w:rPr>
        <w:t>日</w:t>
      </w:r>
    </w:p>
    <w:p w:rsidR="00000000" w:rsidRDefault="00F548D5">
      <w:pPr>
        <w:rPr>
          <w:lang w:eastAsia="en-US"/>
        </w:rPr>
      </w:pPr>
      <w:r>
        <w:rPr>
          <w:rFonts w:ascii="宋体" w:hAnsi="宋体" w:hint="eastAsia"/>
          <w:b/>
          <w:sz w:val="24"/>
          <w:szCs w:val="24"/>
          <w:lang w:eastAsia="en-US"/>
        </w:rPr>
        <w:t xml:space="preserve">1 </w:t>
      </w:r>
      <w:r>
        <w:rPr>
          <w:rFonts w:ascii="宋体" w:hAnsi="宋体" w:hint="eastAsia"/>
          <w:b/>
          <w:sz w:val="24"/>
          <w:szCs w:val="24"/>
          <w:lang w:eastAsia="en-US"/>
        </w:rPr>
        <w:t>公告基本信息</w:t>
      </w:r>
    </w:p>
    <w:tbl>
      <w:tblPr>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808"/>
        <w:gridCol w:w="3074"/>
        <w:gridCol w:w="3074"/>
      </w:tblGrid>
      <w:tr w:rsidR="00000000">
        <w:trPr>
          <w:cnfStyle w:val="100000000000"/>
          <w:jc w:val="center"/>
        </w:trPr>
        <w:tc>
          <w:tcPr>
            <w:cnfStyle w:val="001000000100"/>
            <w:tcW w:w="72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基金名称</w:t>
            </w:r>
          </w:p>
        </w:tc>
        <w:tc>
          <w:tcPr>
            <w:tcW w:w="108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cnfStyle w:val="100000000000"/>
              <w:rPr>
                <w:rFonts w:ascii="宋体" w:cs="宋体"/>
                <w:color w:val="000000"/>
                <w:lang w:eastAsia="en-US"/>
              </w:rPr>
            </w:pPr>
            <w:r>
              <w:rPr>
                <w:rFonts w:ascii="宋体" w:hAnsi="宋体"/>
                <w:sz w:val="24"/>
                <w:szCs w:val="24"/>
                <w:lang w:eastAsia="en-US"/>
              </w:rPr>
              <w:t>永赢锐见先锋混合型证券投资基金</w:t>
            </w:r>
          </w:p>
        </w:tc>
      </w:tr>
      <w:tr w:rsidR="00000000">
        <w:trPr>
          <w:jc w:val="center"/>
        </w:trPr>
        <w:tc>
          <w:tcPr>
            <w:cnfStyle w:val="001000000000"/>
            <w:tcW w:w="72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基金简称</w:t>
            </w:r>
          </w:p>
        </w:tc>
        <w:tc>
          <w:tcPr>
            <w:tcW w:w="108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cnfStyle w:val="000000000000"/>
              <w:rPr>
                <w:rFonts w:ascii="宋体" w:cs="宋体"/>
                <w:color w:val="000000"/>
                <w:lang w:eastAsia="en-US"/>
              </w:rPr>
            </w:pPr>
            <w:r>
              <w:rPr>
                <w:rFonts w:ascii="宋体" w:hAnsi="宋体"/>
                <w:sz w:val="24"/>
                <w:szCs w:val="24"/>
                <w:lang w:eastAsia="en-US"/>
              </w:rPr>
              <w:t>永赢锐见先锋混合</w:t>
            </w:r>
          </w:p>
        </w:tc>
      </w:tr>
      <w:tr w:rsidR="00000000">
        <w:trPr>
          <w:jc w:val="center"/>
        </w:trPr>
        <w:tc>
          <w:tcPr>
            <w:cnfStyle w:val="001000000000"/>
            <w:tcW w:w="72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基金主代码</w:t>
            </w:r>
          </w:p>
        </w:tc>
        <w:tc>
          <w:tcPr>
            <w:tcW w:w="108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cnfStyle w:val="000000000000"/>
              <w:rPr>
                <w:rFonts w:ascii="宋体" w:cs="宋体"/>
                <w:color w:val="000000"/>
                <w:lang w:eastAsia="en-US"/>
              </w:rPr>
            </w:pPr>
            <w:r>
              <w:rPr>
                <w:rFonts w:ascii="宋体" w:hAnsi="宋体"/>
                <w:sz w:val="24"/>
                <w:szCs w:val="24"/>
                <w:lang w:eastAsia="en-US"/>
              </w:rPr>
              <w:t>023420</w:t>
            </w:r>
          </w:p>
        </w:tc>
      </w:tr>
      <w:tr w:rsidR="00000000">
        <w:trPr>
          <w:jc w:val="center"/>
        </w:trPr>
        <w:tc>
          <w:tcPr>
            <w:cnfStyle w:val="001000000000"/>
            <w:tcW w:w="72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基金运作方式</w:t>
            </w:r>
          </w:p>
        </w:tc>
        <w:tc>
          <w:tcPr>
            <w:tcW w:w="108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cnfStyle w:val="000000000000"/>
              <w:rPr>
                <w:rFonts w:ascii="宋体" w:cs="宋体"/>
                <w:color w:val="000000"/>
                <w:sz w:val="24"/>
                <w:lang w:eastAsia="en-US"/>
              </w:rPr>
            </w:pPr>
            <w:r>
              <w:rPr>
                <w:sz w:val="24"/>
                <w:lang w:eastAsia="en-US"/>
              </w:rPr>
              <w:t>契约型开放式</w:t>
            </w:r>
          </w:p>
        </w:tc>
      </w:tr>
      <w:tr w:rsidR="00000000">
        <w:trPr>
          <w:jc w:val="center"/>
        </w:trPr>
        <w:tc>
          <w:tcPr>
            <w:cnfStyle w:val="001000000000"/>
            <w:tcW w:w="72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基金合同生效日</w:t>
            </w:r>
          </w:p>
        </w:tc>
        <w:tc>
          <w:tcPr>
            <w:tcW w:w="108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cnfStyle w:val="000000000000"/>
              <w:rPr>
                <w:rFonts w:ascii="宋体" w:cs="宋体"/>
                <w:color w:val="000000"/>
                <w:lang w:eastAsia="en-US"/>
              </w:rPr>
            </w:pPr>
            <w:r>
              <w:rPr>
                <w:rFonts w:ascii="宋体" w:hAnsi="宋体"/>
                <w:sz w:val="24"/>
                <w:szCs w:val="24"/>
                <w:lang w:eastAsia="en-US"/>
              </w:rPr>
              <w:t>2025</w:t>
            </w:r>
            <w:r>
              <w:rPr>
                <w:rFonts w:ascii="宋体" w:hAnsi="宋体"/>
                <w:sz w:val="24"/>
                <w:szCs w:val="24"/>
                <w:lang w:eastAsia="en-US"/>
              </w:rPr>
              <w:t>年</w:t>
            </w:r>
            <w:r>
              <w:rPr>
                <w:rFonts w:ascii="宋体" w:hAnsi="宋体"/>
                <w:sz w:val="24"/>
                <w:szCs w:val="24"/>
                <w:lang w:eastAsia="en-US"/>
              </w:rPr>
              <w:t>09</w:t>
            </w:r>
            <w:r>
              <w:rPr>
                <w:rFonts w:ascii="宋体" w:hAnsi="宋体"/>
                <w:sz w:val="24"/>
                <w:szCs w:val="24"/>
                <w:lang w:eastAsia="en-US"/>
              </w:rPr>
              <w:t>月</w:t>
            </w:r>
            <w:r>
              <w:rPr>
                <w:rFonts w:ascii="宋体" w:hAnsi="宋体"/>
                <w:sz w:val="24"/>
                <w:szCs w:val="24"/>
                <w:lang w:eastAsia="en-US"/>
              </w:rPr>
              <w:t>02</w:t>
            </w:r>
            <w:r>
              <w:rPr>
                <w:rFonts w:ascii="宋体" w:hAnsi="宋体"/>
                <w:sz w:val="24"/>
                <w:szCs w:val="24"/>
                <w:lang w:eastAsia="en-US"/>
              </w:rPr>
              <w:t>日</w:t>
            </w:r>
          </w:p>
        </w:tc>
      </w:tr>
      <w:tr w:rsidR="00000000">
        <w:trPr>
          <w:jc w:val="center"/>
        </w:trPr>
        <w:tc>
          <w:tcPr>
            <w:cnfStyle w:val="001000000000"/>
            <w:tcW w:w="72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基金管理人名称</w:t>
            </w:r>
          </w:p>
        </w:tc>
        <w:tc>
          <w:tcPr>
            <w:tcW w:w="108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jc w:val="left"/>
              <w:cnfStyle w:val="000000000000"/>
              <w:rPr>
                <w:rFonts w:ascii="宋体" w:cs="宋体"/>
                <w:color w:val="000000"/>
                <w:lang w:eastAsia="en-US"/>
              </w:rPr>
            </w:pPr>
            <w:r>
              <w:rPr>
                <w:rFonts w:ascii="宋体" w:hAnsi="宋体"/>
                <w:sz w:val="24"/>
                <w:szCs w:val="24"/>
                <w:lang w:eastAsia="en-US"/>
              </w:rPr>
              <w:t>永赢基金管理有限公司</w:t>
            </w:r>
          </w:p>
        </w:tc>
      </w:tr>
      <w:tr w:rsidR="00000000">
        <w:trPr>
          <w:jc w:val="center"/>
        </w:trPr>
        <w:tc>
          <w:tcPr>
            <w:cnfStyle w:val="001000000000"/>
            <w:tcW w:w="72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基金托管人名称</w:t>
            </w:r>
          </w:p>
        </w:tc>
        <w:tc>
          <w:tcPr>
            <w:tcW w:w="108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中国农业银行股份有限公司</w:t>
            </w:r>
          </w:p>
        </w:tc>
      </w:tr>
      <w:tr w:rsidR="00000000">
        <w:trPr>
          <w:jc w:val="center"/>
        </w:trPr>
        <w:tc>
          <w:tcPr>
            <w:cnfStyle w:val="001000000000"/>
            <w:tcW w:w="72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基金注册登记机构名称</w:t>
            </w:r>
          </w:p>
        </w:tc>
        <w:tc>
          <w:tcPr>
            <w:tcW w:w="108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永赢基金管理有限公司</w:t>
            </w:r>
          </w:p>
        </w:tc>
      </w:tr>
      <w:tr w:rsidR="00000000">
        <w:trPr>
          <w:jc w:val="center"/>
        </w:trPr>
        <w:tc>
          <w:tcPr>
            <w:cnfStyle w:val="001000000000"/>
            <w:tcW w:w="72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公告依据</w:t>
            </w:r>
          </w:p>
        </w:tc>
        <w:tc>
          <w:tcPr>
            <w:tcW w:w="108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cnfStyle w:val="000000000000"/>
              <w:rPr>
                <w:rFonts w:ascii="宋体" w:cs="宋体"/>
                <w:color w:val="000000"/>
                <w:lang w:eastAsia="en-US"/>
              </w:rPr>
            </w:pPr>
            <w:r>
              <w:rPr>
                <w:rFonts w:ascii="宋体" w:hAnsi="宋体"/>
                <w:sz w:val="24"/>
                <w:szCs w:val="24"/>
                <w:lang w:eastAsia="en-US"/>
              </w:rPr>
              <w:t>《中华人民共和国证券投资基金法》及配套法规、《永赢锐见先锋混合</w:t>
            </w:r>
            <w:r>
              <w:rPr>
                <w:rFonts w:ascii="宋体" w:hAnsi="宋体"/>
                <w:sz w:val="24"/>
                <w:szCs w:val="24"/>
                <w:lang w:eastAsia="en-US"/>
              </w:rPr>
              <w:t>型证券投资基金基金合同》、《永赢锐见先锋混合型证券投资基金招募说明书》</w:t>
            </w:r>
          </w:p>
        </w:tc>
      </w:tr>
      <w:tr w:rsidR="00000000">
        <w:trPr>
          <w:jc w:val="center"/>
        </w:trPr>
        <w:tc>
          <w:tcPr>
            <w:cnfStyle w:val="001000000000"/>
            <w:tcW w:w="72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申购起始日</w:t>
            </w:r>
          </w:p>
        </w:tc>
        <w:tc>
          <w:tcPr>
            <w:tcW w:w="108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2025</w:t>
            </w:r>
            <w:r>
              <w:rPr>
                <w:rFonts w:ascii="宋体" w:hAnsi="宋体"/>
                <w:sz w:val="24"/>
                <w:szCs w:val="24"/>
                <w:lang w:eastAsia="en-US"/>
              </w:rPr>
              <w:t>年</w:t>
            </w:r>
            <w:r>
              <w:rPr>
                <w:rFonts w:ascii="宋体" w:hAnsi="宋体"/>
                <w:sz w:val="24"/>
                <w:szCs w:val="24"/>
                <w:lang w:eastAsia="en-US"/>
              </w:rPr>
              <w:t>12</w:t>
            </w:r>
            <w:r>
              <w:rPr>
                <w:rFonts w:ascii="宋体" w:hAnsi="宋体"/>
                <w:sz w:val="24"/>
                <w:szCs w:val="24"/>
                <w:lang w:eastAsia="en-US"/>
              </w:rPr>
              <w:t>月</w:t>
            </w:r>
            <w:r>
              <w:rPr>
                <w:rFonts w:ascii="宋体" w:hAnsi="宋体"/>
                <w:sz w:val="24"/>
                <w:szCs w:val="24"/>
                <w:lang w:eastAsia="en-US"/>
              </w:rPr>
              <w:t>02</w:t>
            </w:r>
            <w:r>
              <w:rPr>
                <w:rFonts w:ascii="宋体" w:hAnsi="宋体"/>
                <w:sz w:val="24"/>
                <w:szCs w:val="24"/>
                <w:lang w:eastAsia="en-US"/>
              </w:rPr>
              <w:t>日</w:t>
            </w:r>
          </w:p>
        </w:tc>
      </w:tr>
      <w:tr w:rsidR="00000000">
        <w:trPr>
          <w:jc w:val="center"/>
        </w:trPr>
        <w:tc>
          <w:tcPr>
            <w:cnfStyle w:val="001000000000"/>
            <w:tcW w:w="72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赎回起始日</w:t>
            </w:r>
          </w:p>
        </w:tc>
        <w:tc>
          <w:tcPr>
            <w:tcW w:w="108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jc w:val="left"/>
              <w:cnfStyle w:val="000000000000"/>
              <w:rPr>
                <w:rFonts w:ascii="宋体" w:cs="宋体"/>
                <w:color w:val="000000"/>
                <w:sz w:val="24"/>
                <w:szCs w:val="24"/>
                <w:lang w:eastAsia="en-US"/>
              </w:rPr>
            </w:pPr>
            <w:r>
              <w:rPr>
                <w:rFonts w:ascii="宋体" w:hAnsi="宋体"/>
                <w:sz w:val="24"/>
                <w:szCs w:val="24"/>
                <w:lang w:eastAsia="en-US"/>
              </w:rPr>
              <w:t>2025</w:t>
            </w:r>
            <w:r>
              <w:rPr>
                <w:rFonts w:ascii="宋体" w:hAnsi="宋体"/>
                <w:sz w:val="24"/>
                <w:szCs w:val="24"/>
                <w:lang w:eastAsia="en-US"/>
              </w:rPr>
              <w:t>年</w:t>
            </w:r>
            <w:r>
              <w:rPr>
                <w:rFonts w:ascii="宋体" w:hAnsi="宋体"/>
                <w:sz w:val="24"/>
                <w:szCs w:val="24"/>
                <w:lang w:eastAsia="en-US"/>
              </w:rPr>
              <w:t>12</w:t>
            </w:r>
            <w:r>
              <w:rPr>
                <w:rFonts w:ascii="宋体" w:hAnsi="宋体"/>
                <w:sz w:val="24"/>
                <w:szCs w:val="24"/>
                <w:lang w:eastAsia="en-US"/>
              </w:rPr>
              <w:t>月</w:t>
            </w:r>
            <w:r>
              <w:rPr>
                <w:rFonts w:ascii="宋体" w:hAnsi="宋体"/>
                <w:sz w:val="24"/>
                <w:szCs w:val="24"/>
                <w:lang w:eastAsia="en-US"/>
              </w:rPr>
              <w:t>02</w:t>
            </w:r>
            <w:r>
              <w:rPr>
                <w:rFonts w:ascii="宋体" w:hAnsi="宋体"/>
                <w:sz w:val="24"/>
                <w:szCs w:val="24"/>
                <w:lang w:eastAsia="en-US"/>
              </w:rPr>
              <w:t>日</w:t>
            </w:r>
          </w:p>
        </w:tc>
      </w:tr>
      <w:tr w:rsidR="00000000">
        <w:trPr>
          <w:jc w:val="center"/>
        </w:trPr>
        <w:tc>
          <w:tcPr>
            <w:cnfStyle w:val="001000000000"/>
            <w:tcW w:w="72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转换转入起始日</w:t>
            </w:r>
          </w:p>
        </w:tc>
        <w:tc>
          <w:tcPr>
            <w:tcW w:w="108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jc w:val="left"/>
              <w:cnfStyle w:val="000000000000"/>
              <w:rPr>
                <w:rFonts w:ascii="宋体" w:cs="宋体"/>
                <w:color w:val="000000"/>
                <w:sz w:val="24"/>
                <w:szCs w:val="24"/>
                <w:lang w:eastAsia="en-US"/>
              </w:rPr>
            </w:pPr>
            <w:r>
              <w:rPr>
                <w:rFonts w:ascii="宋体" w:hAnsi="宋体"/>
                <w:sz w:val="24"/>
                <w:szCs w:val="24"/>
                <w:lang w:eastAsia="en-US"/>
              </w:rPr>
              <w:t>2025</w:t>
            </w:r>
            <w:r>
              <w:rPr>
                <w:rFonts w:ascii="宋体" w:hAnsi="宋体"/>
                <w:sz w:val="24"/>
                <w:szCs w:val="24"/>
                <w:lang w:eastAsia="en-US"/>
              </w:rPr>
              <w:t>年</w:t>
            </w:r>
            <w:r>
              <w:rPr>
                <w:rFonts w:ascii="宋体" w:hAnsi="宋体"/>
                <w:sz w:val="24"/>
                <w:szCs w:val="24"/>
                <w:lang w:eastAsia="en-US"/>
              </w:rPr>
              <w:t>12</w:t>
            </w:r>
            <w:r>
              <w:rPr>
                <w:rFonts w:ascii="宋体" w:hAnsi="宋体"/>
                <w:sz w:val="24"/>
                <w:szCs w:val="24"/>
                <w:lang w:eastAsia="en-US"/>
              </w:rPr>
              <w:t>月</w:t>
            </w:r>
            <w:r>
              <w:rPr>
                <w:rFonts w:ascii="宋体" w:hAnsi="宋体"/>
                <w:sz w:val="24"/>
                <w:szCs w:val="24"/>
                <w:lang w:eastAsia="en-US"/>
              </w:rPr>
              <w:t>02</w:t>
            </w:r>
            <w:r>
              <w:rPr>
                <w:rFonts w:ascii="宋体" w:hAnsi="宋体"/>
                <w:sz w:val="24"/>
                <w:szCs w:val="24"/>
                <w:lang w:eastAsia="en-US"/>
              </w:rPr>
              <w:t>日</w:t>
            </w:r>
          </w:p>
        </w:tc>
      </w:tr>
      <w:tr w:rsidR="00000000">
        <w:trPr>
          <w:jc w:val="center"/>
        </w:trPr>
        <w:tc>
          <w:tcPr>
            <w:cnfStyle w:val="001000000000"/>
            <w:tcW w:w="72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转换转出起始日</w:t>
            </w:r>
          </w:p>
        </w:tc>
        <w:tc>
          <w:tcPr>
            <w:tcW w:w="108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jc w:val="left"/>
              <w:cnfStyle w:val="000000000000"/>
              <w:rPr>
                <w:rFonts w:ascii="宋体" w:cs="宋体"/>
                <w:color w:val="000000"/>
                <w:sz w:val="24"/>
                <w:szCs w:val="24"/>
                <w:lang w:eastAsia="en-US"/>
              </w:rPr>
            </w:pPr>
            <w:r>
              <w:rPr>
                <w:rFonts w:ascii="宋体" w:hAnsi="宋体"/>
                <w:sz w:val="24"/>
                <w:szCs w:val="24"/>
                <w:lang w:eastAsia="en-US"/>
              </w:rPr>
              <w:t>2025</w:t>
            </w:r>
            <w:r>
              <w:rPr>
                <w:rFonts w:ascii="宋体" w:hAnsi="宋体"/>
                <w:sz w:val="24"/>
                <w:szCs w:val="24"/>
                <w:lang w:eastAsia="en-US"/>
              </w:rPr>
              <w:t>年</w:t>
            </w:r>
            <w:r>
              <w:rPr>
                <w:rFonts w:ascii="宋体" w:hAnsi="宋体"/>
                <w:sz w:val="24"/>
                <w:szCs w:val="24"/>
                <w:lang w:eastAsia="en-US"/>
              </w:rPr>
              <w:t>12</w:t>
            </w:r>
            <w:r>
              <w:rPr>
                <w:rFonts w:ascii="宋体" w:hAnsi="宋体"/>
                <w:sz w:val="24"/>
                <w:szCs w:val="24"/>
                <w:lang w:eastAsia="en-US"/>
              </w:rPr>
              <w:t>月</w:t>
            </w:r>
            <w:r>
              <w:rPr>
                <w:rFonts w:ascii="宋体" w:hAnsi="宋体"/>
                <w:sz w:val="24"/>
                <w:szCs w:val="24"/>
                <w:lang w:eastAsia="en-US"/>
              </w:rPr>
              <w:t>02</w:t>
            </w:r>
            <w:r>
              <w:rPr>
                <w:rFonts w:ascii="宋体" w:hAnsi="宋体"/>
                <w:sz w:val="24"/>
                <w:szCs w:val="24"/>
                <w:lang w:eastAsia="en-US"/>
              </w:rPr>
              <w:t>日</w:t>
            </w:r>
          </w:p>
        </w:tc>
      </w:tr>
      <w:tr w:rsidR="00000000">
        <w:trPr>
          <w:jc w:val="center"/>
        </w:trPr>
        <w:tc>
          <w:tcPr>
            <w:cnfStyle w:val="001000000000"/>
            <w:tcW w:w="72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定期定额投资起始日</w:t>
            </w:r>
          </w:p>
        </w:tc>
        <w:tc>
          <w:tcPr>
            <w:tcW w:w="108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jc w:val="left"/>
              <w:cnfStyle w:val="000000000000"/>
              <w:rPr>
                <w:rFonts w:ascii="宋体" w:cs="宋体"/>
                <w:color w:val="000000"/>
                <w:sz w:val="24"/>
                <w:szCs w:val="24"/>
                <w:lang w:eastAsia="en-US"/>
              </w:rPr>
            </w:pPr>
            <w:r>
              <w:rPr>
                <w:rFonts w:ascii="宋体" w:hAnsi="宋体"/>
                <w:sz w:val="24"/>
                <w:szCs w:val="24"/>
                <w:lang w:eastAsia="en-US"/>
              </w:rPr>
              <w:t>2025</w:t>
            </w:r>
            <w:r>
              <w:rPr>
                <w:rFonts w:ascii="宋体" w:hAnsi="宋体"/>
                <w:sz w:val="24"/>
                <w:szCs w:val="24"/>
                <w:lang w:eastAsia="en-US"/>
              </w:rPr>
              <w:t>年</w:t>
            </w:r>
            <w:r>
              <w:rPr>
                <w:rFonts w:ascii="宋体" w:hAnsi="宋体"/>
                <w:sz w:val="24"/>
                <w:szCs w:val="24"/>
                <w:lang w:eastAsia="en-US"/>
              </w:rPr>
              <w:t>12</w:t>
            </w:r>
            <w:r>
              <w:rPr>
                <w:rFonts w:ascii="宋体" w:hAnsi="宋体"/>
                <w:sz w:val="24"/>
                <w:szCs w:val="24"/>
                <w:lang w:eastAsia="en-US"/>
              </w:rPr>
              <w:t>月</w:t>
            </w:r>
            <w:r>
              <w:rPr>
                <w:rFonts w:ascii="宋体" w:hAnsi="宋体"/>
                <w:sz w:val="24"/>
                <w:szCs w:val="24"/>
                <w:lang w:eastAsia="en-US"/>
              </w:rPr>
              <w:t>02</w:t>
            </w:r>
            <w:r>
              <w:rPr>
                <w:rFonts w:ascii="宋体" w:hAnsi="宋体"/>
                <w:sz w:val="24"/>
                <w:szCs w:val="24"/>
                <w:lang w:eastAsia="en-US"/>
              </w:rPr>
              <w:t>日</w:t>
            </w:r>
          </w:p>
        </w:tc>
      </w:tr>
      <w:tr w:rsidR="00000000">
        <w:trPr>
          <w:jc w:val="center"/>
        </w:trPr>
        <w:tc>
          <w:tcPr>
            <w:cnfStyle w:val="001000000000"/>
            <w:tcW w:w="72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下属基金份额类别的基金简称</w:t>
            </w:r>
          </w:p>
        </w:tc>
        <w:tc>
          <w:tcPr>
            <w:tcW w:w="5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永赢锐见先锋混合</w:t>
            </w:r>
            <w:r>
              <w:rPr>
                <w:rFonts w:ascii="宋体" w:hAnsi="宋体"/>
                <w:sz w:val="24"/>
                <w:szCs w:val="24"/>
                <w:lang w:eastAsia="en-US"/>
              </w:rPr>
              <w:t>A</w:t>
            </w:r>
          </w:p>
        </w:tc>
        <w:tc>
          <w:tcPr>
            <w:tcW w:w="5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永赢锐见先锋混合</w:t>
            </w:r>
            <w:r>
              <w:rPr>
                <w:rFonts w:ascii="宋体" w:hAnsi="宋体"/>
                <w:sz w:val="24"/>
                <w:szCs w:val="24"/>
                <w:lang w:eastAsia="en-US"/>
              </w:rPr>
              <w:t>C</w:t>
            </w:r>
          </w:p>
        </w:tc>
      </w:tr>
      <w:tr w:rsidR="00000000">
        <w:trPr>
          <w:jc w:val="center"/>
        </w:trPr>
        <w:tc>
          <w:tcPr>
            <w:cnfStyle w:val="001000000000"/>
            <w:tcW w:w="72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下属基金份额类别的交易代码</w:t>
            </w:r>
          </w:p>
        </w:tc>
        <w:tc>
          <w:tcPr>
            <w:tcW w:w="5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023420</w:t>
            </w:r>
          </w:p>
        </w:tc>
        <w:tc>
          <w:tcPr>
            <w:tcW w:w="5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023421</w:t>
            </w:r>
          </w:p>
        </w:tc>
      </w:tr>
      <w:tr w:rsidR="00000000">
        <w:trPr>
          <w:jc w:val="center"/>
        </w:trPr>
        <w:tc>
          <w:tcPr>
            <w:cnfStyle w:val="001000000000"/>
            <w:tcW w:w="72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rPr>
                <w:rFonts w:ascii="宋体" w:cs="宋体"/>
                <w:color w:val="000000"/>
                <w:sz w:val="24"/>
                <w:szCs w:val="24"/>
                <w:lang w:eastAsia="en-US"/>
              </w:rPr>
            </w:pPr>
            <w:r>
              <w:rPr>
                <w:rFonts w:ascii="宋体" w:hAnsi="宋体" w:hint="eastAsia"/>
                <w:sz w:val="24"/>
                <w:szCs w:val="24"/>
                <w:lang w:eastAsia="en-US"/>
              </w:rPr>
              <w:t>该基金份额类别是否开放</w:t>
            </w:r>
            <w:r>
              <w:rPr>
                <w:rFonts w:ascii="宋体" w:hAnsi="宋体"/>
                <w:sz w:val="24"/>
                <w:szCs w:val="24"/>
                <w:lang w:eastAsia="en-US"/>
              </w:rPr>
              <w:t>申购、赎回、转换、定期定额投资</w:t>
            </w:r>
          </w:p>
        </w:tc>
        <w:tc>
          <w:tcPr>
            <w:tcW w:w="5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是</w:t>
            </w:r>
          </w:p>
        </w:tc>
        <w:tc>
          <w:tcPr>
            <w:tcW w:w="5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0000" w:rsidRDefault="00F548D5">
            <w:pPr>
              <w:spacing w:before="29" w:line="288" w:lineRule="auto"/>
              <w:ind w:left="15"/>
              <w:jc w:val="left"/>
              <w:cnfStyle w:val="000000000000"/>
              <w:rPr>
                <w:rFonts w:ascii="宋体" w:cs="宋体"/>
                <w:color w:val="000000"/>
                <w:sz w:val="24"/>
                <w:szCs w:val="24"/>
                <w:lang w:eastAsia="en-US"/>
              </w:rPr>
            </w:pPr>
            <w:r>
              <w:rPr>
                <w:rFonts w:ascii="宋体" w:hAnsi="宋体"/>
                <w:sz w:val="24"/>
                <w:szCs w:val="24"/>
                <w:lang w:eastAsia="en-US"/>
              </w:rPr>
              <w:t>是</w:t>
            </w:r>
          </w:p>
        </w:tc>
      </w:tr>
    </w:tbl>
    <w:p w:rsidR="00000000" w:rsidRDefault="00F548D5">
      <w:pPr>
        <w:spacing w:line="360" w:lineRule="auto"/>
        <w:rPr>
          <w:lang w:eastAsia="en-US"/>
        </w:rPr>
      </w:pPr>
      <w:r>
        <w:rPr>
          <w:lang w:eastAsia="en-US"/>
        </w:rPr>
        <w:t xml:space="preserve">    </w:t>
      </w:r>
    </w:p>
    <w:p w:rsidR="00000000" w:rsidRDefault="00F548D5">
      <w:pPr>
        <w:rPr>
          <w:lang w:eastAsia="en-US"/>
        </w:rPr>
      </w:pPr>
      <w:r>
        <w:rPr>
          <w:rFonts w:ascii="宋体" w:hAnsi="宋体" w:hint="eastAsia"/>
          <w:b/>
          <w:sz w:val="24"/>
          <w:szCs w:val="24"/>
          <w:lang w:eastAsia="en-US"/>
        </w:rPr>
        <w:t xml:space="preserve">2 </w:t>
      </w:r>
      <w:r>
        <w:rPr>
          <w:rFonts w:ascii="宋体" w:hAnsi="宋体" w:hint="eastAsia"/>
          <w:b/>
          <w:sz w:val="24"/>
          <w:szCs w:val="24"/>
          <w:lang w:eastAsia="en-US"/>
        </w:rPr>
        <w:t>日常</w:t>
      </w:r>
      <w:r>
        <w:rPr>
          <w:rFonts w:ascii="宋体" w:hAnsi="宋体" w:cs="宋体"/>
          <w:b/>
          <w:color w:val="000000"/>
          <w:sz w:val="24"/>
          <w:lang w:eastAsia="en-US"/>
        </w:rPr>
        <w:t>申购、赎回、转换、定期</w:t>
      </w:r>
      <w:r>
        <w:rPr>
          <w:rFonts w:ascii="宋体" w:hAnsi="宋体" w:cs="宋体"/>
          <w:b/>
          <w:color w:val="000000"/>
          <w:sz w:val="24"/>
          <w:lang w:eastAsia="en-US"/>
        </w:rPr>
        <w:t>定额投资</w:t>
      </w:r>
      <w:r>
        <w:rPr>
          <w:rFonts w:ascii="宋体" w:hAnsi="宋体"/>
          <w:b/>
          <w:sz w:val="24"/>
          <w:szCs w:val="24"/>
          <w:lang w:eastAsia="en-US"/>
        </w:rPr>
        <w:t>业务的办理时间</w:t>
      </w:r>
    </w:p>
    <w:p w:rsidR="00000000" w:rsidRDefault="00F548D5">
      <w:pPr>
        <w:pBdr>
          <w:top w:val="none" w:sz="0" w:space="0" w:color="000000"/>
          <w:left w:val="none" w:sz="0" w:space="0" w:color="000000"/>
          <w:bottom w:val="none" w:sz="0" w:space="0" w:color="000000"/>
          <w:right w:val="none" w:sz="0" w:space="0" w:color="000000"/>
        </w:pBdr>
        <w:spacing w:line="360" w:lineRule="auto"/>
        <w:ind w:firstLineChars="200" w:firstLine="480"/>
        <w:rPr>
          <w:rFonts w:ascii="Times New Roman" w:eastAsia="Times New Roman" w:hAnsi="Times New Roman"/>
          <w:sz w:val="22"/>
          <w:lang w:eastAsia="en-US"/>
        </w:rPr>
      </w:pPr>
      <w:r>
        <w:rPr>
          <w:rFonts w:ascii="宋体" w:hAnsi="宋体" w:cs="宋体"/>
          <w:color w:val="000000"/>
          <w:sz w:val="24"/>
          <w:lang w:eastAsia="en-US"/>
        </w:rPr>
        <w:t>投资人在开放日办理基金份额的申购、赎回、转换、定期定额投资（以下简称</w:t>
      </w:r>
      <w:r>
        <w:rPr>
          <w:rFonts w:ascii="宋体" w:hAnsi="宋体" w:cs="宋体"/>
          <w:color w:val="000000"/>
          <w:sz w:val="24"/>
          <w:lang w:eastAsia="en-US"/>
        </w:rPr>
        <w:t>“</w:t>
      </w:r>
      <w:r>
        <w:rPr>
          <w:rFonts w:ascii="宋体" w:hAnsi="宋体" w:cs="宋体"/>
          <w:color w:val="000000"/>
          <w:sz w:val="24"/>
          <w:lang w:eastAsia="en-US"/>
        </w:rPr>
        <w:t>定投</w:t>
      </w:r>
      <w:r>
        <w:rPr>
          <w:rFonts w:ascii="宋体" w:hAnsi="宋体" w:cs="宋体"/>
          <w:color w:val="000000"/>
          <w:sz w:val="24"/>
          <w:lang w:eastAsia="en-US"/>
        </w:rPr>
        <w:t>”</w:t>
      </w:r>
      <w:r>
        <w:rPr>
          <w:rFonts w:ascii="宋体" w:hAnsi="宋体" w:cs="宋体"/>
          <w:color w:val="000000"/>
          <w:sz w:val="24"/>
          <w:lang w:eastAsia="en-US"/>
        </w:rPr>
        <w:t>）业务，具体办理时间为上海证券交易所、深圳证券交易所及相关期货交易所的正常交易日的交易时间（若本基金参与港股通交易且该工作日为非港股通交易日或遇港股通因其他原因暂停交易的情况，则本基金管理人有权决定是否暂停办理基金份额的申购、赎回或其他业务，并按规定进行公告），但基金管理人根据法律法规、中国证监会的要求或基金合同的规定公告暂停相关交易时除外。</w:t>
      </w:r>
    </w:p>
    <w:p w:rsidR="00000000" w:rsidRDefault="00F548D5">
      <w:pPr>
        <w:spacing w:line="360" w:lineRule="auto"/>
        <w:rPr>
          <w:lang w:eastAsia="en-US"/>
        </w:rPr>
      </w:pPr>
      <w:r>
        <w:rPr>
          <w:rFonts w:ascii="宋体" w:hAnsi="宋体" w:cs="宋体"/>
          <w:color w:val="000000"/>
          <w:sz w:val="24"/>
          <w:lang w:eastAsia="en-US"/>
        </w:rPr>
        <w:t xml:space="preserve">    </w:t>
      </w:r>
      <w:r>
        <w:rPr>
          <w:rFonts w:ascii="宋体" w:hAnsi="宋体" w:cs="宋体"/>
          <w:color w:val="000000"/>
          <w:sz w:val="24"/>
          <w:lang w:eastAsia="en-US"/>
        </w:rPr>
        <w:t>基金合同生效后，若出现不可抗力、或者新的证券</w:t>
      </w:r>
      <w:r>
        <w:rPr>
          <w:rFonts w:ascii="Times New Roman, serif" w:hAnsi="Times New Roman, serif" w:cs="Times New Roman, serif"/>
          <w:color w:val="000000"/>
          <w:sz w:val="24"/>
          <w:lang w:eastAsia="en-US"/>
        </w:rPr>
        <w:t>/</w:t>
      </w:r>
      <w:r>
        <w:rPr>
          <w:rFonts w:ascii="宋体" w:hAnsi="宋体" w:cs="宋体"/>
          <w:color w:val="000000"/>
          <w:sz w:val="24"/>
          <w:lang w:eastAsia="en-US"/>
        </w:rPr>
        <w:t>期货交易市场</w:t>
      </w:r>
      <w:r>
        <w:rPr>
          <w:rFonts w:ascii="宋体" w:hAnsi="宋体" w:cs="宋体"/>
          <w:color w:val="000000"/>
          <w:sz w:val="24"/>
          <w:lang w:eastAsia="en-US"/>
        </w:rPr>
        <w:t>、证券</w:t>
      </w:r>
      <w:r>
        <w:rPr>
          <w:rFonts w:ascii="Times New Roman, serif" w:hAnsi="Times New Roman, serif" w:cs="Times New Roman, serif"/>
          <w:color w:val="000000"/>
          <w:sz w:val="24"/>
          <w:lang w:eastAsia="en-US"/>
        </w:rPr>
        <w:t>/</w:t>
      </w:r>
      <w:r>
        <w:rPr>
          <w:rFonts w:ascii="宋体" w:hAnsi="宋体" w:cs="宋体"/>
          <w:color w:val="000000"/>
          <w:sz w:val="24"/>
          <w:lang w:eastAsia="en-US"/>
        </w:rPr>
        <w:t>期货交易所交易时间变更、港股通交易规则变更、新的业务发展或其他特殊情况，基金管理人将视情况对前述开放日及开放时间进行相应的调整，但应在实施日前依照</w:t>
      </w:r>
      <w:r>
        <w:rPr>
          <w:rFonts w:ascii="宋体" w:hAnsi="宋体" w:cs="宋体"/>
          <w:sz w:val="24"/>
          <w:lang w:eastAsia="en-US"/>
        </w:rPr>
        <w:t>《公开募集证券投资基金信息披露管理办法》的有关规定在规定媒介上公告。</w:t>
      </w:r>
    </w:p>
    <w:p w:rsidR="00000000" w:rsidRDefault="00F548D5">
      <w:pPr>
        <w:spacing w:line="360" w:lineRule="auto"/>
        <w:ind w:firstLine="420"/>
        <w:rPr>
          <w:lang w:eastAsia="en-US"/>
        </w:rPr>
      </w:pPr>
      <w:r>
        <w:rPr>
          <w:rFonts w:ascii="宋体" w:hAnsi="宋体" w:cs="宋体"/>
          <w:sz w:val="24"/>
          <w:lang w:eastAsia="en-US"/>
        </w:rPr>
        <w:t>基金管理人不得在基金合同约定之外的日期或者时间办理基金份额的申购、赎回、转换或者定投等业务。投资人在基金合同约定之外的日期和时间提出申购、赎回、转换或者定投申请且登记机构确认接受的，其基金份额申购、赎回、转换或者定投的价格为下一开放日该类基金份额申购、赎回、转换或者定投的价格。</w:t>
      </w:r>
    </w:p>
    <w:p w:rsidR="00000000" w:rsidRDefault="00F548D5">
      <w:pPr>
        <w:rPr>
          <w:rFonts w:ascii="宋体" w:hAnsi="宋体"/>
          <w:b/>
          <w:sz w:val="24"/>
          <w:szCs w:val="24"/>
          <w:lang w:eastAsia="en-US"/>
        </w:rPr>
      </w:pPr>
      <w:r>
        <w:rPr>
          <w:rFonts w:ascii="宋体" w:hAnsi="宋体" w:hint="eastAsia"/>
          <w:b/>
          <w:sz w:val="24"/>
          <w:szCs w:val="24"/>
          <w:lang w:eastAsia="en-US"/>
        </w:rPr>
        <w:t xml:space="preserve">3 </w:t>
      </w:r>
      <w:r>
        <w:rPr>
          <w:rFonts w:ascii="宋体" w:hAnsi="宋体" w:hint="eastAsia"/>
          <w:b/>
          <w:sz w:val="24"/>
          <w:szCs w:val="24"/>
          <w:lang w:eastAsia="en-US"/>
        </w:rPr>
        <w:t>日常</w:t>
      </w:r>
      <w:r>
        <w:rPr>
          <w:rFonts w:ascii="宋体" w:hAnsi="宋体" w:hint="eastAsia"/>
          <w:b/>
          <w:sz w:val="24"/>
          <w:szCs w:val="24"/>
          <w:lang w:eastAsia="en-US"/>
        </w:rPr>
        <w:t>申购业务</w:t>
      </w:r>
    </w:p>
    <w:p w:rsidR="00000000" w:rsidRDefault="00F548D5">
      <w:pPr>
        <w:rPr>
          <w:lang w:eastAsia="en-US"/>
        </w:rPr>
      </w:pPr>
    </w:p>
    <w:p w:rsidR="00000000" w:rsidRDefault="00F548D5">
      <w:pPr>
        <w:rPr>
          <w:lang w:eastAsia="en-US"/>
        </w:rPr>
      </w:pPr>
      <w:r>
        <w:rPr>
          <w:rFonts w:ascii="宋体" w:hAnsi="宋体" w:hint="eastAsia"/>
          <w:b/>
          <w:sz w:val="24"/>
          <w:szCs w:val="24"/>
          <w:lang w:eastAsia="en-US"/>
        </w:rPr>
        <w:t xml:space="preserve">3.1 </w:t>
      </w:r>
      <w:r>
        <w:rPr>
          <w:rFonts w:ascii="宋体" w:hAnsi="宋体"/>
          <w:b/>
          <w:sz w:val="24"/>
          <w:szCs w:val="24"/>
          <w:lang w:eastAsia="en-US"/>
        </w:rPr>
        <w:t>申购金额限制</w:t>
      </w:r>
    </w:p>
    <w:p w:rsidR="00000000" w:rsidRDefault="00F548D5">
      <w:pPr>
        <w:pBdr>
          <w:top w:val="none" w:sz="0" w:space="0" w:color="000000"/>
          <w:left w:val="none" w:sz="0" w:space="0" w:color="000000"/>
          <w:bottom w:val="none" w:sz="0" w:space="0" w:color="000000"/>
          <w:right w:val="none" w:sz="0" w:space="0" w:color="000000"/>
        </w:pBdr>
        <w:spacing w:line="360" w:lineRule="auto"/>
        <w:ind w:firstLineChars="200" w:firstLine="480"/>
        <w:rPr>
          <w:rFonts w:ascii="Times New Roman" w:eastAsia="Times New Roman" w:hAnsi="Times New Roman"/>
          <w:sz w:val="22"/>
          <w:lang w:eastAsia="en-US"/>
        </w:rPr>
      </w:pPr>
      <w:r>
        <w:rPr>
          <w:rFonts w:ascii="宋体" w:hAnsi="宋体" w:cs="宋体"/>
          <w:color w:val="000000"/>
          <w:sz w:val="24"/>
          <w:lang w:eastAsia="en-US"/>
        </w:rPr>
        <w:t>投资人通过基金管理人的直销机构（线上直销渠道除外）申购，首次申购的单笔最低金额为人民币</w:t>
      </w:r>
      <w:r>
        <w:rPr>
          <w:rFonts w:ascii="Times New Roman, serif" w:hAnsi="Times New Roman, serif" w:cs="Times New Roman, serif"/>
          <w:color w:val="000000"/>
          <w:sz w:val="24"/>
          <w:lang w:eastAsia="en-US"/>
        </w:rPr>
        <w:t>10,000</w:t>
      </w:r>
      <w:r>
        <w:rPr>
          <w:rFonts w:ascii="宋体" w:hAnsi="宋体" w:cs="宋体"/>
          <w:color w:val="000000"/>
          <w:sz w:val="24"/>
          <w:lang w:eastAsia="en-US"/>
        </w:rPr>
        <w:t>元（含申购费），追加申购的单笔最低金额为人民币</w:t>
      </w:r>
      <w:r>
        <w:rPr>
          <w:rFonts w:ascii="Times New Roman, serif" w:hAnsi="Times New Roman, serif" w:cs="Times New Roman, serif"/>
          <w:color w:val="000000"/>
          <w:sz w:val="24"/>
          <w:lang w:eastAsia="en-US"/>
        </w:rPr>
        <w:t>1,000</w:t>
      </w:r>
      <w:r>
        <w:rPr>
          <w:rFonts w:ascii="宋体" w:hAnsi="宋体" w:cs="宋体"/>
          <w:color w:val="000000"/>
          <w:sz w:val="24"/>
          <w:lang w:eastAsia="en-US"/>
        </w:rPr>
        <w:t>元（含申购费）；通过基金管理人线上直销渠道或基金管理人指定的其他销售机构申购，首次申购的单笔最低金额为人民币</w:t>
      </w:r>
      <w:r>
        <w:rPr>
          <w:rFonts w:ascii="Times New Roman, serif" w:hAnsi="Times New Roman, serif" w:cs="Times New Roman, serif"/>
          <w:color w:val="000000"/>
          <w:sz w:val="24"/>
          <w:lang w:eastAsia="en-US"/>
        </w:rPr>
        <w:t>1</w:t>
      </w:r>
      <w:r>
        <w:rPr>
          <w:rFonts w:ascii="宋体" w:hAnsi="宋体" w:cs="宋体"/>
          <w:color w:val="000000"/>
          <w:sz w:val="24"/>
          <w:lang w:eastAsia="en-US"/>
        </w:rPr>
        <w:t>元（含申购费），追加申购的单笔最低金额为人民币</w:t>
      </w:r>
      <w:r>
        <w:rPr>
          <w:rFonts w:ascii="Times New Roman, serif" w:hAnsi="Times New Roman, serif" w:cs="Times New Roman, serif"/>
          <w:color w:val="000000"/>
          <w:sz w:val="24"/>
          <w:lang w:eastAsia="en-US"/>
        </w:rPr>
        <w:t>1</w:t>
      </w:r>
      <w:r>
        <w:rPr>
          <w:rFonts w:ascii="宋体" w:hAnsi="宋体" w:cs="宋体"/>
          <w:color w:val="000000"/>
          <w:sz w:val="24"/>
          <w:lang w:eastAsia="en-US"/>
        </w:rPr>
        <w:t>元（含申购费）。各销售机构对最低申购限额及交易级差有其他规定的，以各销售机构的业务规定为准，但通常不得低于上述下限。基金管理人可根据有关法律法规的规定和市场情况，调整</w:t>
      </w:r>
      <w:r>
        <w:rPr>
          <w:rFonts w:ascii="宋体" w:hAnsi="宋体" w:cs="宋体"/>
          <w:color w:val="000000"/>
          <w:sz w:val="24"/>
          <w:lang w:eastAsia="en-US"/>
        </w:rPr>
        <w:t>投资者首次申购和追加申购本基金的最低金额或累计申购金额及持有基金份额比例限制。</w:t>
      </w:r>
    </w:p>
    <w:p w:rsidR="00000000" w:rsidRDefault="00F548D5">
      <w:pPr>
        <w:pBdr>
          <w:top w:val="none" w:sz="0" w:space="0" w:color="000000"/>
          <w:left w:val="none" w:sz="0" w:space="0" w:color="000000"/>
          <w:bottom w:val="none" w:sz="0" w:space="0" w:color="000000"/>
          <w:right w:val="none" w:sz="0" w:space="0" w:color="000000"/>
        </w:pBdr>
        <w:spacing w:line="360" w:lineRule="auto"/>
        <w:ind w:firstLineChars="200" w:firstLine="480"/>
        <w:rPr>
          <w:rFonts w:ascii="Times New Roman" w:eastAsia="Times New Roman" w:hAnsi="Times New Roman"/>
          <w:sz w:val="22"/>
          <w:lang w:eastAsia="en-US"/>
        </w:rPr>
      </w:pPr>
      <w:r>
        <w:rPr>
          <w:rFonts w:ascii="宋体" w:hAnsi="宋体" w:cs="宋体"/>
          <w:color w:val="000000"/>
          <w:sz w:val="24"/>
          <w:lang w:eastAsia="en-US"/>
        </w:rPr>
        <w:t>投资者可多次申购，对单个投资者的累计申购金额及持有份额比例限制详见相关公告。基金管理人有权对单个投资人累计持有的基金份额上限进行限制，但本基金单一投资者（基金管理人固有资金、公司高级管理人员及基金经理等人员除外）持有基金份额数不得达到或超过基金份额总数的</w:t>
      </w:r>
      <w:r>
        <w:rPr>
          <w:rFonts w:ascii="Times New Roman, serif" w:hAnsi="Times New Roman, serif" w:cs="Times New Roman, serif"/>
          <w:color w:val="000000"/>
          <w:sz w:val="24"/>
          <w:lang w:eastAsia="en-US"/>
        </w:rPr>
        <w:t>50%</w:t>
      </w:r>
      <w:r>
        <w:rPr>
          <w:rFonts w:ascii="宋体" w:hAnsi="宋体" w:cs="宋体"/>
          <w:color w:val="000000"/>
          <w:sz w:val="24"/>
          <w:lang w:eastAsia="en-US"/>
        </w:rPr>
        <w:t>（运作过程中，因基金份额赎回等情形导致被动达到或超过</w:t>
      </w:r>
      <w:r>
        <w:rPr>
          <w:rFonts w:ascii="Times New Roman, serif" w:hAnsi="Times New Roman, serif" w:cs="Times New Roman, serif"/>
          <w:color w:val="000000"/>
          <w:sz w:val="24"/>
          <w:lang w:eastAsia="en-US"/>
        </w:rPr>
        <w:t>50%</w:t>
      </w:r>
      <w:r>
        <w:rPr>
          <w:rFonts w:ascii="宋体" w:hAnsi="宋体" w:cs="宋体"/>
          <w:color w:val="000000"/>
          <w:sz w:val="24"/>
          <w:lang w:eastAsia="en-US"/>
        </w:rPr>
        <w:t>的除外）。法律法规或监管机构另有规定的，从其规定。</w:t>
      </w:r>
    </w:p>
    <w:p w:rsidR="00000000" w:rsidRDefault="00F548D5">
      <w:pPr>
        <w:spacing w:line="360" w:lineRule="auto"/>
        <w:rPr>
          <w:lang w:eastAsia="en-US"/>
        </w:rPr>
      </w:pPr>
      <w:r>
        <w:rPr>
          <w:rFonts w:ascii="宋体" w:hAnsi="宋体" w:cs="宋体"/>
          <w:color w:val="000000"/>
          <w:sz w:val="24"/>
          <w:lang w:eastAsia="en-US"/>
        </w:rPr>
        <w:t xml:space="preserve">    </w:t>
      </w:r>
      <w:r>
        <w:rPr>
          <w:rFonts w:ascii="宋体" w:hAnsi="宋体" w:cs="宋体"/>
          <w:color w:val="000000"/>
          <w:sz w:val="24"/>
          <w:lang w:eastAsia="en-US"/>
        </w:rPr>
        <w:t>投资者将当期分配的基金收益转购基金份额或采用定期定额投</w:t>
      </w:r>
      <w:r>
        <w:rPr>
          <w:rFonts w:ascii="宋体" w:hAnsi="宋体" w:cs="宋体"/>
          <w:color w:val="000000"/>
          <w:sz w:val="24"/>
          <w:lang w:eastAsia="en-US"/>
        </w:rPr>
        <w:t>资计划时，不受最低申购金额的限制。</w:t>
      </w:r>
    </w:p>
    <w:p w:rsidR="00000000" w:rsidRDefault="00F548D5">
      <w:pPr>
        <w:spacing w:line="360" w:lineRule="auto"/>
        <w:ind w:firstLine="480"/>
        <w:rPr>
          <w:lang w:eastAsia="en-US"/>
        </w:rPr>
      </w:pPr>
    </w:p>
    <w:p w:rsidR="00000000" w:rsidRDefault="00F548D5">
      <w:pPr>
        <w:rPr>
          <w:lang w:eastAsia="en-US"/>
        </w:rPr>
      </w:pPr>
      <w:r>
        <w:rPr>
          <w:rFonts w:ascii="宋体" w:hAnsi="宋体" w:hint="eastAsia"/>
          <w:b/>
          <w:sz w:val="24"/>
          <w:szCs w:val="24"/>
          <w:lang w:eastAsia="en-US"/>
        </w:rPr>
        <w:t xml:space="preserve">3.2 </w:t>
      </w:r>
      <w:r>
        <w:rPr>
          <w:rFonts w:ascii="宋体" w:hAnsi="宋体"/>
          <w:b/>
          <w:sz w:val="24"/>
          <w:szCs w:val="24"/>
          <w:lang w:eastAsia="en-US"/>
        </w:rPr>
        <w:t>申购费率</w:t>
      </w:r>
    </w:p>
    <w:p w:rsidR="00000000" w:rsidRDefault="00F548D5">
      <w:pPr>
        <w:pBdr>
          <w:top w:val="none" w:sz="0" w:space="0" w:color="000000"/>
          <w:left w:val="none" w:sz="0" w:space="0" w:color="000000"/>
          <w:bottom w:val="none" w:sz="0" w:space="0" w:color="000000"/>
          <w:right w:val="none" w:sz="0" w:space="0" w:color="000000"/>
        </w:pBdr>
        <w:spacing w:line="360" w:lineRule="auto"/>
        <w:ind w:firstLineChars="200" w:firstLine="480"/>
        <w:rPr>
          <w:rFonts w:ascii="Times New Roman" w:eastAsia="Times New Roman" w:hAnsi="Times New Roman"/>
          <w:sz w:val="22"/>
          <w:szCs w:val="24"/>
          <w:lang w:eastAsia="en-US"/>
        </w:rPr>
      </w:pPr>
      <w:r>
        <w:rPr>
          <w:rFonts w:ascii="宋体" w:hAnsi="宋体" w:cs="宋体"/>
          <w:color w:val="000000"/>
          <w:sz w:val="24"/>
          <w:lang w:eastAsia="en-US"/>
        </w:rPr>
        <w:t>投资人申购本基金</w:t>
      </w:r>
      <w:r>
        <w:rPr>
          <w:rFonts w:ascii="Times New Roman, serif" w:hAnsi="Times New Roman, serif" w:cs="Times New Roman, serif"/>
          <w:color w:val="000000"/>
          <w:sz w:val="24"/>
          <w:lang w:eastAsia="en-US"/>
        </w:rPr>
        <w:t>A</w:t>
      </w:r>
      <w:r>
        <w:rPr>
          <w:rFonts w:ascii="宋体" w:hAnsi="宋体" w:cs="宋体"/>
          <w:color w:val="000000"/>
          <w:sz w:val="24"/>
          <w:lang w:eastAsia="en-US"/>
        </w:rPr>
        <w:t>类基金份额时，需交纳申购费用，申购费率按照申购金额递减，即申购金额越大，所适用的申购费率越低。投资人申购</w:t>
      </w:r>
      <w:r>
        <w:rPr>
          <w:rFonts w:ascii="Times New Roman, serif" w:hAnsi="Times New Roman, serif" w:cs="Times New Roman, serif"/>
          <w:color w:val="000000"/>
          <w:sz w:val="24"/>
          <w:lang w:eastAsia="en-US"/>
        </w:rPr>
        <w:t>C</w:t>
      </w:r>
      <w:r>
        <w:rPr>
          <w:rFonts w:ascii="宋体" w:hAnsi="宋体" w:cs="宋体"/>
          <w:color w:val="000000"/>
          <w:sz w:val="24"/>
          <w:lang w:eastAsia="en-US"/>
        </w:rPr>
        <w:t>类基金份额不收取申购费用。投资者如果有多笔申购，适用费率按单笔</w:t>
      </w:r>
      <w:r>
        <w:rPr>
          <w:rFonts w:ascii="Times New Roman, serif" w:hAnsi="Times New Roman, serif" w:cs="Times New Roman, serif"/>
          <w:color w:val="000000"/>
          <w:sz w:val="24"/>
          <w:lang w:eastAsia="en-US"/>
        </w:rPr>
        <w:t>A</w:t>
      </w:r>
      <w:r>
        <w:rPr>
          <w:rFonts w:ascii="宋体" w:hAnsi="宋体" w:cs="宋体"/>
          <w:color w:val="000000"/>
          <w:sz w:val="24"/>
          <w:lang w:eastAsia="en-US"/>
        </w:rPr>
        <w:t>类基金份额申购分别计算。</w:t>
      </w:r>
    </w:p>
    <w:p w:rsidR="00000000" w:rsidRDefault="00F548D5">
      <w:pPr>
        <w:spacing w:line="360" w:lineRule="auto"/>
        <w:ind w:firstLine="720"/>
        <w:rPr>
          <w:lang w:eastAsia="en-US"/>
        </w:rPr>
      </w:pPr>
      <w:r>
        <w:rPr>
          <w:rFonts w:ascii="宋体" w:hAnsi="宋体" w:cs="宋体"/>
          <w:color w:val="000000"/>
          <w:sz w:val="24"/>
          <w:lang w:eastAsia="en-US"/>
        </w:rPr>
        <w:t>本基金</w:t>
      </w:r>
      <w:r>
        <w:rPr>
          <w:rFonts w:ascii="宋体" w:hAnsi="宋体" w:cs="宋体"/>
          <w:color w:val="000000"/>
          <w:sz w:val="24"/>
          <w:lang w:eastAsia="en-US"/>
        </w:rPr>
        <w:t>A</w:t>
      </w:r>
      <w:r>
        <w:rPr>
          <w:rFonts w:ascii="宋体" w:hAnsi="宋体" w:cs="宋体"/>
          <w:color w:val="000000"/>
          <w:sz w:val="24"/>
          <w:lang w:eastAsia="en-US"/>
        </w:rPr>
        <w:t>类基金份额的具体申购费率如下：</w:t>
      </w:r>
    </w:p>
    <w:tbl>
      <w:tblPr>
        <w:tblStyle w:val="a3"/>
        <w:tblW w:w="0" w:type="auto"/>
        <w:jc w:val="center"/>
        <w:tblInd w:w="0"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ook w:val="04A0"/>
      </w:tblPr>
      <w:tblGrid>
        <w:gridCol w:w="4870"/>
        <w:gridCol w:w="4870"/>
      </w:tblGrid>
      <w:tr w:rsidR="00000000">
        <w:trPr>
          <w:cnfStyle w:val="100000000000"/>
          <w:jc w:val="center"/>
        </w:trPr>
        <w:tc>
          <w:tcPr>
            <w:cnfStyle w:val="001000000100"/>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rPr>
                <w:lang w:eastAsia="en-US"/>
              </w:rPr>
            </w:pPr>
            <w:r>
              <w:rPr>
                <w:rFonts w:ascii="宋体" w:hAnsi="宋体" w:cs="宋体"/>
                <w:lang w:eastAsia="en-US"/>
              </w:rPr>
              <w:t>单笔申购金额（含申购费）（</w:t>
            </w:r>
            <w:r>
              <w:rPr>
                <w:rFonts w:ascii="宋体" w:hAnsi="宋体" w:cs="宋体"/>
                <w:lang w:eastAsia="en-US"/>
              </w:rPr>
              <w:t>M</w:t>
            </w:r>
            <w:r>
              <w:rPr>
                <w:rFonts w:ascii="宋体" w:hAnsi="宋体" w:cs="宋体"/>
                <w:lang w:eastAsia="en-US"/>
              </w:rPr>
              <w:t>）</w:t>
            </w:r>
          </w:p>
        </w:tc>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cnfStyle w:val="100000000000"/>
              <w:rPr>
                <w:lang w:eastAsia="en-US"/>
              </w:rPr>
            </w:pPr>
            <w:r>
              <w:rPr>
                <w:rFonts w:ascii="宋体" w:hAnsi="宋体" w:cs="宋体"/>
                <w:lang w:eastAsia="en-US"/>
              </w:rPr>
              <w:t>申购费率</w:t>
            </w:r>
          </w:p>
        </w:tc>
      </w:tr>
      <w:tr w:rsidR="00000000">
        <w:trPr>
          <w:jc w:val="center"/>
        </w:trPr>
        <w:tc>
          <w:tcPr>
            <w:cnfStyle w:val="001000000000"/>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rPr>
                <w:lang w:eastAsia="en-US"/>
              </w:rPr>
            </w:pPr>
            <w:r>
              <w:rPr>
                <w:rFonts w:ascii="宋体" w:hAnsi="宋体" w:cs="宋体"/>
                <w:lang w:eastAsia="en-US"/>
              </w:rPr>
              <w:t>M</w:t>
            </w:r>
            <w:r>
              <w:rPr>
                <w:rFonts w:ascii="宋体" w:hAnsi="宋体" w:cs="宋体"/>
                <w:lang w:eastAsia="en-US"/>
              </w:rPr>
              <w:t>＜</w:t>
            </w:r>
            <w:r>
              <w:rPr>
                <w:rFonts w:ascii="宋体" w:hAnsi="宋体" w:cs="宋体"/>
                <w:lang w:eastAsia="en-US"/>
              </w:rPr>
              <w:t>100</w:t>
            </w:r>
            <w:r>
              <w:rPr>
                <w:rFonts w:ascii="宋体" w:hAnsi="宋体" w:cs="宋体"/>
                <w:lang w:eastAsia="en-US"/>
              </w:rPr>
              <w:t>万元</w:t>
            </w:r>
          </w:p>
        </w:tc>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cnfStyle w:val="000000000000"/>
              <w:rPr>
                <w:lang w:eastAsia="en-US"/>
              </w:rPr>
            </w:pPr>
            <w:r>
              <w:rPr>
                <w:rFonts w:ascii="宋体" w:hAnsi="宋体" w:cs="宋体"/>
                <w:lang w:eastAsia="en-US"/>
              </w:rPr>
              <w:t>1.50%</w:t>
            </w:r>
          </w:p>
        </w:tc>
      </w:tr>
      <w:tr w:rsidR="00000000">
        <w:trPr>
          <w:jc w:val="center"/>
        </w:trPr>
        <w:tc>
          <w:tcPr>
            <w:cnfStyle w:val="001000000000"/>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rPr>
                <w:lang w:eastAsia="en-US"/>
              </w:rPr>
            </w:pPr>
            <w:r>
              <w:rPr>
                <w:rFonts w:ascii="宋体" w:hAnsi="宋体" w:cs="宋体"/>
                <w:lang w:eastAsia="en-US"/>
              </w:rPr>
              <w:t>100</w:t>
            </w:r>
            <w:r>
              <w:rPr>
                <w:rFonts w:ascii="宋体" w:hAnsi="宋体" w:cs="宋体"/>
                <w:lang w:eastAsia="en-US"/>
              </w:rPr>
              <w:t>万元</w:t>
            </w:r>
            <w:r>
              <w:rPr>
                <w:rFonts w:ascii="宋体" w:hAnsi="宋体" w:cs="宋体"/>
                <w:lang w:eastAsia="en-US"/>
              </w:rPr>
              <w:t>≤M</w:t>
            </w:r>
            <w:r>
              <w:rPr>
                <w:rFonts w:ascii="宋体" w:hAnsi="宋体" w:cs="宋体"/>
                <w:lang w:eastAsia="en-US"/>
              </w:rPr>
              <w:t>＜</w:t>
            </w:r>
            <w:r>
              <w:rPr>
                <w:rFonts w:ascii="宋体" w:hAnsi="宋体" w:cs="宋体"/>
                <w:lang w:eastAsia="en-US"/>
              </w:rPr>
              <w:t>200</w:t>
            </w:r>
            <w:r>
              <w:rPr>
                <w:rFonts w:ascii="宋体" w:hAnsi="宋体" w:cs="宋体"/>
                <w:lang w:eastAsia="en-US"/>
              </w:rPr>
              <w:t>万元</w:t>
            </w:r>
          </w:p>
        </w:tc>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cnfStyle w:val="000000000000"/>
              <w:rPr>
                <w:lang w:eastAsia="en-US"/>
              </w:rPr>
            </w:pPr>
            <w:r>
              <w:rPr>
                <w:rFonts w:ascii="宋体" w:hAnsi="宋体" w:cs="宋体"/>
                <w:lang w:eastAsia="en-US"/>
              </w:rPr>
              <w:t>1.20%</w:t>
            </w:r>
          </w:p>
        </w:tc>
      </w:tr>
      <w:tr w:rsidR="00000000">
        <w:trPr>
          <w:jc w:val="center"/>
        </w:trPr>
        <w:tc>
          <w:tcPr>
            <w:cnfStyle w:val="001000000000"/>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rPr>
                <w:lang w:eastAsia="en-US"/>
              </w:rPr>
            </w:pPr>
            <w:r>
              <w:rPr>
                <w:rFonts w:ascii="宋体" w:hAnsi="宋体" w:cs="宋体"/>
                <w:lang w:eastAsia="en-US"/>
              </w:rPr>
              <w:t>200</w:t>
            </w:r>
            <w:r>
              <w:rPr>
                <w:rFonts w:ascii="宋体" w:hAnsi="宋体" w:cs="宋体"/>
                <w:lang w:eastAsia="en-US"/>
              </w:rPr>
              <w:t>万元</w:t>
            </w:r>
            <w:r>
              <w:rPr>
                <w:rFonts w:ascii="宋体" w:hAnsi="宋体" w:cs="宋体"/>
                <w:lang w:eastAsia="en-US"/>
              </w:rPr>
              <w:t>≤M</w:t>
            </w:r>
            <w:r>
              <w:rPr>
                <w:rFonts w:ascii="宋体" w:hAnsi="宋体" w:cs="宋体"/>
                <w:lang w:eastAsia="en-US"/>
              </w:rPr>
              <w:t>＜</w:t>
            </w:r>
            <w:r>
              <w:rPr>
                <w:rFonts w:ascii="宋体" w:hAnsi="宋体" w:cs="宋体"/>
                <w:lang w:eastAsia="en-US"/>
              </w:rPr>
              <w:t>500</w:t>
            </w:r>
            <w:r>
              <w:rPr>
                <w:rFonts w:ascii="宋体" w:hAnsi="宋体" w:cs="宋体"/>
                <w:lang w:eastAsia="en-US"/>
              </w:rPr>
              <w:t>万元</w:t>
            </w:r>
          </w:p>
        </w:tc>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cnfStyle w:val="000000000000"/>
              <w:rPr>
                <w:lang w:eastAsia="en-US"/>
              </w:rPr>
            </w:pPr>
            <w:r>
              <w:rPr>
                <w:rFonts w:ascii="宋体" w:hAnsi="宋体" w:cs="宋体"/>
                <w:lang w:eastAsia="en-US"/>
              </w:rPr>
              <w:t>0.80%</w:t>
            </w:r>
          </w:p>
        </w:tc>
      </w:tr>
      <w:tr w:rsidR="00000000">
        <w:trPr>
          <w:jc w:val="center"/>
        </w:trPr>
        <w:tc>
          <w:tcPr>
            <w:cnfStyle w:val="001000000000"/>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rPr>
                <w:lang w:eastAsia="en-US"/>
              </w:rPr>
            </w:pPr>
            <w:r>
              <w:rPr>
                <w:rFonts w:ascii="宋体" w:hAnsi="宋体" w:cs="宋体"/>
                <w:lang w:eastAsia="en-US"/>
              </w:rPr>
              <w:t>M≥500</w:t>
            </w:r>
            <w:r>
              <w:rPr>
                <w:rFonts w:ascii="宋体" w:hAnsi="宋体" w:cs="宋体"/>
                <w:lang w:eastAsia="en-US"/>
              </w:rPr>
              <w:t>万元</w:t>
            </w:r>
          </w:p>
        </w:tc>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cnfStyle w:val="000000000000"/>
              <w:rPr>
                <w:lang w:eastAsia="en-US"/>
              </w:rPr>
            </w:pPr>
            <w:r>
              <w:rPr>
                <w:rFonts w:ascii="宋体" w:hAnsi="宋体" w:cs="宋体"/>
                <w:lang w:eastAsia="en-US"/>
              </w:rPr>
              <w:t>1,000</w:t>
            </w:r>
            <w:r>
              <w:rPr>
                <w:rFonts w:ascii="宋体" w:hAnsi="宋体" w:cs="宋体"/>
                <w:lang w:eastAsia="en-US"/>
              </w:rPr>
              <w:t>元</w:t>
            </w:r>
            <w:r>
              <w:rPr>
                <w:rFonts w:ascii="宋体" w:hAnsi="宋体" w:cs="宋体"/>
                <w:lang w:eastAsia="en-US"/>
              </w:rPr>
              <w:t>/</w:t>
            </w:r>
            <w:r>
              <w:rPr>
                <w:rFonts w:ascii="宋体" w:hAnsi="宋体" w:cs="宋体"/>
                <w:lang w:eastAsia="en-US"/>
              </w:rPr>
              <w:t>笔，按笔收取</w:t>
            </w:r>
          </w:p>
        </w:tc>
      </w:tr>
    </w:tbl>
    <w:p w:rsidR="00000000" w:rsidRDefault="00F548D5">
      <w:pPr>
        <w:rPr>
          <w:lang w:eastAsia="en-US"/>
        </w:rPr>
      </w:pPr>
    </w:p>
    <w:p w:rsidR="00000000" w:rsidRDefault="00F548D5">
      <w:pPr>
        <w:pBdr>
          <w:top w:val="none" w:sz="0" w:space="0" w:color="000000"/>
          <w:left w:val="none" w:sz="0" w:space="0" w:color="000000"/>
          <w:bottom w:val="none" w:sz="0" w:space="0" w:color="000000"/>
          <w:right w:val="none" w:sz="0" w:space="0" w:color="000000"/>
        </w:pBdr>
        <w:spacing w:line="360" w:lineRule="auto"/>
        <w:ind w:firstLineChars="200" w:firstLine="480"/>
        <w:rPr>
          <w:rFonts w:ascii="Times New Roman" w:eastAsia="Times New Roman" w:hAnsi="Times New Roman"/>
          <w:sz w:val="22"/>
          <w:szCs w:val="24"/>
          <w:lang w:eastAsia="en-US"/>
        </w:rPr>
      </w:pPr>
      <w:r>
        <w:rPr>
          <w:rFonts w:ascii="宋体" w:hAnsi="宋体" w:cs="宋体"/>
          <w:color w:val="000000"/>
          <w:sz w:val="24"/>
          <w:lang w:eastAsia="en-US"/>
        </w:rPr>
        <w:t>本基金</w:t>
      </w:r>
      <w:r>
        <w:rPr>
          <w:rFonts w:ascii="Times New Roman, serif" w:hAnsi="Times New Roman, serif" w:cs="Times New Roman, serif"/>
          <w:color w:val="000000"/>
          <w:sz w:val="24"/>
          <w:lang w:eastAsia="en-US"/>
        </w:rPr>
        <w:t>A</w:t>
      </w:r>
      <w:r>
        <w:rPr>
          <w:rFonts w:ascii="宋体" w:hAnsi="宋体" w:cs="宋体"/>
          <w:color w:val="000000"/>
          <w:sz w:val="24"/>
          <w:lang w:eastAsia="en-US"/>
        </w:rPr>
        <w:t>类基金份额的申购费用由申购</w:t>
      </w:r>
      <w:r>
        <w:rPr>
          <w:rFonts w:ascii="Times New Roman, serif" w:hAnsi="Times New Roman, serif" w:cs="Times New Roman, serif"/>
          <w:color w:val="000000"/>
          <w:sz w:val="24"/>
          <w:lang w:eastAsia="en-US"/>
        </w:rPr>
        <w:t>A</w:t>
      </w:r>
      <w:r>
        <w:rPr>
          <w:rFonts w:ascii="宋体" w:hAnsi="宋体" w:cs="宋体"/>
          <w:color w:val="000000"/>
          <w:sz w:val="24"/>
          <w:lang w:eastAsia="en-US"/>
        </w:rPr>
        <w:t>类基金份额的投资人承担，主要用于本基金的市场推广、销售、注册登记等各项费用，不列入基金财产。</w:t>
      </w:r>
    </w:p>
    <w:p w:rsidR="00000000" w:rsidRDefault="00F548D5">
      <w:pPr>
        <w:spacing w:line="360" w:lineRule="auto"/>
        <w:rPr>
          <w:lang w:eastAsia="en-US"/>
        </w:rPr>
      </w:pPr>
    </w:p>
    <w:p w:rsidR="00000000" w:rsidRDefault="00F548D5">
      <w:pPr>
        <w:rPr>
          <w:lang w:eastAsia="en-US"/>
        </w:rPr>
      </w:pPr>
      <w:r>
        <w:rPr>
          <w:rFonts w:ascii="宋体" w:hAnsi="宋体" w:hint="eastAsia"/>
          <w:b/>
          <w:sz w:val="24"/>
          <w:szCs w:val="24"/>
          <w:lang w:eastAsia="en-US"/>
        </w:rPr>
        <w:t xml:space="preserve">3.3 </w:t>
      </w:r>
      <w:r>
        <w:rPr>
          <w:rFonts w:ascii="宋体" w:hAnsi="宋体"/>
          <w:b/>
          <w:sz w:val="24"/>
          <w:szCs w:val="24"/>
          <w:lang w:eastAsia="en-US"/>
        </w:rPr>
        <w:t>其他与申购相关的事项</w:t>
      </w:r>
    </w:p>
    <w:p w:rsidR="00000000" w:rsidRDefault="00F548D5">
      <w:pPr>
        <w:spacing w:line="360" w:lineRule="auto"/>
        <w:ind w:firstLine="480"/>
        <w:rPr>
          <w:lang w:eastAsia="en-US"/>
        </w:rPr>
      </w:pPr>
      <w:r>
        <w:rPr>
          <w:rFonts w:ascii="宋体" w:hAnsi="宋体"/>
          <w:sz w:val="24"/>
          <w:szCs w:val="24"/>
          <w:lang w:eastAsia="en-US"/>
        </w:rPr>
        <w:t>（</w:t>
      </w:r>
      <w:r>
        <w:rPr>
          <w:rFonts w:ascii="宋体" w:hAnsi="宋体" w:hint="eastAsia"/>
          <w:sz w:val="24"/>
          <w:szCs w:val="24"/>
          <w:lang w:eastAsia="en-US"/>
        </w:rPr>
        <w:t>1</w:t>
      </w:r>
      <w:r>
        <w:rPr>
          <w:rFonts w:ascii="宋体" w:hAnsi="宋体" w:hint="eastAsia"/>
          <w:sz w:val="24"/>
          <w:szCs w:val="24"/>
          <w:lang w:eastAsia="en-US"/>
        </w:rPr>
        <w:t>）本基金遵循“未知价”原则，即申购价格以申请当日收市后计算的各类基金份额净值为基准进行计算。</w:t>
      </w:r>
    </w:p>
    <w:p w:rsidR="00000000" w:rsidRDefault="00F548D5">
      <w:pPr>
        <w:spacing w:line="360" w:lineRule="auto"/>
        <w:ind w:firstLine="480"/>
        <w:rPr>
          <w:lang w:eastAsia="en-US"/>
        </w:rPr>
      </w:pPr>
      <w:r>
        <w:rPr>
          <w:rFonts w:ascii="宋体" w:hAnsi="宋体" w:hint="eastAsia"/>
          <w:sz w:val="24"/>
          <w:szCs w:val="24"/>
          <w:lang w:eastAsia="en-US"/>
        </w:rPr>
        <w:t>（</w:t>
      </w:r>
      <w:r>
        <w:rPr>
          <w:rFonts w:ascii="宋体" w:hAnsi="宋体" w:hint="eastAsia"/>
          <w:sz w:val="24"/>
          <w:szCs w:val="24"/>
          <w:lang w:eastAsia="en-US"/>
        </w:rPr>
        <w:t>2</w:t>
      </w:r>
      <w:r>
        <w:rPr>
          <w:rFonts w:ascii="宋体" w:hAnsi="宋体" w:hint="eastAsia"/>
          <w:sz w:val="24"/>
          <w:szCs w:val="24"/>
          <w:lang w:eastAsia="en-US"/>
        </w:rPr>
        <w:t>）本基金遵循“金额申购”原则，即申购以金额申请。</w:t>
      </w:r>
    </w:p>
    <w:p w:rsidR="00000000" w:rsidRDefault="00F548D5">
      <w:pPr>
        <w:spacing w:line="360" w:lineRule="auto"/>
        <w:ind w:firstLine="480"/>
        <w:rPr>
          <w:lang w:eastAsia="en-US"/>
        </w:rPr>
      </w:pPr>
      <w:r>
        <w:rPr>
          <w:rFonts w:ascii="宋体" w:hAnsi="宋体" w:hint="eastAsia"/>
          <w:sz w:val="24"/>
          <w:szCs w:val="24"/>
          <w:lang w:eastAsia="en-US"/>
        </w:rPr>
        <w:t>（</w:t>
      </w:r>
      <w:r>
        <w:rPr>
          <w:rFonts w:ascii="宋体" w:hAnsi="宋体" w:hint="eastAsia"/>
          <w:sz w:val="24"/>
          <w:szCs w:val="24"/>
          <w:lang w:eastAsia="en-US"/>
        </w:rPr>
        <w:t>3</w:t>
      </w:r>
      <w:r>
        <w:rPr>
          <w:rFonts w:ascii="宋体" w:hAnsi="宋体" w:hint="eastAsia"/>
          <w:sz w:val="24"/>
          <w:szCs w:val="24"/>
          <w:lang w:eastAsia="en-US"/>
        </w:rPr>
        <w:t>）本基金当日的申购申请可以在基金管理人规定的时间以内撤销。</w:t>
      </w:r>
    </w:p>
    <w:p w:rsidR="00000000" w:rsidRDefault="00F548D5">
      <w:pPr>
        <w:spacing w:line="360" w:lineRule="auto"/>
        <w:ind w:firstLine="480"/>
        <w:rPr>
          <w:lang w:eastAsia="en-US"/>
        </w:rPr>
      </w:pPr>
      <w:r>
        <w:rPr>
          <w:rFonts w:ascii="宋体" w:hAnsi="宋体" w:hint="eastAsia"/>
          <w:sz w:val="24"/>
          <w:szCs w:val="24"/>
          <w:lang w:eastAsia="en-US"/>
        </w:rPr>
        <w:t>（</w:t>
      </w:r>
      <w:r>
        <w:rPr>
          <w:rFonts w:ascii="宋体" w:hAnsi="宋体" w:hint="eastAsia"/>
          <w:sz w:val="24"/>
          <w:szCs w:val="24"/>
          <w:lang w:eastAsia="en-US"/>
        </w:rPr>
        <w:t>4</w:t>
      </w:r>
      <w:r>
        <w:rPr>
          <w:rFonts w:ascii="宋体" w:hAnsi="宋体" w:hint="eastAsia"/>
          <w:sz w:val="24"/>
          <w:szCs w:val="24"/>
          <w:lang w:eastAsia="en-US"/>
        </w:rPr>
        <w:t>）投资者办理申购业务时应提交的文件和办理手续、办理时间、处理规则等在遵守基金合同和招募说明书规定的前提下，以各销售机构的具体规</w:t>
      </w:r>
      <w:r>
        <w:rPr>
          <w:rFonts w:ascii="宋体" w:hAnsi="宋体" w:hint="eastAsia"/>
          <w:sz w:val="24"/>
          <w:szCs w:val="24"/>
          <w:lang w:eastAsia="en-US"/>
        </w:rPr>
        <w:t>定为准。</w:t>
      </w:r>
    </w:p>
    <w:p w:rsidR="00000000" w:rsidRDefault="00F548D5">
      <w:pPr>
        <w:spacing w:line="360" w:lineRule="auto"/>
        <w:ind w:firstLine="480"/>
        <w:rPr>
          <w:rFonts w:ascii="宋体" w:hAnsi="宋体" w:hint="eastAsia"/>
          <w:sz w:val="24"/>
          <w:szCs w:val="24"/>
          <w:lang w:eastAsia="en-US"/>
        </w:rPr>
      </w:pPr>
      <w:r>
        <w:rPr>
          <w:rFonts w:ascii="宋体" w:hAnsi="宋体" w:hint="eastAsia"/>
          <w:sz w:val="24"/>
          <w:szCs w:val="24"/>
          <w:lang w:eastAsia="en-US"/>
        </w:rPr>
        <w:t>（</w:t>
      </w:r>
      <w:r>
        <w:rPr>
          <w:rFonts w:ascii="宋体" w:hAnsi="宋体" w:hint="eastAsia"/>
          <w:sz w:val="24"/>
          <w:szCs w:val="24"/>
          <w:lang w:eastAsia="en-US"/>
        </w:rPr>
        <w:t>5</w:t>
      </w:r>
      <w:r>
        <w:rPr>
          <w:rFonts w:ascii="宋体" w:hAnsi="宋体" w:hint="eastAsia"/>
          <w:sz w:val="24"/>
          <w:szCs w:val="24"/>
          <w:lang w:eastAsia="en-US"/>
        </w:rPr>
        <w:t>）办理申购业务时，应当遵循基金份额持有人利益优先原则，确保投资者的合法权益不受损害并得到公平对待。</w:t>
      </w:r>
    </w:p>
    <w:p w:rsidR="00000000" w:rsidRDefault="00F548D5">
      <w:pPr>
        <w:spacing w:line="360" w:lineRule="auto"/>
        <w:ind w:firstLine="480"/>
        <w:rPr>
          <w:rFonts w:ascii="宋体" w:hAnsi="宋体" w:hint="eastAsia"/>
          <w:sz w:val="24"/>
          <w:szCs w:val="24"/>
          <w:lang w:eastAsia="en-US"/>
        </w:rPr>
      </w:pPr>
      <w:r>
        <w:rPr>
          <w:rFonts w:ascii="宋体" w:hAnsi="宋体" w:hint="eastAsia"/>
          <w:sz w:val="24"/>
          <w:szCs w:val="24"/>
          <w:lang w:eastAsia="en-US"/>
        </w:rPr>
        <w:t>（</w:t>
      </w:r>
      <w:r>
        <w:rPr>
          <w:rFonts w:ascii="宋体" w:hAnsi="宋体" w:hint="eastAsia"/>
          <w:sz w:val="24"/>
          <w:szCs w:val="24"/>
          <w:lang w:eastAsia="en-US"/>
        </w:rPr>
        <w:t>6</w:t>
      </w:r>
      <w:r>
        <w:rPr>
          <w:rFonts w:ascii="宋体" w:hAnsi="宋体" w:hint="eastAsia"/>
          <w:sz w:val="24"/>
          <w:szCs w:val="24"/>
          <w:lang w:eastAsia="en-US"/>
        </w:rPr>
        <w:t>）认购的基金份额持有期限自基金合同生效日起开始计算，申购的基金份额持有期限自登记机构注册登记系统确认之日起开始计算，至该部分基金份额赎回确认日止，且基金份额赎回确认日不计入持有期限。</w:t>
      </w:r>
    </w:p>
    <w:p w:rsidR="00000000" w:rsidRDefault="00F548D5">
      <w:pPr>
        <w:spacing w:line="360" w:lineRule="auto"/>
        <w:ind w:firstLine="480"/>
        <w:rPr>
          <w:rFonts w:ascii="宋体" w:hAnsi="宋体"/>
          <w:sz w:val="24"/>
          <w:szCs w:val="24"/>
          <w:lang w:eastAsia="en-US"/>
        </w:rPr>
      </w:pPr>
      <w:r>
        <w:rPr>
          <w:rFonts w:ascii="宋体" w:hAnsi="宋体" w:hint="eastAsia"/>
          <w:sz w:val="24"/>
          <w:szCs w:val="24"/>
          <w:lang w:eastAsia="en-US"/>
        </w:rPr>
        <w:t>基金管理人可在法律法规允许并在对基金份额持有人利益无实质性不利影响的情况下，对上述原则进行调整，或依据</w:t>
      </w:r>
      <w:r>
        <w:rPr>
          <w:rFonts w:ascii="宋体" w:hAnsi="宋体" w:cs="宋体"/>
          <w:color w:val="000000"/>
          <w:sz w:val="24"/>
          <w:lang w:eastAsia="en-US"/>
        </w:rPr>
        <w:t>《永赢基金管理有限公司非上市开放式基金业务规则》</w:t>
      </w:r>
      <w:r>
        <w:rPr>
          <w:rFonts w:ascii="宋体" w:hAnsi="宋体" w:hint="eastAsia"/>
          <w:sz w:val="24"/>
          <w:szCs w:val="24"/>
          <w:lang w:eastAsia="en-US"/>
        </w:rPr>
        <w:t>调整上述规则。</w:t>
      </w:r>
      <w:r>
        <w:rPr>
          <w:rFonts w:ascii="宋体" w:hAnsi="宋体"/>
          <w:sz w:val="24"/>
          <w:szCs w:val="24"/>
          <w:lang w:eastAsia="en-US"/>
        </w:rPr>
        <w:t>基金管理人必须在新规则开始实施前依照《公开募集</w:t>
      </w:r>
      <w:r>
        <w:rPr>
          <w:rFonts w:ascii="宋体" w:hAnsi="宋体"/>
          <w:sz w:val="24"/>
          <w:szCs w:val="24"/>
          <w:lang w:eastAsia="en-US"/>
        </w:rPr>
        <w:t>证券投资基金信息披露管理办法》的有关规定在规定媒介上公告。</w:t>
      </w:r>
    </w:p>
    <w:p w:rsidR="00000000" w:rsidRDefault="00F548D5">
      <w:pPr>
        <w:spacing w:line="360" w:lineRule="auto"/>
        <w:ind w:firstLine="420"/>
        <w:rPr>
          <w:lang w:eastAsia="en-US"/>
        </w:rPr>
      </w:pPr>
    </w:p>
    <w:p w:rsidR="00000000" w:rsidRDefault="00F548D5">
      <w:pPr>
        <w:rPr>
          <w:rFonts w:ascii="宋体" w:hAnsi="宋体"/>
          <w:b/>
          <w:sz w:val="24"/>
          <w:szCs w:val="24"/>
          <w:lang w:eastAsia="en-US"/>
        </w:rPr>
      </w:pPr>
      <w:r>
        <w:rPr>
          <w:rFonts w:ascii="宋体" w:hAnsi="宋体" w:hint="eastAsia"/>
          <w:b/>
          <w:sz w:val="24"/>
          <w:szCs w:val="24"/>
          <w:lang w:eastAsia="en-US"/>
        </w:rPr>
        <w:t xml:space="preserve">4 </w:t>
      </w:r>
      <w:r>
        <w:rPr>
          <w:rFonts w:ascii="宋体" w:hAnsi="宋体" w:hint="eastAsia"/>
          <w:b/>
          <w:sz w:val="24"/>
          <w:szCs w:val="24"/>
          <w:lang w:eastAsia="en-US"/>
        </w:rPr>
        <w:t>日常赎回业务</w:t>
      </w:r>
    </w:p>
    <w:p w:rsidR="00000000" w:rsidRDefault="00F548D5">
      <w:pPr>
        <w:rPr>
          <w:lang w:eastAsia="en-US"/>
        </w:rPr>
      </w:pPr>
    </w:p>
    <w:p w:rsidR="00000000" w:rsidRDefault="00F548D5">
      <w:pPr>
        <w:rPr>
          <w:lang w:eastAsia="en-US"/>
        </w:rPr>
      </w:pPr>
      <w:r>
        <w:rPr>
          <w:rFonts w:ascii="宋体" w:hAnsi="宋体" w:hint="eastAsia"/>
          <w:b/>
          <w:sz w:val="24"/>
          <w:szCs w:val="24"/>
          <w:lang w:eastAsia="en-US"/>
        </w:rPr>
        <w:t xml:space="preserve">4.1 </w:t>
      </w:r>
      <w:r>
        <w:rPr>
          <w:rFonts w:ascii="宋体" w:hAnsi="宋体"/>
          <w:b/>
          <w:sz w:val="24"/>
          <w:szCs w:val="24"/>
          <w:lang w:eastAsia="en-US"/>
        </w:rPr>
        <w:t>赎回份额限制</w:t>
      </w:r>
    </w:p>
    <w:p w:rsidR="00000000" w:rsidRDefault="00F548D5">
      <w:pPr>
        <w:pBdr>
          <w:top w:val="none" w:sz="0" w:space="0" w:color="000000"/>
          <w:left w:val="none" w:sz="0" w:space="0" w:color="000000"/>
          <w:bottom w:val="none" w:sz="0" w:space="0" w:color="000000"/>
          <w:right w:val="none" w:sz="0" w:space="0" w:color="000000"/>
        </w:pBdr>
        <w:spacing w:line="360" w:lineRule="auto"/>
        <w:ind w:firstLineChars="200" w:firstLine="480"/>
        <w:rPr>
          <w:rFonts w:ascii="Times New Roman" w:eastAsia="Times New Roman" w:hAnsi="Times New Roman"/>
          <w:sz w:val="22"/>
          <w:lang w:eastAsia="en-US"/>
        </w:rPr>
      </w:pPr>
      <w:r>
        <w:rPr>
          <w:rFonts w:ascii="宋体" w:hAnsi="宋体" w:cs="宋体"/>
          <w:color w:val="000000"/>
          <w:sz w:val="24"/>
          <w:lang w:eastAsia="en-US"/>
        </w:rPr>
        <w:t>基金份额持有人可将其全部或部分基金份额赎回，单笔赎回不得少于</w:t>
      </w:r>
      <w:r>
        <w:rPr>
          <w:rFonts w:ascii="Times New Roman, serif" w:hAnsi="Times New Roman, serif" w:cs="Times New Roman, serif"/>
          <w:color w:val="000000"/>
          <w:sz w:val="24"/>
          <w:lang w:eastAsia="en-US"/>
        </w:rPr>
        <w:t>1</w:t>
      </w:r>
      <w:r>
        <w:rPr>
          <w:rFonts w:ascii="宋体" w:hAnsi="宋体" w:cs="宋体"/>
          <w:color w:val="000000"/>
          <w:sz w:val="24"/>
          <w:lang w:eastAsia="en-US"/>
        </w:rPr>
        <w:t>份（如该账户在该销售机构托管的基金余额不足</w:t>
      </w:r>
      <w:r>
        <w:rPr>
          <w:rFonts w:ascii="Times New Roman, serif" w:hAnsi="Times New Roman, serif" w:cs="Times New Roman, serif"/>
          <w:color w:val="000000"/>
          <w:sz w:val="24"/>
          <w:lang w:eastAsia="en-US"/>
        </w:rPr>
        <w:t>1</w:t>
      </w:r>
      <w:r>
        <w:rPr>
          <w:rFonts w:ascii="宋体" w:hAnsi="宋体" w:cs="宋体"/>
          <w:color w:val="000000"/>
          <w:sz w:val="24"/>
          <w:lang w:eastAsia="en-US"/>
        </w:rPr>
        <w:t>份，则必须一次性赎回基金全部份额）；若某笔赎回将导致投资者在销售机构托管的基金余额不足</w:t>
      </w:r>
      <w:r>
        <w:rPr>
          <w:rFonts w:ascii="Times New Roman, serif" w:hAnsi="Times New Roman, serif" w:cs="Times New Roman, serif"/>
          <w:color w:val="000000"/>
          <w:sz w:val="24"/>
          <w:lang w:eastAsia="en-US"/>
        </w:rPr>
        <w:t>1</w:t>
      </w:r>
      <w:r>
        <w:rPr>
          <w:rFonts w:ascii="宋体" w:hAnsi="宋体" w:cs="宋体"/>
          <w:color w:val="000000"/>
          <w:sz w:val="24"/>
          <w:lang w:eastAsia="en-US"/>
        </w:rPr>
        <w:t>份时，基金管理人有权将投资者在该销售机构托管的剩余基金份额一次性全部赎回。各销售机构对最低赎回限额有其他规定的，以各销售机构的业务规定为准，但通常不得低于上述下限。</w:t>
      </w:r>
    </w:p>
    <w:p w:rsidR="00000000" w:rsidRDefault="00F548D5">
      <w:pPr>
        <w:spacing w:line="360" w:lineRule="auto"/>
        <w:ind w:firstLine="480"/>
        <w:rPr>
          <w:lang w:eastAsia="en-US"/>
        </w:rPr>
      </w:pPr>
    </w:p>
    <w:p w:rsidR="00000000" w:rsidRDefault="00F548D5">
      <w:pPr>
        <w:rPr>
          <w:lang w:eastAsia="en-US"/>
        </w:rPr>
      </w:pPr>
      <w:r>
        <w:rPr>
          <w:rFonts w:ascii="宋体" w:hAnsi="宋体" w:hint="eastAsia"/>
          <w:b/>
          <w:sz w:val="24"/>
          <w:szCs w:val="24"/>
          <w:lang w:eastAsia="en-US"/>
        </w:rPr>
        <w:t xml:space="preserve">4.2 </w:t>
      </w:r>
      <w:r>
        <w:rPr>
          <w:rFonts w:ascii="宋体" w:hAnsi="宋体"/>
          <w:b/>
          <w:sz w:val="24"/>
          <w:szCs w:val="24"/>
          <w:lang w:eastAsia="en-US"/>
        </w:rPr>
        <w:t>赎回费率</w:t>
      </w:r>
    </w:p>
    <w:p w:rsidR="00000000" w:rsidRDefault="00F548D5">
      <w:pPr>
        <w:pBdr>
          <w:top w:val="none" w:sz="0" w:space="0" w:color="000000"/>
          <w:left w:val="none" w:sz="0" w:space="0" w:color="000000"/>
          <w:bottom w:val="none" w:sz="0" w:space="0" w:color="000000"/>
          <w:right w:val="none" w:sz="0" w:space="0" w:color="000000"/>
        </w:pBdr>
        <w:spacing w:line="360" w:lineRule="auto"/>
        <w:ind w:firstLineChars="200" w:firstLine="480"/>
        <w:rPr>
          <w:rFonts w:ascii="Times New Roman" w:eastAsia="Times New Roman" w:hAnsi="Times New Roman"/>
          <w:sz w:val="22"/>
          <w:lang w:eastAsia="en-US"/>
        </w:rPr>
      </w:pPr>
      <w:r>
        <w:rPr>
          <w:rFonts w:ascii="Times New Roman, serif" w:hAnsi="Times New Roman, serif" w:cs="Times New Roman, serif"/>
          <w:color w:val="000000"/>
          <w:sz w:val="24"/>
          <w:lang w:eastAsia="en-US"/>
        </w:rPr>
        <w:t>A</w:t>
      </w:r>
      <w:r>
        <w:rPr>
          <w:rFonts w:ascii="宋体" w:hAnsi="宋体" w:cs="宋体"/>
          <w:color w:val="000000"/>
          <w:sz w:val="24"/>
          <w:lang w:eastAsia="en-US"/>
        </w:rPr>
        <w:t>类基金份额和</w:t>
      </w:r>
      <w:r>
        <w:rPr>
          <w:rFonts w:ascii="Times New Roman, serif" w:hAnsi="Times New Roman, serif" w:cs="Times New Roman, serif"/>
          <w:color w:val="000000"/>
          <w:sz w:val="24"/>
          <w:lang w:eastAsia="en-US"/>
        </w:rPr>
        <w:t>C</w:t>
      </w:r>
      <w:r>
        <w:rPr>
          <w:rFonts w:ascii="宋体" w:hAnsi="宋体" w:cs="宋体"/>
          <w:color w:val="000000"/>
          <w:sz w:val="24"/>
          <w:lang w:eastAsia="en-US"/>
        </w:rPr>
        <w:t>类基金份额适</w:t>
      </w:r>
      <w:r>
        <w:rPr>
          <w:rFonts w:ascii="宋体" w:hAnsi="宋体" w:cs="宋体"/>
          <w:color w:val="000000"/>
          <w:sz w:val="24"/>
          <w:lang w:eastAsia="en-US"/>
        </w:rPr>
        <w:t>用不同的赎回费率，本基金的赎回费在基金份额持有人赎回基金份额时收取。基金份额的赎回费率按照持有时间递减，即相应基金份额持有时间越长，所适用的赎回费率越低。</w:t>
      </w:r>
    </w:p>
    <w:p w:rsidR="00000000" w:rsidRDefault="00F548D5">
      <w:pPr>
        <w:spacing w:line="360" w:lineRule="auto"/>
        <w:ind w:firstLine="720"/>
        <w:rPr>
          <w:lang w:eastAsia="en-US"/>
        </w:rPr>
      </w:pPr>
      <w:r>
        <w:rPr>
          <w:rFonts w:ascii="宋体" w:hAnsi="宋体" w:cs="宋体"/>
          <w:color w:val="000000"/>
          <w:sz w:val="24"/>
          <w:lang w:eastAsia="en-US"/>
        </w:rPr>
        <w:t>本基金</w:t>
      </w:r>
      <w:r>
        <w:rPr>
          <w:rFonts w:ascii="宋体" w:hAnsi="宋体" w:cs="宋体"/>
          <w:color w:val="000000"/>
          <w:sz w:val="24"/>
          <w:lang w:eastAsia="en-US"/>
        </w:rPr>
        <w:t>A</w:t>
      </w:r>
      <w:r>
        <w:rPr>
          <w:rFonts w:ascii="宋体" w:hAnsi="宋体" w:cs="宋体"/>
          <w:color w:val="000000"/>
          <w:sz w:val="24"/>
          <w:lang w:eastAsia="en-US"/>
        </w:rPr>
        <w:t>类基金份额的具体赎回费率如下：</w:t>
      </w:r>
    </w:p>
    <w:tbl>
      <w:tblPr>
        <w:tblStyle w:val="a3"/>
        <w:tblW w:w="0" w:type="auto"/>
        <w:jc w:val="center"/>
        <w:tblInd w:w="0"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ook w:val="04A0"/>
      </w:tblPr>
      <w:tblGrid>
        <w:gridCol w:w="4870"/>
        <w:gridCol w:w="4870"/>
      </w:tblGrid>
      <w:tr w:rsidR="00000000">
        <w:trPr>
          <w:cnfStyle w:val="100000000000"/>
          <w:jc w:val="center"/>
        </w:trPr>
        <w:tc>
          <w:tcPr>
            <w:cnfStyle w:val="001000000100"/>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rPr>
                <w:lang w:eastAsia="en-US"/>
              </w:rPr>
            </w:pPr>
            <w:r>
              <w:rPr>
                <w:rFonts w:ascii="宋体" w:hAnsi="宋体" w:cs="宋体"/>
                <w:lang w:eastAsia="en-US"/>
              </w:rPr>
              <w:t>持有期限（</w:t>
            </w:r>
            <w:r>
              <w:rPr>
                <w:rFonts w:ascii="宋体" w:hAnsi="宋体" w:cs="宋体"/>
                <w:lang w:eastAsia="en-US"/>
              </w:rPr>
              <w:t>Y</w:t>
            </w:r>
            <w:r>
              <w:rPr>
                <w:rFonts w:ascii="宋体" w:hAnsi="宋体" w:cs="宋体"/>
                <w:lang w:eastAsia="en-US"/>
              </w:rPr>
              <w:t>）</w:t>
            </w:r>
          </w:p>
        </w:tc>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cnfStyle w:val="100000000000"/>
              <w:rPr>
                <w:lang w:eastAsia="en-US"/>
              </w:rPr>
            </w:pPr>
            <w:r>
              <w:rPr>
                <w:rFonts w:ascii="宋体" w:hAnsi="宋体" w:cs="宋体"/>
                <w:lang w:eastAsia="en-US"/>
              </w:rPr>
              <w:t>A</w:t>
            </w:r>
            <w:r>
              <w:rPr>
                <w:rFonts w:ascii="宋体" w:hAnsi="宋体" w:cs="宋体"/>
                <w:lang w:eastAsia="en-US"/>
              </w:rPr>
              <w:t>类基金份额赎回费率</w:t>
            </w:r>
          </w:p>
        </w:tc>
      </w:tr>
      <w:tr w:rsidR="00000000">
        <w:trPr>
          <w:jc w:val="center"/>
        </w:trPr>
        <w:tc>
          <w:tcPr>
            <w:cnfStyle w:val="001000000000"/>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rPr>
                <w:lang w:eastAsia="en-US"/>
              </w:rPr>
            </w:pPr>
            <w:r>
              <w:rPr>
                <w:rFonts w:ascii="宋体" w:hAnsi="宋体" w:cs="宋体"/>
                <w:lang w:eastAsia="en-US"/>
              </w:rPr>
              <w:t>Y</w:t>
            </w:r>
            <w:r>
              <w:rPr>
                <w:rFonts w:ascii="宋体" w:hAnsi="宋体" w:cs="宋体"/>
                <w:lang w:eastAsia="en-US"/>
              </w:rPr>
              <w:t>＜</w:t>
            </w:r>
            <w:r>
              <w:rPr>
                <w:rFonts w:ascii="宋体" w:hAnsi="宋体" w:cs="宋体"/>
                <w:lang w:eastAsia="en-US"/>
              </w:rPr>
              <w:t>7</w:t>
            </w:r>
            <w:r>
              <w:rPr>
                <w:rFonts w:ascii="宋体" w:hAnsi="宋体" w:cs="宋体"/>
                <w:lang w:eastAsia="en-US"/>
              </w:rPr>
              <w:t>日</w:t>
            </w:r>
          </w:p>
        </w:tc>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cnfStyle w:val="000000000000"/>
              <w:rPr>
                <w:lang w:eastAsia="en-US"/>
              </w:rPr>
            </w:pPr>
            <w:r>
              <w:rPr>
                <w:rFonts w:ascii="宋体" w:hAnsi="宋体" w:cs="宋体"/>
                <w:lang w:eastAsia="en-US"/>
              </w:rPr>
              <w:t>1.50%</w:t>
            </w:r>
          </w:p>
        </w:tc>
      </w:tr>
      <w:tr w:rsidR="00000000">
        <w:trPr>
          <w:jc w:val="center"/>
        </w:trPr>
        <w:tc>
          <w:tcPr>
            <w:cnfStyle w:val="001000000000"/>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rPr>
                <w:lang w:eastAsia="en-US"/>
              </w:rPr>
            </w:pPr>
            <w:r>
              <w:rPr>
                <w:rFonts w:ascii="宋体" w:hAnsi="宋体" w:cs="宋体"/>
                <w:lang w:eastAsia="en-US"/>
              </w:rPr>
              <w:t>7</w:t>
            </w:r>
            <w:r>
              <w:rPr>
                <w:rFonts w:ascii="宋体" w:hAnsi="宋体" w:cs="宋体"/>
                <w:lang w:eastAsia="en-US"/>
              </w:rPr>
              <w:t>日</w:t>
            </w:r>
            <w:r>
              <w:rPr>
                <w:rFonts w:ascii="宋体" w:hAnsi="宋体" w:cs="宋体"/>
                <w:lang w:eastAsia="en-US"/>
              </w:rPr>
              <w:t>≤Y</w:t>
            </w:r>
            <w:r>
              <w:rPr>
                <w:rFonts w:ascii="宋体" w:hAnsi="宋体" w:cs="宋体"/>
                <w:lang w:eastAsia="en-US"/>
              </w:rPr>
              <w:t>＜</w:t>
            </w:r>
            <w:r>
              <w:rPr>
                <w:rFonts w:ascii="宋体" w:hAnsi="宋体" w:cs="宋体"/>
                <w:lang w:eastAsia="en-US"/>
              </w:rPr>
              <w:t>30</w:t>
            </w:r>
            <w:r>
              <w:rPr>
                <w:rFonts w:ascii="宋体" w:hAnsi="宋体" w:cs="宋体"/>
                <w:lang w:eastAsia="en-US"/>
              </w:rPr>
              <w:t>日</w:t>
            </w:r>
          </w:p>
        </w:tc>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cnfStyle w:val="000000000000"/>
              <w:rPr>
                <w:lang w:eastAsia="en-US"/>
              </w:rPr>
            </w:pPr>
            <w:r>
              <w:rPr>
                <w:rFonts w:ascii="宋体" w:hAnsi="宋体" w:cs="宋体"/>
                <w:lang w:eastAsia="en-US"/>
              </w:rPr>
              <w:t>0.75%</w:t>
            </w:r>
          </w:p>
        </w:tc>
      </w:tr>
      <w:tr w:rsidR="00000000">
        <w:trPr>
          <w:jc w:val="center"/>
        </w:trPr>
        <w:tc>
          <w:tcPr>
            <w:cnfStyle w:val="001000000000"/>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rPr>
                <w:lang w:eastAsia="en-US"/>
              </w:rPr>
            </w:pPr>
            <w:r>
              <w:rPr>
                <w:rFonts w:ascii="宋体" w:hAnsi="宋体" w:cs="宋体"/>
                <w:lang w:eastAsia="en-US"/>
              </w:rPr>
              <w:t>30</w:t>
            </w:r>
            <w:r>
              <w:rPr>
                <w:rFonts w:ascii="宋体" w:hAnsi="宋体" w:cs="宋体"/>
                <w:lang w:eastAsia="en-US"/>
              </w:rPr>
              <w:t>日</w:t>
            </w:r>
            <w:r>
              <w:rPr>
                <w:rFonts w:ascii="宋体" w:hAnsi="宋体" w:cs="宋体"/>
                <w:lang w:eastAsia="en-US"/>
              </w:rPr>
              <w:t>≤Y</w:t>
            </w:r>
            <w:r>
              <w:rPr>
                <w:rFonts w:ascii="宋体" w:hAnsi="宋体" w:cs="宋体"/>
                <w:lang w:eastAsia="en-US"/>
              </w:rPr>
              <w:t>＜</w:t>
            </w:r>
            <w:r>
              <w:rPr>
                <w:rFonts w:ascii="宋体" w:hAnsi="宋体" w:cs="宋体"/>
                <w:lang w:eastAsia="en-US"/>
              </w:rPr>
              <w:t>180</w:t>
            </w:r>
            <w:r>
              <w:rPr>
                <w:rFonts w:ascii="宋体" w:hAnsi="宋体" w:cs="宋体"/>
                <w:lang w:eastAsia="en-US"/>
              </w:rPr>
              <w:t>日</w:t>
            </w:r>
          </w:p>
        </w:tc>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cnfStyle w:val="000000000000"/>
              <w:rPr>
                <w:lang w:eastAsia="en-US"/>
              </w:rPr>
            </w:pPr>
            <w:r>
              <w:rPr>
                <w:rFonts w:ascii="宋体" w:hAnsi="宋体" w:cs="宋体"/>
                <w:lang w:eastAsia="en-US"/>
              </w:rPr>
              <w:t>0.50%</w:t>
            </w:r>
          </w:p>
        </w:tc>
      </w:tr>
      <w:tr w:rsidR="00000000">
        <w:trPr>
          <w:jc w:val="center"/>
        </w:trPr>
        <w:tc>
          <w:tcPr>
            <w:cnfStyle w:val="001000000000"/>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rPr>
                <w:lang w:eastAsia="en-US"/>
              </w:rPr>
            </w:pPr>
            <w:r>
              <w:rPr>
                <w:rFonts w:ascii="宋体" w:hAnsi="宋体" w:cs="宋体"/>
                <w:lang w:eastAsia="en-US"/>
              </w:rPr>
              <w:t>180</w:t>
            </w:r>
            <w:r>
              <w:rPr>
                <w:rFonts w:ascii="宋体" w:hAnsi="宋体" w:cs="宋体"/>
                <w:lang w:eastAsia="en-US"/>
              </w:rPr>
              <w:t>日</w:t>
            </w:r>
            <w:r>
              <w:rPr>
                <w:rFonts w:ascii="宋体" w:hAnsi="宋体" w:cs="宋体"/>
                <w:lang w:eastAsia="en-US"/>
              </w:rPr>
              <w:t>≤Y</w:t>
            </w:r>
          </w:p>
        </w:tc>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cnfStyle w:val="000000000000"/>
              <w:rPr>
                <w:lang w:eastAsia="en-US"/>
              </w:rPr>
            </w:pPr>
            <w:r>
              <w:rPr>
                <w:rFonts w:ascii="宋体" w:hAnsi="宋体" w:cs="宋体"/>
                <w:lang w:eastAsia="en-US"/>
              </w:rPr>
              <w:t>0</w:t>
            </w:r>
          </w:p>
        </w:tc>
      </w:tr>
    </w:tbl>
    <w:p w:rsidR="00000000" w:rsidRDefault="00F548D5">
      <w:pPr>
        <w:rPr>
          <w:lang w:eastAsia="en-US"/>
        </w:rPr>
      </w:pPr>
    </w:p>
    <w:p w:rsidR="00000000" w:rsidRDefault="00F548D5">
      <w:pPr>
        <w:spacing w:line="360" w:lineRule="auto"/>
        <w:ind w:firstLine="720"/>
        <w:rPr>
          <w:lang w:eastAsia="en-US"/>
        </w:rPr>
      </w:pPr>
      <w:r>
        <w:rPr>
          <w:rFonts w:ascii="宋体" w:hAnsi="宋体" w:cs="宋体"/>
          <w:color w:val="000000"/>
          <w:sz w:val="24"/>
          <w:lang w:eastAsia="en-US"/>
        </w:rPr>
        <w:t>本基金</w:t>
      </w:r>
      <w:r>
        <w:rPr>
          <w:rFonts w:ascii="宋体" w:hAnsi="宋体" w:cs="宋体"/>
          <w:color w:val="000000"/>
          <w:sz w:val="24"/>
          <w:lang w:eastAsia="en-US"/>
        </w:rPr>
        <w:t>C</w:t>
      </w:r>
      <w:r>
        <w:rPr>
          <w:rFonts w:ascii="宋体" w:hAnsi="宋体" w:cs="宋体"/>
          <w:color w:val="000000"/>
          <w:sz w:val="24"/>
          <w:lang w:eastAsia="en-US"/>
        </w:rPr>
        <w:t>类基金份额的具体赎回费率如下：</w:t>
      </w:r>
    </w:p>
    <w:tbl>
      <w:tblPr>
        <w:tblStyle w:val="a3"/>
        <w:tblW w:w="0" w:type="auto"/>
        <w:jc w:val="center"/>
        <w:tblInd w:w="0"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ook w:val="04A0"/>
      </w:tblPr>
      <w:tblGrid>
        <w:gridCol w:w="4870"/>
        <w:gridCol w:w="4870"/>
      </w:tblGrid>
      <w:tr w:rsidR="00000000">
        <w:trPr>
          <w:cnfStyle w:val="100000000000"/>
          <w:jc w:val="center"/>
        </w:trPr>
        <w:tc>
          <w:tcPr>
            <w:cnfStyle w:val="001000000100"/>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rPr>
                <w:lang w:eastAsia="en-US"/>
              </w:rPr>
            </w:pPr>
            <w:r>
              <w:rPr>
                <w:rFonts w:ascii="宋体" w:hAnsi="宋体" w:cs="宋体"/>
                <w:lang w:eastAsia="en-US"/>
              </w:rPr>
              <w:t>持有期限（</w:t>
            </w:r>
            <w:r>
              <w:rPr>
                <w:rFonts w:ascii="宋体" w:hAnsi="宋体" w:cs="宋体"/>
                <w:lang w:eastAsia="en-US"/>
              </w:rPr>
              <w:t>Y</w:t>
            </w:r>
            <w:r>
              <w:rPr>
                <w:rFonts w:ascii="宋体" w:hAnsi="宋体" w:cs="宋体"/>
                <w:lang w:eastAsia="en-US"/>
              </w:rPr>
              <w:t>）</w:t>
            </w:r>
          </w:p>
        </w:tc>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cnfStyle w:val="100000000000"/>
              <w:rPr>
                <w:lang w:eastAsia="en-US"/>
              </w:rPr>
            </w:pPr>
            <w:r>
              <w:rPr>
                <w:rFonts w:ascii="宋体" w:hAnsi="宋体" w:cs="宋体"/>
                <w:lang w:eastAsia="en-US"/>
              </w:rPr>
              <w:t>C</w:t>
            </w:r>
            <w:r>
              <w:rPr>
                <w:rFonts w:ascii="宋体" w:hAnsi="宋体" w:cs="宋体"/>
                <w:lang w:eastAsia="en-US"/>
              </w:rPr>
              <w:t>类基金份额赎回费率</w:t>
            </w:r>
          </w:p>
        </w:tc>
      </w:tr>
      <w:tr w:rsidR="00000000">
        <w:trPr>
          <w:jc w:val="center"/>
        </w:trPr>
        <w:tc>
          <w:tcPr>
            <w:cnfStyle w:val="001000000000"/>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rPr>
                <w:lang w:eastAsia="en-US"/>
              </w:rPr>
            </w:pPr>
            <w:r>
              <w:rPr>
                <w:rFonts w:ascii="宋体" w:hAnsi="宋体" w:cs="宋体"/>
                <w:lang w:eastAsia="en-US"/>
              </w:rPr>
              <w:t>Y</w:t>
            </w:r>
            <w:r>
              <w:rPr>
                <w:rFonts w:ascii="宋体" w:hAnsi="宋体" w:cs="宋体"/>
                <w:lang w:eastAsia="en-US"/>
              </w:rPr>
              <w:t>＜</w:t>
            </w:r>
            <w:r>
              <w:rPr>
                <w:rFonts w:ascii="宋体" w:hAnsi="宋体" w:cs="宋体"/>
                <w:lang w:eastAsia="en-US"/>
              </w:rPr>
              <w:t>7</w:t>
            </w:r>
            <w:r>
              <w:rPr>
                <w:rFonts w:ascii="宋体" w:hAnsi="宋体" w:cs="宋体"/>
                <w:lang w:eastAsia="en-US"/>
              </w:rPr>
              <w:t>日</w:t>
            </w:r>
          </w:p>
        </w:tc>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cnfStyle w:val="000000000000"/>
              <w:rPr>
                <w:lang w:eastAsia="en-US"/>
              </w:rPr>
            </w:pPr>
            <w:r>
              <w:rPr>
                <w:rFonts w:ascii="宋体" w:hAnsi="宋体" w:cs="宋体"/>
                <w:lang w:eastAsia="en-US"/>
              </w:rPr>
              <w:t>1.50%</w:t>
            </w:r>
          </w:p>
        </w:tc>
      </w:tr>
      <w:tr w:rsidR="00000000">
        <w:trPr>
          <w:jc w:val="center"/>
        </w:trPr>
        <w:tc>
          <w:tcPr>
            <w:cnfStyle w:val="001000000000"/>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rPr>
                <w:lang w:eastAsia="en-US"/>
              </w:rPr>
            </w:pPr>
            <w:r>
              <w:rPr>
                <w:rFonts w:ascii="宋体" w:hAnsi="宋体" w:cs="宋体"/>
                <w:lang w:eastAsia="en-US"/>
              </w:rPr>
              <w:t>7</w:t>
            </w:r>
            <w:r>
              <w:rPr>
                <w:rFonts w:ascii="宋体" w:hAnsi="宋体" w:cs="宋体"/>
                <w:lang w:eastAsia="en-US"/>
              </w:rPr>
              <w:t>日</w:t>
            </w:r>
            <w:r>
              <w:rPr>
                <w:rFonts w:ascii="宋体" w:hAnsi="宋体" w:cs="宋体"/>
                <w:lang w:eastAsia="en-US"/>
              </w:rPr>
              <w:t>≤Y</w:t>
            </w:r>
            <w:r>
              <w:rPr>
                <w:rFonts w:ascii="宋体" w:hAnsi="宋体" w:cs="宋体"/>
                <w:lang w:eastAsia="en-US"/>
              </w:rPr>
              <w:t>＜</w:t>
            </w:r>
            <w:r>
              <w:rPr>
                <w:rFonts w:ascii="宋体" w:hAnsi="宋体" w:cs="宋体"/>
                <w:lang w:eastAsia="en-US"/>
              </w:rPr>
              <w:t>30</w:t>
            </w:r>
            <w:r>
              <w:rPr>
                <w:rFonts w:ascii="宋体" w:hAnsi="宋体" w:cs="宋体"/>
                <w:lang w:eastAsia="en-US"/>
              </w:rPr>
              <w:t>日</w:t>
            </w:r>
          </w:p>
        </w:tc>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cnfStyle w:val="000000000000"/>
              <w:rPr>
                <w:lang w:eastAsia="en-US"/>
              </w:rPr>
            </w:pPr>
            <w:r>
              <w:rPr>
                <w:rFonts w:ascii="宋体" w:hAnsi="宋体" w:cs="宋体"/>
                <w:lang w:eastAsia="en-US"/>
              </w:rPr>
              <w:t>0.50%</w:t>
            </w:r>
          </w:p>
        </w:tc>
      </w:tr>
      <w:tr w:rsidR="00000000">
        <w:trPr>
          <w:jc w:val="center"/>
        </w:trPr>
        <w:tc>
          <w:tcPr>
            <w:cnfStyle w:val="001000000000"/>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rPr>
                <w:lang w:eastAsia="en-US"/>
              </w:rPr>
            </w:pPr>
            <w:r>
              <w:rPr>
                <w:rFonts w:ascii="宋体" w:hAnsi="宋体" w:cs="宋体"/>
                <w:lang w:eastAsia="en-US"/>
              </w:rPr>
              <w:t>30</w:t>
            </w:r>
            <w:r>
              <w:rPr>
                <w:rFonts w:ascii="宋体" w:hAnsi="宋体" w:cs="宋体"/>
                <w:lang w:eastAsia="en-US"/>
              </w:rPr>
              <w:t>日</w:t>
            </w:r>
            <w:r>
              <w:rPr>
                <w:rFonts w:ascii="宋体" w:hAnsi="宋体" w:cs="宋体"/>
                <w:lang w:eastAsia="en-US"/>
              </w:rPr>
              <w:t>≤Y</w:t>
            </w:r>
          </w:p>
        </w:tc>
        <w:tc>
          <w:tcPr>
            <w:tcW w:w="4870"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F548D5">
            <w:pPr>
              <w:jc w:val="center"/>
              <w:cnfStyle w:val="000000000000"/>
              <w:rPr>
                <w:lang w:eastAsia="en-US"/>
              </w:rPr>
            </w:pPr>
            <w:r>
              <w:rPr>
                <w:rFonts w:ascii="宋体" w:hAnsi="宋体" w:cs="宋体"/>
                <w:lang w:eastAsia="en-US"/>
              </w:rPr>
              <w:t>0</w:t>
            </w:r>
          </w:p>
        </w:tc>
      </w:tr>
    </w:tbl>
    <w:p w:rsidR="00000000" w:rsidRDefault="00F548D5">
      <w:pPr>
        <w:rPr>
          <w:lang w:eastAsia="en-US"/>
        </w:rPr>
      </w:pPr>
    </w:p>
    <w:p w:rsidR="00000000" w:rsidRDefault="00F548D5">
      <w:pPr>
        <w:pBdr>
          <w:top w:val="none" w:sz="0" w:space="0" w:color="000000"/>
          <w:left w:val="none" w:sz="0" w:space="0" w:color="000000"/>
          <w:bottom w:val="none" w:sz="0" w:space="0" w:color="000000"/>
          <w:right w:val="none" w:sz="0" w:space="0" w:color="000000"/>
        </w:pBdr>
        <w:spacing w:line="360" w:lineRule="auto"/>
        <w:ind w:firstLineChars="200" w:firstLine="480"/>
        <w:rPr>
          <w:rFonts w:ascii="Times New Roman" w:eastAsia="Times New Roman" w:hAnsi="Times New Roman"/>
          <w:sz w:val="22"/>
          <w:lang w:eastAsia="en-US"/>
        </w:rPr>
      </w:pPr>
      <w:r>
        <w:rPr>
          <w:rFonts w:ascii="宋体" w:hAnsi="宋体" w:cs="宋体"/>
          <w:color w:val="000000"/>
          <w:sz w:val="24"/>
          <w:lang w:eastAsia="en-US"/>
        </w:rPr>
        <w:t>注：认</w:t>
      </w:r>
      <w:r>
        <w:rPr>
          <w:rFonts w:ascii="宋体" w:hAnsi="宋体" w:cs="宋体"/>
          <w:color w:val="000000"/>
          <w:sz w:val="24"/>
          <w:lang w:eastAsia="en-US"/>
        </w:rPr>
        <w:t>购的基金份额持有期限自基金合同生效日起开始计算，申购的基金份额持有期限自登记机构注册登记系统确认之日起开始计算，至该部分基金份额赎回确认日止，且基金份额赎回确认日不计入持有期限。</w:t>
      </w:r>
    </w:p>
    <w:p w:rsidR="00000000" w:rsidRDefault="00F548D5">
      <w:pPr>
        <w:pBdr>
          <w:top w:val="none" w:sz="0" w:space="0" w:color="000000"/>
          <w:left w:val="none" w:sz="0" w:space="0" w:color="000000"/>
          <w:bottom w:val="none" w:sz="0" w:space="0" w:color="000000"/>
          <w:right w:val="none" w:sz="0" w:space="0" w:color="000000"/>
        </w:pBdr>
        <w:spacing w:line="360" w:lineRule="auto"/>
        <w:ind w:firstLineChars="200" w:firstLine="480"/>
        <w:rPr>
          <w:rFonts w:ascii="Times New Roman" w:eastAsia="Times New Roman" w:hAnsi="Times New Roman"/>
          <w:sz w:val="22"/>
          <w:lang w:eastAsia="en-US"/>
        </w:rPr>
      </w:pPr>
      <w:r>
        <w:rPr>
          <w:rFonts w:ascii="宋体" w:hAnsi="宋体" w:cs="宋体"/>
          <w:color w:val="000000"/>
          <w:sz w:val="24"/>
          <w:lang w:eastAsia="en-US"/>
        </w:rPr>
        <w:t>赎回费用由赎回相应类别基金份额的基金份额持有人承担，在基金份额持有人赎回相应类别的基金份额时收取。对持续持有期少于</w:t>
      </w:r>
      <w:r>
        <w:rPr>
          <w:rFonts w:ascii="Times New Roman, serif" w:hAnsi="Times New Roman, serif" w:cs="Times New Roman, serif"/>
          <w:color w:val="000000"/>
          <w:sz w:val="24"/>
          <w:lang w:eastAsia="en-US"/>
        </w:rPr>
        <w:t>30</w:t>
      </w:r>
      <w:r>
        <w:rPr>
          <w:rFonts w:ascii="宋体" w:hAnsi="宋体" w:cs="宋体"/>
          <w:color w:val="000000"/>
          <w:sz w:val="24"/>
          <w:lang w:eastAsia="en-US"/>
        </w:rPr>
        <w:t>日的</w:t>
      </w:r>
      <w:r>
        <w:rPr>
          <w:rFonts w:ascii="Times New Roman, serif" w:hAnsi="Times New Roman, serif" w:cs="Times New Roman, serif"/>
          <w:color w:val="000000"/>
          <w:sz w:val="24"/>
          <w:lang w:eastAsia="en-US"/>
        </w:rPr>
        <w:t>A</w:t>
      </w:r>
      <w:r>
        <w:rPr>
          <w:rFonts w:ascii="宋体" w:hAnsi="宋体" w:cs="宋体"/>
          <w:color w:val="000000"/>
          <w:sz w:val="24"/>
          <w:lang w:eastAsia="en-US"/>
        </w:rPr>
        <w:t>类基金份额投资人收取的赎回费全额计入基金财产；对持续持有期不少于</w:t>
      </w:r>
      <w:r>
        <w:rPr>
          <w:rFonts w:ascii="Times New Roman, serif" w:hAnsi="Times New Roman, serif" w:cs="Times New Roman, serif"/>
          <w:color w:val="000000"/>
          <w:sz w:val="24"/>
          <w:lang w:eastAsia="en-US"/>
        </w:rPr>
        <w:t>30</w:t>
      </w:r>
      <w:r>
        <w:rPr>
          <w:rFonts w:ascii="宋体" w:hAnsi="宋体" w:cs="宋体"/>
          <w:color w:val="000000"/>
          <w:sz w:val="24"/>
          <w:lang w:eastAsia="en-US"/>
        </w:rPr>
        <w:t>日但少于</w:t>
      </w:r>
      <w:r>
        <w:rPr>
          <w:rFonts w:ascii="Times New Roman, serif" w:hAnsi="Times New Roman, serif" w:cs="Times New Roman, serif"/>
          <w:color w:val="000000"/>
          <w:sz w:val="24"/>
          <w:lang w:eastAsia="en-US"/>
        </w:rPr>
        <w:t>3</w:t>
      </w:r>
      <w:r>
        <w:rPr>
          <w:rFonts w:ascii="宋体" w:hAnsi="宋体" w:cs="宋体"/>
          <w:color w:val="000000"/>
          <w:sz w:val="24"/>
          <w:lang w:eastAsia="en-US"/>
        </w:rPr>
        <w:t>个月的</w:t>
      </w:r>
      <w:r>
        <w:rPr>
          <w:rFonts w:ascii="Times New Roman, serif" w:hAnsi="Times New Roman, serif" w:cs="Times New Roman, serif"/>
          <w:color w:val="000000"/>
          <w:sz w:val="24"/>
          <w:lang w:eastAsia="en-US"/>
        </w:rPr>
        <w:t>A</w:t>
      </w:r>
      <w:r>
        <w:rPr>
          <w:rFonts w:ascii="宋体" w:hAnsi="宋体" w:cs="宋体"/>
          <w:color w:val="000000"/>
          <w:sz w:val="24"/>
          <w:lang w:eastAsia="en-US"/>
        </w:rPr>
        <w:t>类基金份额投资人收取的赎回费的</w:t>
      </w:r>
      <w:r>
        <w:rPr>
          <w:rFonts w:ascii="Times New Roman, serif" w:hAnsi="Times New Roman, serif" w:cs="Times New Roman, serif"/>
          <w:color w:val="000000"/>
          <w:sz w:val="24"/>
          <w:lang w:eastAsia="en-US"/>
        </w:rPr>
        <w:t>75%</w:t>
      </w:r>
      <w:r>
        <w:rPr>
          <w:rFonts w:ascii="宋体" w:hAnsi="宋体" w:cs="宋体"/>
          <w:color w:val="000000"/>
          <w:sz w:val="24"/>
          <w:lang w:eastAsia="en-US"/>
        </w:rPr>
        <w:t>计入基金财产；对持续持有期不少于</w:t>
      </w:r>
      <w:r>
        <w:rPr>
          <w:rFonts w:ascii="Times New Roman, serif" w:hAnsi="Times New Roman, serif" w:cs="Times New Roman, serif"/>
          <w:color w:val="000000"/>
          <w:sz w:val="24"/>
          <w:lang w:eastAsia="en-US"/>
        </w:rPr>
        <w:t>3</w:t>
      </w:r>
      <w:r>
        <w:rPr>
          <w:rFonts w:ascii="宋体" w:hAnsi="宋体" w:cs="宋体"/>
          <w:color w:val="000000"/>
          <w:sz w:val="24"/>
          <w:lang w:eastAsia="en-US"/>
        </w:rPr>
        <w:t>个月但少于</w:t>
      </w:r>
      <w:r>
        <w:rPr>
          <w:rFonts w:ascii="Times New Roman, serif" w:hAnsi="Times New Roman, serif" w:cs="Times New Roman, serif"/>
          <w:color w:val="000000"/>
          <w:sz w:val="24"/>
          <w:lang w:eastAsia="en-US"/>
        </w:rPr>
        <w:t>6</w:t>
      </w:r>
      <w:r>
        <w:rPr>
          <w:rFonts w:ascii="宋体" w:hAnsi="宋体" w:cs="宋体"/>
          <w:color w:val="000000"/>
          <w:sz w:val="24"/>
          <w:lang w:eastAsia="en-US"/>
        </w:rPr>
        <w:t>个月的</w:t>
      </w:r>
      <w:r>
        <w:rPr>
          <w:rFonts w:ascii="Times New Roman, serif" w:hAnsi="Times New Roman, serif" w:cs="Times New Roman, serif"/>
          <w:color w:val="000000"/>
          <w:sz w:val="24"/>
          <w:lang w:eastAsia="en-US"/>
        </w:rPr>
        <w:t>A</w:t>
      </w:r>
      <w:r>
        <w:rPr>
          <w:rFonts w:ascii="宋体" w:hAnsi="宋体" w:cs="宋体"/>
          <w:color w:val="000000"/>
          <w:sz w:val="24"/>
          <w:lang w:eastAsia="en-US"/>
        </w:rPr>
        <w:t>类基金份额投资人收取的赎回费的</w:t>
      </w:r>
      <w:r>
        <w:rPr>
          <w:rFonts w:ascii="Times New Roman, serif" w:hAnsi="Times New Roman, serif" w:cs="Times New Roman, serif"/>
          <w:color w:val="000000"/>
          <w:sz w:val="24"/>
          <w:lang w:eastAsia="en-US"/>
        </w:rPr>
        <w:t>5</w:t>
      </w:r>
      <w:r>
        <w:rPr>
          <w:rFonts w:ascii="Times New Roman, serif" w:hAnsi="Times New Roman, serif" w:cs="Times New Roman, serif"/>
          <w:color w:val="000000"/>
          <w:sz w:val="24"/>
          <w:lang w:eastAsia="en-US"/>
        </w:rPr>
        <w:t>0%</w:t>
      </w:r>
      <w:r>
        <w:rPr>
          <w:rFonts w:ascii="宋体" w:hAnsi="宋体" w:cs="宋体"/>
          <w:color w:val="000000"/>
          <w:sz w:val="24"/>
          <w:lang w:eastAsia="en-US"/>
        </w:rPr>
        <w:t>计入基金财产。对于持续持有期少于</w:t>
      </w:r>
      <w:r>
        <w:rPr>
          <w:rFonts w:ascii="Times New Roman, serif" w:hAnsi="Times New Roman, serif" w:cs="Times New Roman, serif"/>
          <w:color w:val="000000"/>
          <w:sz w:val="24"/>
          <w:lang w:eastAsia="en-US"/>
        </w:rPr>
        <w:t>30</w:t>
      </w:r>
      <w:r>
        <w:rPr>
          <w:rFonts w:ascii="宋体" w:hAnsi="宋体" w:cs="宋体"/>
          <w:color w:val="000000"/>
          <w:sz w:val="24"/>
          <w:lang w:eastAsia="en-US"/>
        </w:rPr>
        <w:t>日的</w:t>
      </w:r>
      <w:r>
        <w:rPr>
          <w:rFonts w:ascii="Times New Roman, serif" w:hAnsi="Times New Roman, serif" w:cs="Times New Roman, serif"/>
          <w:color w:val="000000"/>
          <w:sz w:val="24"/>
          <w:lang w:eastAsia="en-US"/>
        </w:rPr>
        <w:t>C</w:t>
      </w:r>
      <w:r>
        <w:rPr>
          <w:rFonts w:ascii="宋体" w:hAnsi="宋体" w:cs="宋体"/>
          <w:color w:val="000000"/>
          <w:sz w:val="24"/>
          <w:lang w:eastAsia="en-US"/>
        </w:rPr>
        <w:t>类基金份额投资人收取的赎回费全额计入基金财产。赎回费未归入基金财产的部分用于支付登记费和其他必要的手续费。如法律法规对赎回费的强制性规定发生变动，本基金将依新法规进行修改，不需召开基金份额持有人大会。</w:t>
      </w:r>
    </w:p>
    <w:p w:rsidR="00000000" w:rsidRDefault="00F548D5">
      <w:pPr>
        <w:spacing w:line="360" w:lineRule="auto"/>
        <w:ind w:firstLine="480"/>
        <w:rPr>
          <w:lang w:eastAsia="en-US"/>
        </w:rPr>
      </w:pPr>
    </w:p>
    <w:p w:rsidR="00000000" w:rsidRDefault="00F548D5">
      <w:pPr>
        <w:rPr>
          <w:rFonts w:ascii="宋体" w:hAnsi="宋体"/>
          <w:b/>
          <w:sz w:val="24"/>
          <w:szCs w:val="24"/>
          <w:lang w:eastAsia="en-US"/>
        </w:rPr>
      </w:pPr>
      <w:r>
        <w:rPr>
          <w:rFonts w:ascii="宋体" w:hAnsi="宋体" w:hint="eastAsia"/>
          <w:b/>
          <w:sz w:val="24"/>
          <w:szCs w:val="24"/>
          <w:lang w:eastAsia="en-US"/>
        </w:rPr>
        <w:t xml:space="preserve">4.3 </w:t>
      </w:r>
      <w:r>
        <w:rPr>
          <w:rFonts w:ascii="宋体" w:hAnsi="宋体"/>
          <w:b/>
          <w:sz w:val="24"/>
          <w:szCs w:val="24"/>
          <w:lang w:eastAsia="en-US"/>
        </w:rPr>
        <w:t>其他与赎回相关的事项</w:t>
      </w:r>
    </w:p>
    <w:p w:rsidR="00000000" w:rsidRDefault="00F548D5">
      <w:pPr>
        <w:spacing w:line="360" w:lineRule="auto"/>
        <w:rPr>
          <w:rFonts w:ascii="宋体" w:hAnsi="宋体" w:cs="宋体"/>
          <w:sz w:val="24"/>
          <w:lang w:eastAsia="en-US"/>
        </w:rPr>
      </w:pPr>
      <w:r>
        <w:rPr>
          <w:rFonts w:ascii="宋体" w:hAnsi="宋体" w:cs="宋体"/>
          <w:sz w:val="24"/>
          <w:lang w:eastAsia="en-US"/>
        </w:rPr>
        <w:t xml:space="preserve">   </w:t>
      </w:r>
      <w:r>
        <w:rPr>
          <w:rFonts w:ascii="宋体" w:hAnsi="宋体" w:cs="宋体"/>
          <w:sz w:val="24"/>
          <w:lang w:eastAsia="en-US"/>
        </w:rPr>
        <w:t>（</w:t>
      </w:r>
      <w:r>
        <w:rPr>
          <w:rFonts w:ascii="宋体" w:hAnsi="宋体" w:cs="宋体"/>
          <w:sz w:val="24"/>
          <w:lang w:eastAsia="en-US"/>
        </w:rPr>
        <w:t>1</w:t>
      </w:r>
      <w:r>
        <w:rPr>
          <w:rFonts w:ascii="宋体" w:hAnsi="宋体" w:cs="宋体"/>
          <w:sz w:val="24"/>
          <w:lang w:eastAsia="en-US"/>
        </w:rPr>
        <w:t>）本基金遵循</w:t>
      </w:r>
      <w:r>
        <w:rPr>
          <w:rFonts w:ascii="宋体" w:hAnsi="宋体" w:cs="宋体"/>
          <w:sz w:val="24"/>
          <w:lang w:eastAsia="en-US"/>
        </w:rPr>
        <w:t>“</w:t>
      </w:r>
      <w:r>
        <w:rPr>
          <w:rFonts w:ascii="宋体" w:hAnsi="宋体" w:cs="宋体"/>
          <w:sz w:val="24"/>
          <w:lang w:eastAsia="en-US"/>
        </w:rPr>
        <w:t>未知价</w:t>
      </w:r>
      <w:r>
        <w:rPr>
          <w:rFonts w:ascii="宋体" w:hAnsi="宋体" w:cs="宋体"/>
          <w:sz w:val="24"/>
          <w:lang w:eastAsia="en-US"/>
        </w:rPr>
        <w:t>”</w:t>
      </w:r>
      <w:r>
        <w:rPr>
          <w:rFonts w:ascii="宋体" w:hAnsi="宋体" w:cs="宋体"/>
          <w:sz w:val="24"/>
          <w:lang w:eastAsia="en-US"/>
        </w:rPr>
        <w:t>原则，即赎回价格以申请当日收市后计算的各类基金份额净值为基准进行计算。</w:t>
      </w:r>
    </w:p>
    <w:p w:rsidR="00000000" w:rsidRDefault="00F548D5">
      <w:pPr>
        <w:spacing w:line="360" w:lineRule="auto"/>
        <w:rPr>
          <w:rFonts w:ascii="宋体" w:hAnsi="宋体" w:cs="宋体"/>
          <w:sz w:val="24"/>
          <w:lang w:eastAsia="en-US"/>
        </w:rPr>
      </w:pPr>
      <w:r>
        <w:rPr>
          <w:rFonts w:ascii="宋体" w:hAnsi="宋体" w:cs="宋体"/>
          <w:sz w:val="24"/>
          <w:lang w:eastAsia="en-US"/>
        </w:rPr>
        <w:t xml:space="preserve">   </w:t>
      </w:r>
      <w:r>
        <w:rPr>
          <w:rFonts w:ascii="宋体" w:hAnsi="宋体" w:cs="宋体"/>
          <w:sz w:val="24"/>
          <w:lang w:eastAsia="en-US"/>
        </w:rPr>
        <w:t>（</w:t>
      </w:r>
      <w:r>
        <w:rPr>
          <w:rFonts w:ascii="宋体" w:hAnsi="宋体" w:cs="宋体"/>
          <w:sz w:val="24"/>
          <w:lang w:eastAsia="en-US"/>
        </w:rPr>
        <w:t>2</w:t>
      </w:r>
      <w:r>
        <w:rPr>
          <w:rFonts w:ascii="宋体" w:hAnsi="宋体" w:cs="宋体"/>
          <w:sz w:val="24"/>
          <w:lang w:eastAsia="en-US"/>
        </w:rPr>
        <w:t>）本基金遵循</w:t>
      </w:r>
      <w:r>
        <w:rPr>
          <w:rFonts w:ascii="宋体" w:hAnsi="宋体" w:cs="宋体"/>
          <w:sz w:val="24"/>
          <w:lang w:eastAsia="en-US"/>
        </w:rPr>
        <w:t>“</w:t>
      </w:r>
      <w:r>
        <w:rPr>
          <w:rFonts w:ascii="宋体" w:hAnsi="宋体" w:cs="宋体"/>
          <w:sz w:val="24"/>
          <w:lang w:eastAsia="en-US"/>
        </w:rPr>
        <w:t>份额赎回</w:t>
      </w:r>
      <w:r>
        <w:rPr>
          <w:rFonts w:ascii="宋体" w:hAnsi="宋体" w:cs="宋体"/>
          <w:sz w:val="24"/>
          <w:lang w:eastAsia="en-US"/>
        </w:rPr>
        <w:t>”</w:t>
      </w:r>
      <w:r>
        <w:rPr>
          <w:rFonts w:ascii="宋体" w:hAnsi="宋体" w:cs="宋体"/>
          <w:sz w:val="24"/>
          <w:lang w:eastAsia="en-US"/>
        </w:rPr>
        <w:t>原则，即赎回以份额申请。</w:t>
      </w:r>
    </w:p>
    <w:p w:rsidR="00000000" w:rsidRDefault="00F548D5">
      <w:pPr>
        <w:spacing w:line="360" w:lineRule="auto"/>
        <w:rPr>
          <w:rFonts w:ascii="宋体" w:hAnsi="宋体" w:cs="宋体"/>
          <w:sz w:val="24"/>
          <w:lang w:eastAsia="en-US"/>
        </w:rPr>
      </w:pPr>
      <w:r>
        <w:rPr>
          <w:rFonts w:ascii="宋体" w:hAnsi="宋体" w:cs="宋体"/>
          <w:sz w:val="24"/>
          <w:lang w:eastAsia="en-US"/>
        </w:rPr>
        <w:t xml:space="preserve">   </w:t>
      </w:r>
      <w:r>
        <w:rPr>
          <w:rFonts w:ascii="宋体" w:hAnsi="宋体" w:cs="宋体"/>
          <w:sz w:val="24"/>
          <w:lang w:eastAsia="en-US"/>
        </w:rPr>
        <w:t>（</w:t>
      </w:r>
      <w:r>
        <w:rPr>
          <w:rFonts w:ascii="宋体" w:hAnsi="宋体" w:cs="宋体"/>
          <w:sz w:val="24"/>
          <w:lang w:eastAsia="en-US"/>
        </w:rPr>
        <w:t>3</w:t>
      </w:r>
      <w:r>
        <w:rPr>
          <w:rFonts w:ascii="宋体" w:hAnsi="宋体" w:cs="宋体"/>
          <w:sz w:val="24"/>
          <w:lang w:eastAsia="en-US"/>
        </w:rPr>
        <w:t>）本基金当日的赎回申请可以在基金管理人规定的时间以内撤销。</w:t>
      </w:r>
    </w:p>
    <w:p w:rsidR="00000000" w:rsidRDefault="00F548D5">
      <w:pPr>
        <w:spacing w:line="360" w:lineRule="auto"/>
        <w:rPr>
          <w:rFonts w:ascii="宋体" w:hAnsi="宋体" w:cs="宋体"/>
          <w:sz w:val="24"/>
          <w:lang w:eastAsia="en-US"/>
        </w:rPr>
      </w:pPr>
      <w:r>
        <w:rPr>
          <w:rFonts w:ascii="宋体" w:hAnsi="宋体" w:cs="宋体"/>
          <w:sz w:val="24"/>
          <w:lang w:eastAsia="en-US"/>
        </w:rPr>
        <w:t xml:space="preserve">    </w:t>
      </w:r>
      <w:r>
        <w:rPr>
          <w:rFonts w:ascii="宋体" w:hAnsi="宋体" w:cs="宋体"/>
          <w:sz w:val="24"/>
          <w:lang w:eastAsia="en-US"/>
        </w:rPr>
        <w:t>（</w:t>
      </w:r>
      <w:r>
        <w:rPr>
          <w:rFonts w:ascii="宋体" w:hAnsi="宋体" w:cs="宋体"/>
          <w:sz w:val="24"/>
          <w:lang w:eastAsia="en-US"/>
        </w:rPr>
        <w:t>4</w:t>
      </w:r>
      <w:r>
        <w:rPr>
          <w:rFonts w:ascii="宋体" w:hAnsi="宋体" w:cs="宋体"/>
          <w:sz w:val="24"/>
          <w:lang w:eastAsia="en-US"/>
        </w:rPr>
        <w:t>）本基金赎回遵循</w:t>
      </w:r>
      <w:r>
        <w:rPr>
          <w:rFonts w:ascii="宋体" w:hAnsi="宋体" w:cs="宋体"/>
          <w:sz w:val="24"/>
          <w:lang w:eastAsia="en-US"/>
        </w:rPr>
        <w:t>“</w:t>
      </w:r>
      <w:r>
        <w:rPr>
          <w:rFonts w:ascii="宋体" w:hAnsi="宋体" w:cs="宋体"/>
          <w:sz w:val="24"/>
          <w:lang w:eastAsia="en-US"/>
        </w:rPr>
        <w:t>先进先出</w:t>
      </w:r>
      <w:r>
        <w:rPr>
          <w:rFonts w:ascii="宋体" w:hAnsi="宋体" w:cs="宋体"/>
          <w:sz w:val="24"/>
          <w:lang w:eastAsia="en-US"/>
        </w:rPr>
        <w:t>”</w:t>
      </w:r>
      <w:r>
        <w:rPr>
          <w:rFonts w:ascii="宋体" w:hAnsi="宋体" w:cs="宋体"/>
          <w:sz w:val="24"/>
          <w:lang w:eastAsia="en-US"/>
        </w:rPr>
        <w:t>原则，即按照投资人认购、申购的先后次序进行顺序赎回。</w:t>
      </w:r>
    </w:p>
    <w:p w:rsidR="00000000" w:rsidRDefault="00F548D5">
      <w:pPr>
        <w:spacing w:line="360" w:lineRule="auto"/>
        <w:rPr>
          <w:rFonts w:ascii="宋体" w:hAnsi="宋体" w:cs="宋体"/>
          <w:sz w:val="24"/>
          <w:lang w:eastAsia="en-US"/>
        </w:rPr>
      </w:pPr>
      <w:r>
        <w:rPr>
          <w:rFonts w:ascii="宋体" w:hAnsi="宋体" w:cs="宋体"/>
          <w:sz w:val="24"/>
          <w:lang w:eastAsia="en-US"/>
        </w:rPr>
        <w:t xml:space="preserve">    </w:t>
      </w:r>
      <w:r>
        <w:rPr>
          <w:rFonts w:ascii="宋体" w:hAnsi="宋体" w:cs="宋体"/>
          <w:sz w:val="24"/>
          <w:lang w:eastAsia="en-US"/>
        </w:rPr>
        <w:t>（</w:t>
      </w:r>
      <w:r>
        <w:rPr>
          <w:rFonts w:ascii="宋体" w:hAnsi="宋体" w:cs="宋体"/>
          <w:sz w:val="24"/>
          <w:lang w:eastAsia="en-US"/>
        </w:rPr>
        <w:t>5</w:t>
      </w:r>
      <w:r>
        <w:rPr>
          <w:rFonts w:ascii="宋体" w:hAnsi="宋体" w:cs="宋体"/>
          <w:sz w:val="24"/>
          <w:lang w:eastAsia="en-US"/>
        </w:rPr>
        <w:t>）投资者办理赎回业务时应提交的文件和办理手续、办理时间、处理规则等在遵守基金合同和招募说明书规定的前提下，以各销售机构的具体规定为准。</w:t>
      </w:r>
    </w:p>
    <w:p w:rsidR="00000000" w:rsidRDefault="00F548D5">
      <w:pPr>
        <w:spacing w:line="360" w:lineRule="auto"/>
        <w:rPr>
          <w:rFonts w:ascii="宋体" w:hAnsi="宋体" w:cs="宋体"/>
          <w:sz w:val="24"/>
          <w:lang w:eastAsia="en-US"/>
        </w:rPr>
      </w:pPr>
      <w:r>
        <w:rPr>
          <w:rFonts w:ascii="宋体" w:hAnsi="宋体" w:cs="宋体"/>
          <w:sz w:val="24"/>
          <w:lang w:eastAsia="en-US"/>
        </w:rPr>
        <w:t xml:space="preserve">    </w:t>
      </w:r>
      <w:r>
        <w:rPr>
          <w:rFonts w:ascii="宋体" w:hAnsi="宋体" w:cs="宋体"/>
          <w:sz w:val="24"/>
          <w:lang w:eastAsia="en-US"/>
        </w:rPr>
        <w:t>（</w:t>
      </w:r>
      <w:r>
        <w:rPr>
          <w:rFonts w:ascii="宋体" w:hAnsi="宋体" w:cs="宋体"/>
          <w:sz w:val="24"/>
          <w:lang w:eastAsia="en-US"/>
        </w:rPr>
        <w:t>6</w:t>
      </w:r>
      <w:r>
        <w:rPr>
          <w:rFonts w:ascii="宋体" w:hAnsi="宋体" w:cs="宋体"/>
          <w:sz w:val="24"/>
          <w:lang w:eastAsia="en-US"/>
        </w:rPr>
        <w:t>）办理赎回业务时，应当遵循基金份额持有人利益优先原则，确保投资者的合法权益不受损害并得到公平对待。</w:t>
      </w:r>
    </w:p>
    <w:p w:rsidR="00000000" w:rsidRDefault="00F548D5">
      <w:pPr>
        <w:spacing w:line="360" w:lineRule="auto"/>
        <w:ind w:firstLine="480"/>
        <w:rPr>
          <w:rFonts w:ascii="宋体" w:hAnsi="宋体" w:hint="eastAsia"/>
          <w:sz w:val="24"/>
          <w:szCs w:val="24"/>
          <w:lang w:eastAsia="en-US"/>
        </w:rPr>
      </w:pPr>
      <w:r>
        <w:rPr>
          <w:rFonts w:ascii="宋体" w:hAnsi="宋体" w:hint="eastAsia"/>
          <w:sz w:val="24"/>
          <w:szCs w:val="24"/>
          <w:lang w:eastAsia="en-US"/>
        </w:rPr>
        <w:t>（</w:t>
      </w:r>
      <w:r>
        <w:rPr>
          <w:rFonts w:ascii="宋体" w:hAnsi="宋体" w:hint="eastAsia"/>
          <w:sz w:val="24"/>
          <w:szCs w:val="24"/>
          <w:lang w:eastAsia="en-US"/>
        </w:rPr>
        <w:t>7</w:t>
      </w:r>
      <w:r>
        <w:rPr>
          <w:rFonts w:ascii="宋体" w:hAnsi="宋体" w:hint="eastAsia"/>
          <w:sz w:val="24"/>
          <w:szCs w:val="24"/>
          <w:lang w:eastAsia="en-US"/>
        </w:rPr>
        <w:t>）认购的基金份额持有期限自基金合同生效日起开始计算，申购的基金份额持有期限自登记机构注册登记系统确认之日起开始计算，至该部分基金份额赎回确认日止，且基金</w:t>
      </w:r>
      <w:r>
        <w:rPr>
          <w:rFonts w:ascii="宋体" w:hAnsi="宋体" w:hint="eastAsia"/>
          <w:sz w:val="24"/>
          <w:szCs w:val="24"/>
          <w:lang w:eastAsia="en-US"/>
        </w:rPr>
        <w:t>份额赎回确认日不计入持有期限。</w:t>
      </w:r>
    </w:p>
    <w:p w:rsidR="00000000" w:rsidRDefault="00F548D5">
      <w:pPr>
        <w:spacing w:line="360" w:lineRule="auto"/>
        <w:ind w:firstLine="480"/>
        <w:rPr>
          <w:rFonts w:ascii="宋体" w:hAnsi="宋体"/>
          <w:lang w:eastAsia="en-US"/>
        </w:rPr>
      </w:pPr>
      <w:r>
        <w:rPr>
          <w:rFonts w:ascii="宋体" w:hAnsi="宋体" w:hint="eastAsia"/>
          <w:sz w:val="24"/>
          <w:szCs w:val="24"/>
          <w:lang w:eastAsia="en-US"/>
        </w:rPr>
        <w:t>基金管理人可在法律法规允许并在对基金份额持有人利益无实质性不利影响的情况下，对上述原则进行调整，或依据</w:t>
      </w:r>
      <w:r>
        <w:rPr>
          <w:rFonts w:ascii="宋体" w:hAnsi="宋体" w:cs="宋体"/>
          <w:color w:val="000000"/>
          <w:sz w:val="24"/>
          <w:lang w:eastAsia="en-US"/>
        </w:rPr>
        <w:t>《永赢基金管理有限公司非上市开放式基金业务规则》</w:t>
      </w:r>
      <w:r>
        <w:rPr>
          <w:rFonts w:ascii="宋体" w:hAnsi="宋体" w:hint="eastAsia"/>
          <w:sz w:val="24"/>
          <w:szCs w:val="24"/>
          <w:lang w:eastAsia="en-US"/>
        </w:rPr>
        <w:t>调整上述规则。</w:t>
      </w:r>
      <w:r>
        <w:rPr>
          <w:rFonts w:ascii="宋体" w:hAnsi="宋体"/>
          <w:sz w:val="24"/>
          <w:szCs w:val="24"/>
          <w:lang w:eastAsia="en-US"/>
        </w:rPr>
        <w:t>基金管理人必须在新规则开始实施前依照《公开募集证券投资基金信息披露管理办法》的有关规定在规定媒介上公告。</w:t>
      </w:r>
    </w:p>
    <w:p w:rsidR="00000000" w:rsidRDefault="00F548D5">
      <w:pPr>
        <w:rPr>
          <w:rFonts w:ascii="宋体" w:hAnsi="宋体"/>
          <w:b/>
          <w:sz w:val="24"/>
          <w:szCs w:val="24"/>
          <w:lang w:eastAsia="en-US"/>
        </w:rPr>
      </w:pPr>
      <w:r>
        <w:rPr>
          <w:rFonts w:ascii="宋体" w:hAnsi="宋体" w:hint="eastAsia"/>
          <w:b/>
          <w:sz w:val="24"/>
          <w:szCs w:val="24"/>
          <w:lang w:eastAsia="en-US"/>
        </w:rPr>
        <w:t xml:space="preserve">5 </w:t>
      </w:r>
      <w:r>
        <w:rPr>
          <w:rFonts w:ascii="宋体" w:hAnsi="宋体" w:hint="eastAsia"/>
          <w:b/>
          <w:sz w:val="24"/>
          <w:szCs w:val="24"/>
          <w:lang w:eastAsia="en-US"/>
        </w:rPr>
        <w:t>日常转换业务</w:t>
      </w:r>
    </w:p>
    <w:p w:rsidR="00000000" w:rsidRDefault="00F548D5">
      <w:pPr>
        <w:rPr>
          <w:lang w:eastAsia="en-US"/>
        </w:rPr>
      </w:pPr>
    </w:p>
    <w:p w:rsidR="00000000" w:rsidRDefault="00F548D5">
      <w:pPr>
        <w:rPr>
          <w:lang w:eastAsia="en-US"/>
        </w:rPr>
      </w:pPr>
      <w:r>
        <w:rPr>
          <w:rFonts w:ascii="宋体" w:hAnsi="宋体" w:hint="eastAsia"/>
          <w:b/>
          <w:sz w:val="24"/>
          <w:szCs w:val="24"/>
          <w:lang w:eastAsia="en-US"/>
        </w:rPr>
        <w:t xml:space="preserve">5.1 </w:t>
      </w:r>
      <w:r>
        <w:rPr>
          <w:rFonts w:ascii="宋体" w:hAnsi="宋体" w:hint="eastAsia"/>
          <w:b/>
          <w:sz w:val="24"/>
          <w:szCs w:val="24"/>
          <w:lang w:eastAsia="en-US"/>
        </w:rPr>
        <w:t>转换费率</w:t>
      </w:r>
    </w:p>
    <w:p w:rsidR="00000000" w:rsidRDefault="00F548D5">
      <w:pPr>
        <w:spacing w:line="360" w:lineRule="auto"/>
        <w:ind w:firstLine="480"/>
        <w:rPr>
          <w:lang w:eastAsia="en-US"/>
        </w:rPr>
      </w:pPr>
      <w:r>
        <w:rPr>
          <w:rFonts w:ascii="宋体" w:hAnsi="宋体" w:hint="eastAsia"/>
          <w:sz w:val="24"/>
          <w:szCs w:val="24"/>
          <w:lang w:eastAsia="en-US"/>
        </w:rPr>
        <w:t>基金转换费用由转出和转入基金的申购费补差和转出基金的赎回费两部分构成，具体收取情况视每次转换时两只基金的申购费率差异情况和赎回费率而定。基金转换费用由基金份额持有人承担。</w:t>
      </w:r>
    </w:p>
    <w:p w:rsidR="00000000" w:rsidRDefault="00F548D5">
      <w:pPr>
        <w:spacing w:line="360" w:lineRule="auto"/>
        <w:ind w:firstLine="480"/>
        <w:rPr>
          <w:lang w:eastAsia="en-US"/>
        </w:rPr>
      </w:pPr>
      <w:r>
        <w:rPr>
          <w:rFonts w:ascii="宋体" w:hAnsi="宋体" w:hint="eastAsia"/>
          <w:sz w:val="24"/>
          <w:szCs w:val="24"/>
          <w:lang w:eastAsia="en-US"/>
        </w:rPr>
        <w:t>具体公式如下：</w:t>
      </w:r>
    </w:p>
    <w:p w:rsidR="00000000" w:rsidRDefault="00F548D5">
      <w:pPr>
        <w:spacing w:line="360" w:lineRule="auto"/>
        <w:ind w:firstLine="480"/>
        <w:rPr>
          <w:lang w:eastAsia="en-US"/>
        </w:rPr>
      </w:pPr>
      <w:r>
        <w:rPr>
          <w:rFonts w:ascii="宋体" w:hAnsi="宋体" w:hint="eastAsia"/>
          <w:sz w:val="24"/>
          <w:szCs w:val="24"/>
          <w:lang w:eastAsia="en-US"/>
        </w:rPr>
        <w:t>转出金额</w:t>
      </w:r>
      <w:r>
        <w:rPr>
          <w:rFonts w:ascii="宋体" w:hAnsi="宋体" w:hint="eastAsia"/>
          <w:sz w:val="24"/>
          <w:szCs w:val="24"/>
          <w:lang w:eastAsia="en-US"/>
        </w:rPr>
        <w:t>=</w:t>
      </w:r>
      <w:r>
        <w:rPr>
          <w:rFonts w:ascii="宋体" w:hAnsi="宋体" w:hint="eastAsia"/>
          <w:sz w:val="24"/>
          <w:szCs w:val="24"/>
          <w:lang w:eastAsia="en-US"/>
        </w:rPr>
        <w:t>转出基金份额×转出基金</w:t>
      </w:r>
      <w:r>
        <w:rPr>
          <w:rFonts w:ascii="宋体" w:hAnsi="宋体" w:hint="eastAsia"/>
          <w:sz w:val="24"/>
          <w:szCs w:val="24"/>
          <w:lang w:eastAsia="en-US"/>
        </w:rPr>
        <w:t>T</w:t>
      </w:r>
      <w:r>
        <w:rPr>
          <w:rFonts w:ascii="宋体" w:hAnsi="宋体" w:hint="eastAsia"/>
          <w:sz w:val="24"/>
          <w:szCs w:val="24"/>
          <w:lang w:eastAsia="en-US"/>
        </w:rPr>
        <w:t>日基金份额净值</w:t>
      </w:r>
    </w:p>
    <w:p w:rsidR="00000000" w:rsidRDefault="00F548D5">
      <w:pPr>
        <w:spacing w:line="360" w:lineRule="auto"/>
        <w:ind w:firstLine="480"/>
        <w:rPr>
          <w:lang w:eastAsia="en-US"/>
        </w:rPr>
      </w:pPr>
      <w:r>
        <w:rPr>
          <w:rFonts w:ascii="宋体" w:hAnsi="宋体" w:hint="eastAsia"/>
          <w:sz w:val="24"/>
          <w:szCs w:val="24"/>
          <w:lang w:eastAsia="en-US"/>
        </w:rPr>
        <w:t>转出基金赎回费用</w:t>
      </w:r>
      <w:r>
        <w:rPr>
          <w:rFonts w:ascii="宋体" w:hAnsi="宋体" w:hint="eastAsia"/>
          <w:sz w:val="24"/>
          <w:szCs w:val="24"/>
          <w:lang w:eastAsia="en-US"/>
        </w:rPr>
        <w:t>=</w:t>
      </w:r>
      <w:r>
        <w:rPr>
          <w:rFonts w:ascii="宋体" w:hAnsi="宋体" w:hint="eastAsia"/>
          <w:sz w:val="24"/>
          <w:szCs w:val="24"/>
          <w:lang w:eastAsia="en-US"/>
        </w:rPr>
        <w:t>转出金额×转出基金赎回费率</w:t>
      </w:r>
    </w:p>
    <w:p w:rsidR="00000000" w:rsidRDefault="00F548D5">
      <w:pPr>
        <w:spacing w:line="360" w:lineRule="auto"/>
        <w:ind w:firstLine="480"/>
        <w:rPr>
          <w:lang w:eastAsia="en-US"/>
        </w:rPr>
      </w:pPr>
      <w:r>
        <w:rPr>
          <w:rFonts w:ascii="宋体" w:hAnsi="宋体" w:hint="eastAsia"/>
          <w:sz w:val="24"/>
          <w:szCs w:val="24"/>
          <w:lang w:eastAsia="en-US"/>
        </w:rPr>
        <w:t>转入金额</w:t>
      </w:r>
      <w:r>
        <w:rPr>
          <w:rFonts w:ascii="宋体" w:hAnsi="宋体" w:hint="eastAsia"/>
          <w:sz w:val="24"/>
          <w:szCs w:val="24"/>
          <w:lang w:eastAsia="en-US"/>
        </w:rPr>
        <w:t>=</w:t>
      </w:r>
      <w:r>
        <w:rPr>
          <w:rFonts w:ascii="宋体" w:hAnsi="宋体" w:hint="eastAsia"/>
          <w:sz w:val="24"/>
          <w:szCs w:val="24"/>
          <w:lang w:eastAsia="en-US"/>
        </w:rPr>
        <w:t>转出金额</w:t>
      </w:r>
      <w:r>
        <w:rPr>
          <w:rFonts w:ascii="宋体" w:hAnsi="宋体" w:hint="eastAsia"/>
          <w:sz w:val="24"/>
          <w:szCs w:val="24"/>
          <w:lang w:eastAsia="en-US"/>
        </w:rPr>
        <w:t>-</w:t>
      </w:r>
      <w:r>
        <w:rPr>
          <w:rFonts w:ascii="宋体" w:hAnsi="宋体" w:hint="eastAsia"/>
          <w:sz w:val="24"/>
          <w:szCs w:val="24"/>
          <w:lang w:eastAsia="en-US"/>
        </w:rPr>
        <w:t>转出基金赎回费用</w:t>
      </w:r>
      <w:r>
        <w:rPr>
          <w:rFonts w:ascii="宋体" w:hAnsi="宋体" w:hint="eastAsia"/>
          <w:sz w:val="24"/>
          <w:szCs w:val="24"/>
          <w:lang w:eastAsia="en-US"/>
        </w:rPr>
        <w:t>+</w:t>
      </w:r>
      <w:r>
        <w:rPr>
          <w:rFonts w:ascii="宋体" w:hAnsi="宋体" w:hint="eastAsia"/>
          <w:sz w:val="24"/>
          <w:szCs w:val="24"/>
          <w:lang w:eastAsia="en-US"/>
        </w:rPr>
        <w:t>货币市场基金全部转出时账户当前累计的未付收益或部分转出且当前累计未付收益为负而本次转出完成后账户剩余资产不足以弥补当前累计未付收益的负值时按转换比例结转的当前累计未付收益</w:t>
      </w:r>
    </w:p>
    <w:p w:rsidR="00000000" w:rsidRDefault="00F548D5">
      <w:pPr>
        <w:spacing w:line="360" w:lineRule="auto"/>
        <w:ind w:firstLine="480"/>
        <w:rPr>
          <w:lang w:eastAsia="en-US"/>
        </w:rPr>
      </w:pPr>
      <w:r>
        <w:rPr>
          <w:rFonts w:ascii="宋体" w:hAnsi="宋体" w:hint="eastAsia"/>
          <w:sz w:val="24"/>
          <w:szCs w:val="24"/>
          <w:lang w:eastAsia="en-US"/>
        </w:rPr>
        <w:t>补差费用</w:t>
      </w:r>
      <w:r>
        <w:rPr>
          <w:rFonts w:ascii="宋体" w:hAnsi="宋体" w:hint="eastAsia"/>
          <w:sz w:val="24"/>
          <w:szCs w:val="24"/>
          <w:lang w:eastAsia="en-US"/>
        </w:rPr>
        <w:t>=</w:t>
      </w:r>
      <w:r>
        <w:rPr>
          <w:rFonts w:ascii="宋体" w:hAnsi="宋体" w:hint="eastAsia"/>
          <w:sz w:val="24"/>
          <w:szCs w:val="24"/>
          <w:lang w:eastAsia="en-US"/>
        </w:rPr>
        <w:t>转入基金申购费</w:t>
      </w:r>
      <w:r>
        <w:rPr>
          <w:rFonts w:ascii="宋体" w:hAnsi="宋体" w:hint="eastAsia"/>
          <w:sz w:val="24"/>
          <w:szCs w:val="24"/>
          <w:lang w:eastAsia="en-US"/>
        </w:rPr>
        <w:t>-</w:t>
      </w:r>
      <w:r>
        <w:rPr>
          <w:rFonts w:ascii="宋体" w:hAnsi="宋体" w:hint="eastAsia"/>
          <w:sz w:val="24"/>
          <w:szCs w:val="24"/>
          <w:lang w:eastAsia="en-US"/>
        </w:rPr>
        <w:t>转出基金申购费，如计算所得补差费用小于</w:t>
      </w:r>
      <w:r>
        <w:rPr>
          <w:rFonts w:ascii="宋体" w:hAnsi="宋体" w:hint="eastAsia"/>
          <w:sz w:val="24"/>
          <w:szCs w:val="24"/>
          <w:lang w:eastAsia="en-US"/>
        </w:rPr>
        <w:t>0</w:t>
      </w:r>
      <w:r>
        <w:rPr>
          <w:rFonts w:ascii="宋体" w:hAnsi="宋体" w:hint="eastAsia"/>
          <w:sz w:val="24"/>
          <w:szCs w:val="24"/>
          <w:lang w:eastAsia="en-US"/>
        </w:rPr>
        <w:t>，则补差费用为</w:t>
      </w:r>
      <w:r>
        <w:rPr>
          <w:rFonts w:ascii="宋体" w:hAnsi="宋体" w:hint="eastAsia"/>
          <w:sz w:val="24"/>
          <w:szCs w:val="24"/>
          <w:lang w:eastAsia="en-US"/>
        </w:rPr>
        <w:t>0</w:t>
      </w:r>
    </w:p>
    <w:p w:rsidR="00000000" w:rsidRDefault="00F548D5">
      <w:pPr>
        <w:spacing w:line="360" w:lineRule="auto"/>
        <w:ind w:firstLine="480"/>
        <w:rPr>
          <w:lang w:eastAsia="en-US"/>
        </w:rPr>
      </w:pPr>
      <w:r>
        <w:rPr>
          <w:rFonts w:ascii="宋体" w:hAnsi="宋体" w:hint="eastAsia"/>
          <w:sz w:val="24"/>
          <w:szCs w:val="24"/>
          <w:lang w:eastAsia="en-US"/>
        </w:rPr>
        <w:t>转入基金申购费</w:t>
      </w:r>
      <w:r>
        <w:rPr>
          <w:rFonts w:ascii="宋体" w:hAnsi="宋体" w:hint="eastAsia"/>
          <w:sz w:val="24"/>
          <w:szCs w:val="24"/>
          <w:lang w:eastAsia="en-US"/>
        </w:rPr>
        <w:t>=</w:t>
      </w:r>
      <w:r>
        <w:rPr>
          <w:rFonts w:ascii="宋体" w:hAnsi="宋体" w:hint="eastAsia"/>
          <w:sz w:val="24"/>
          <w:szCs w:val="24"/>
          <w:lang w:eastAsia="en-US"/>
        </w:rPr>
        <w:t>转入金额</w:t>
      </w:r>
      <w:r>
        <w:rPr>
          <w:rFonts w:ascii="宋体" w:hAnsi="宋体" w:hint="eastAsia"/>
          <w:sz w:val="24"/>
          <w:szCs w:val="24"/>
          <w:lang w:eastAsia="en-US"/>
        </w:rPr>
        <w:t>/(1+</w:t>
      </w:r>
      <w:r>
        <w:rPr>
          <w:rFonts w:ascii="宋体" w:hAnsi="宋体" w:hint="eastAsia"/>
          <w:sz w:val="24"/>
          <w:szCs w:val="24"/>
          <w:lang w:eastAsia="en-US"/>
        </w:rPr>
        <w:t>转入基金申购费率</w:t>
      </w:r>
      <w:r>
        <w:rPr>
          <w:rFonts w:ascii="宋体" w:hAnsi="宋体" w:hint="eastAsia"/>
          <w:sz w:val="24"/>
          <w:szCs w:val="24"/>
          <w:lang w:eastAsia="en-US"/>
        </w:rPr>
        <w:t>)</w:t>
      </w:r>
      <w:r>
        <w:rPr>
          <w:rFonts w:ascii="宋体" w:hAnsi="宋体" w:hint="eastAsia"/>
          <w:sz w:val="24"/>
          <w:szCs w:val="24"/>
          <w:lang w:eastAsia="en-US"/>
        </w:rPr>
        <w:t>×转入基金申购费率</w:t>
      </w:r>
    </w:p>
    <w:p w:rsidR="00000000" w:rsidRDefault="00F548D5">
      <w:pPr>
        <w:spacing w:line="360" w:lineRule="auto"/>
        <w:ind w:firstLine="480"/>
        <w:rPr>
          <w:lang w:eastAsia="en-US"/>
        </w:rPr>
      </w:pPr>
      <w:r>
        <w:rPr>
          <w:rFonts w:ascii="宋体" w:hAnsi="宋体" w:hint="eastAsia"/>
          <w:sz w:val="24"/>
          <w:szCs w:val="24"/>
          <w:lang w:eastAsia="en-US"/>
        </w:rPr>
        <w:t>如转入基金申购费适用固定费用时，则转</w:t>
      </w:r>
      <w:r>
        <w:rPr>
          <w:rFonts w:ascii="宋体" w:hAnsi="宋体" w:hint="eastAsia"/>
          <w:sz w:val="24"/>
          <w:szCs w:val="24"/>
          <w:lang w:eastAsia="en-US"/>
        </w:rPr>
        <w:t>入基金申购费</w:t>
      </w:r>
      <w:r>
        <w:rPr>
          <w:rFonts w:ascii="宋体" w:hAnsi="宋体" w:hint="eastAsia"/>
          <w:sz w:val="24"/>
          <w:szCs w:val="24"/>
          <w:lang w:eastAsia="en-US"/>
        </w:rPr>
        <w:t>=</w:t>
      </w:r>
      <w:r>
        <w:rPr>
          <w:rFonts w:ascii="宋体" w:hAnsi="宋体" w:hint="eastAsia"/>
          <w:sz w:val="24"/>
          <w:szCs w:val="24"/>
          <w:lang w:eastAsia="en-US"/>
        </w:rPr>
        <w:t>转入基金固定申购费</w:t>
      </w:r>
    </w:p>
    <w:p w:rsidR="00000000" w:rsidRDefault="00F548D5">
      <w:pPr>
        <w:spacing w:line="360" w:lineRule="auto"/>
        <w:ind w:firstLine="480"/>
        <w:rPr>
          <w:lang w:eastAsia="en-US"/>
        </w:rPr>
      </w:pPr>
      <w:r>
        <w:rPr>
          <w:rFonts w:ascii="宋体" w:hAnsi="宋体" w:hint="eastAsia"/>
          <w:sz w:val="24"/>
          <w:szCs w:val="24"/>
          <w:lang w:eastAsia="en-US"/>
        </w:rPr>
        <w:t>转出基金申购费</w:t>
      </w:r>
      <w:r>
        <w:rPr>
          <w:rFonts w:ascii="宋体" w:hAnsi="宋体" w:hint="eastAsia"/>
          <w:sz w:val="24"/>
          <w:szCs w:val="24"/>
          <w:lang w:eastAsia="en-US"/>
        </w:rPr>
        <w:t>=</w:t>
      </w:r>
      <w:r>
        <w:rPr>
          <w:rFonts w:ascii="宋体" w:hAnsi="宋体" w:hint="eastAsia"/>
          <w:sz w:val="24"/>
          <w:szCs w:val="24"/>
          <w:lang w:eastAsia="en-US"/>
        </w:rPr>
        <w:t>转入金额</w:t>
      </w:r>
      <w:r>
        <w:rPr>
          <w:rFonts w:ascii="宋体" w:hAnsi="宋体" w:hint="eastAsia"/>
          <w:sz w:val="24"/>
          <w:szCs w:val="24"/>
          <w:lang w:eastAsia="en-US"/>
        </w:rPr>
        <w:t>/(1+</w:t>
      </w:r>
      <w:r>
        <w:rPr>
          <w:rFonts w:ascii="宋体" w:hAnsi="宋体" w:hint="eastAsia"/>
          <w:sz w:val="24"/>
          <w:szCs w:val="24"/>
          <w:lang w:eastAsia="en-US"/>
        </w:rPr>
        <w:t>转出基金申购费率</w:t>
      </w:r>
      <w:r>
        <w:rPr>
          <w:rFonts w:ascii="宋体" w:hAnsi="宋体" w:hint="eastAsia"/>
          <w:sz w:val="24"/>
          <w:szCs w:val="24"/>
          <w:lang w:eastAsia="en-US"/>
        </w:rPr>
        <w:t>)</w:t>
      </w:r>
      <w:r>
        <w:rPr>
          <w:rFonts w:ascii="宋体" w:hAnsi="宋体" w:hint="eastAsia"/>
          <w:sz w:val="24"/>
          <w:szCs w:val="24"/>
          <w:lang w:eastAsia="en-US"/>
        </w:rPr>
        <w:t>×转出基金申购费率</w:t>
      </w:r>
    </w:p>
    <w:p w:rsidR="00000000" w:rsidRDefault="00F548D5">
      <w:pPr>
        <w:spacing w:line="360" w:lineRule="auto"/>
        <w:ind w:firstLine="480"/>
        <w:rPr>
          <w:lang w:eastAsia="en-US"/>
        </w:rPr>
      </w:pPr>
      <w:r>
        <w:rPr>
          <w:rFonts w:ascii="宋体" w:hAnsi="宋体" w:hint="eastAsia"/>
          <w:sz w:val="24"/>
          <w:szCs w:val="24"/>
          <w:lang w:eastAsia="en-US"/>
        </w:rPr>
        <w:t>如转出基金申购费适用固定费用时，则转出基金申购费</w:t>
      </w:r>
      <w:r>
        <w:rPr>
          <w:rFonts w:ascii="宋体" w:hAnsi="宋体" w:hint="eastAsia"/>
          <w:sz w:val="24"/>
          <w:szCs w:val="24"/>
          <w:lang w:eastAsia="en-US"/>
        </w:rPr>
        <w:t>=</w:t>
      </w:r>
      <w:r>
        <w:rPr>
          <w:rFonts w:ascii="宋体" w:hAnsi="宋体" w:hint="eastAsia"/>
          <w:sz w:val="24"/>
          <w:szCs w:val="24"/>
          <w:lang w:eastAsia="en-US"/>
        </w:rPr>
        <w:t>转出基金固定申购费</w:t>
      </w:r>
    </w:p>
    <w:p w:rsidR="00000000" w:rsidRDefault="00F548D5">
      <w:pPr>
        <w:spacing w:line="360" w:lineRule="auto"/>
        <w:ind w:firstLine="480"/>
        <w:rPr>
          <w:lang w:eastAsia="en-US"/>
        </w:rPr>
      </w:pPr>
      <w:r>
        <w:rPr>
          <w:rFonts w:ascii="宋体" w:hAnsi="宋体" w:hint="eastAsia"/>
          <w:sz w:val="24"/>
          <w:szCs w:val="24"/>
          <w:lang w:eastAsia="en-US"/>
        </w:rPr>
        <w:t>净转入金额</w:t>
      </w:r>
      <w:r>
        <w:rPr>
          <w:rFonts w:ascii="宋体" w:hAnsi="宋体" w:hint="eastAsia"/>
          <w:sz w:val="24"/>
          <w:szCs w:val="24"/>
          <w:lang w:eastAsia="en-US"/>
        </w:rPr>
        <w:t>=</w:t>
      </w:r>
      <w:r>
        <w:rPr>
          <w:rFonts w:ascii="宋体" w:hAnsi="宋体" w:hint="eastAsia"/>
          <w:sz w:val="24"/>
          <w:szCs w:val="24"/>
          <w:lang w:eastAsia="en-US"/>
        </w:rPr>
        <w:t>转入金额</w:t>
      </w:r>
      <w:r>
        <w:rPr>
          <w:rFonts w:ascii="宋体" w:hAnsi="宋体" w:hint="eastAsia"/>
          <w:sz w:val="24"/>
          <w:szCs w:val="24"/>
          <w:lang w:eastAsia="en-US"/>
        </w:rPr>
        <w:t>-</w:t>
      </w:r>
      <w:r>
        <w:rPr>
          <w:rFonts w:ascii="宋体" w:hAnsi="宋体" w:hint="eastAsia"/>
          <w:sz w:val="24"/>
          <w:szCs w:val="24"/>
          <w:lang w:eastAsia="en-US"/>
        </w:rPr>
        <w:t>补差费用</w:t>
      </w:r>
    </w:p>
    <w:p w:rsidR="00000000" w:rsidRDefault="00F548D5">
      <w:pPr>
        <w:spacing w:line="360" w:lineRule="auto"/>
        <w:ind w:firstLine="480"/>
        <w:rPr>
          <w:lang w:eastAsia="en-US"/>
        </w:rPr>
      </w:pPr>
      <w:r>
        <w:rPr>
          <w:rFonts w:ascii="宋体" w:hAnsi="宋体" w:hint="eastAsia"/>
          <w:sz w:val="24"/>
          <w:szCs w:val="24"/>
          <w:lang w:eastAsia="en-US"/>
        </w:rPr>
        <w:t>转入份额</w:t>
      </w:r>
      <w:r>
        <w:rPr>
          <w:rFonts w:ascii="宋体" w:hAnsi="宋体" w:hint="eastAsia"/>
          <w:sz w:val="24"/>
          <w:szCs w:val="24"/>
          <w:lang w:eastAsia="en-US"/>
        </w:rPr>
        <w:t>=</w:t>
      </w:r>
      <w:r>
        <w:rPr>
          <w:rFonts w:ascii="宋体" w:hAnsi="宋体" w:hint="eastAsia"/>
          <w:sz w:val="24"/>
          <w:szCs w:val="24"/>
          <w:lang w:eastAsia="en-US"/>
        </w:rPr>
        <w:t>净转入金额</w:t>
      </w:r>
      <w:r>
        <w:rPr>
          <w:rFonts w:ascii="宋体" w:hAnsi="宋体" w:hint="eastAsia"/>
          <w:sz w:val="24"/>
          <w:szCs w:val="24"/>
          <w:lang w:eastAsia="en-US"/>
        </w:rPr>
        <w:t>/</w:t>
      </w:r>
      <w:r>
        <w:rPr>
          <w:rFonts w:ascii="宋体" w:hAnsi="宋体" w:hint="eastAsia"/>
          <w:sz w:val="24"/>
          <w:szCs w:val="24"/>
          <w:lang w:eastAsia="en-US"/>
        </w:rPr>
        <w:t>转入基金</w:t>
      </w:r>
      <w:r>
        <w:rPr>
          <w:rFonts w:ascii="宋体" w:hAnsi="宋体" w:hint="eastAsia"/>
          <w:sz w:val="24"/>
          <w:szCs w:val="24"/>
          <w:lang w:eastAsia="en-US"/>
        </w:rPr>
        <w:t>T</w:t>
      </w:r>
      <w:r>
        <w:rPr>
          <w:rFonts w:ascii="宋体" w:hAnsi="宋体" w:hint="eastAsia"/>
          <w:sz w:val="24"/>
          <w:szCs w:val="24"/>
          <w:lang w:eastAsia="en-US"/>
        </w:rPr>
        <w:t>日基金份额净值</w:t>
      </w:r>
    </w:p>
    <w:p w:rsidR="00000000" w:rsidRDefault="00F548D5">
      <w:pPr>
        <w:spacing w:line="360" w:lineRule="auto"/>
        <w:ind w:firstLine="480"/>
        <w:rPr>
          <w:lang w:eastAsia="en-US"/>
        </w:rPr>
      </w:pPr>
      <w:r>
        <w:rPr>
          <w:rFonts w:ascii="宋体" w:hAnsi="宋体" w:hint="eastAsia"/>
          <w:sz w:val="24"/>
          <w:szCs w:val="24"/>
          <w:lang w:eastAsia="en-US"/>
        </w:rPr>
        <w:t>转入份额按照四舍五入方法保留到小数点后两位，由此产生的收益或损失由基金资产承担。</w:t>
      </w:r>
    </w:p>
    <w:p w:rsidR="00000000" w:rsidRDefault="00F548D5">
      <w:pPr>
        <w:pBdr>
          <w:top w:val="none" w:sz="0" w:space="0" w:color="000000"/>
          <w:left w:val="none" w:sz="0" w:space="0" w:color="000000"/>
          <w:bottom w:val="none" w:sz="0" w:space="0" w:color="000000"/>
          <w:right w:val="none" w:sz="0" w:space="0" w:color="000000"/>
        </w:pBdr>
        <w:spacing w:line="360" w:lineRule="auto"/>
        <w:ind w:firstLine="480"/>
        <w:rPr>
          <w:sz w:val="22"/>
          <w:lang w:eastAsia="en-US"/>
        </w:rPr>
      </w:pPr>
      <w:r>
        <w:rPr>
          <w:rFonts w:ascii="宋体" w:hAnsi="宋体" w:cs="宋体"/>
          <w:color w:val="000000"/>
          <w:sz w:val="24"/>
          <w:lang w:eastAsia="en-US"/>
        </w:rPr>
        <w:t>例：某投资者最初持有永赢锐见先锋混合型证券</w:t>
      </w:r>
      <w:r>
        <w:rPr>
          <w:rFonts w:ascii="宋体" w:hAnsi="宋体" w:cs="宋体"/>
          <w:color w:val="000000"/>
          <w:sz w:val="24"/>
          <w:lang w:eastAsia="en-US"/>
        </w:rPr>
        <w:t>投资基金</w:t>
      </w:r>
      <w:r>
        <w:rPr>
          <w:rFonts w:ascii="宋体" w:hAnsi="宋体" w:cs="宋体"/>
          <w:color w:val="000000"/>
          <w:sz w:val="24"/>
          <w:lang w:eastAsia="en-US"/>
        </w:rPr>
        <w:t>A</w:t>
      </w:r>
      <w:r>
        <w:rPr>
          <w:rFonts w:ascii="宋体" w:hAnsi="宋体" w:cs="宋体"/>
          <w:color w:val="000000"/>
          <w:sz w:val="24"/>
          <w:lang w:eastAsia="en-US"/>
        </w:rPr>
        <w:t>类基金份额</w:t>
      </w:r>
      <w:r>
        <w:rPr>
          <w:rFonts w:ascii="宋体" w:hAnsi="宋体" w:cs="宋体"/>
          <w:color w:val="000000"/>
          <w:sz w:val="24"/>
          <w:lang w:eastAsia="en-US"/>
        </w:rPr>
        <w:t>10,000.00</w:t>
      </w:r>
      <w:r>
        <w:rPr>
          <w:rFonts w:ascii="宋体" w:hAnsi="宋体" w:cs="宋体"/>
          <w:color w:val="000000"/>
          <w:sz w:val="24"/>
          <w:lang w:eastAsia="en-US"/>
        </w:rPr>
        <w:t>份，持有满</w:t>
      </w:r>
      <w:r>
        <w:rPr>
          <w:rFonts w:ascii="宋体" w:hAnsi="宋体" w:cs="宋体"/>
          <w:color w:val="000000"/>
          <w:sz w:val="24"/>
          <w:lang w:eastAsia="en-US"/>
        </w:rPr>
        <w:t>30</w:t>
      </w:r>
      <w:r>
        <w:rPr>
          <w:rFonts w:ascii="宋体" w:hAnsi="宋体" w:cs="宋体"/>
          <w:color w:val="000000"/>
          <w:sz w:val="24"/>
          <w:lang w:eastAsia="en-US"/>
        </w:rPr>
        <w:t>日后于</w:t>
      </w:r>
      <w:r>
        <w:rPr>
          <w:rFonts w:ascii="宋体" w:hAnsi="宋体" w:cs="宋体"/>
          <w:color w:val="000000"/>
          <w:sz w:val="24"/>
          <w:lang w:eastAsia="en-US"/>
        </w:rPr>
        <w:t>T</w:t>
      </w:r>
      <w:r>
        <w:rPr>
          <w:rFonts w:ascii="宋体" w:hAnsi="宋体" w:cs="宋体"/>
          <w:color w:val="000000"/>
          <w:sz w:val="24"/>
          <w:lang w:eastAsia="en-US"/>
        </w:rPr>
        <w:t>日（未满</w:t>
      </w:r>
      <w:r>
        <w:rPr>
          <w:rFonts w:ascii="宋体" w:hAnsi="宋体" w:cs="宋体"/>
          <w:color w:val="000000"/>
          <w:sz w:val="24"/>
          <w:lang w:eastAsia="en-US"/>
        </w:rPr>
        <w:t>180</w:t>
      </w:r>
      <w:r>
        <w:rPr>
          <w:rFonts w:ascii="宋体" w:hAnsi="宋体" w:cs="宋体"/>
          <w:color w:val="000000"/>
          <w:sz w:val="24"/>
          <w:lang w:eastAsia="en-US"/>
        </w:rPr>
        <w:t>日）提出将该</w:t>
      </w:r>
      <w:r>
        <w:rPr>
          <w:rFonts w:ascii="宋体" w:hAnsi="宋体" w:cs="宋体"/>
          <w:color w:val="000000"/>
          <w:sz w:val="24"/>
          <w:lang w:eastAsia="en-US"/>
        </w:rPr>
        <w:t>10,000.00</w:t>
      </w:r>
      <w:r>
        <w:rPr>
          <w:rFonts w:ascii="宋体" w:hAnsi="宋体" w:cs="宋体"/>
          <w:color w:val="000000"/>
          <w:sz w:val="24"/>
          <w:lang w:eastAsia="en-US"/>
        </w:rPr>
        <w:t>份基金转换成永赢惠添利灵活配置</w:t>
      </w:r>
      <w:r>
        <w:rPr>
          <w:rFonts w:ascii="宋体" w:hAnsi="宋体" w:cs="宋体"/>
          <w:color w:val="000000"/>
          <w:sz w:val="24"/>
          <w:lang w:eastAsia="en-US"/>
        </w:rPr>
        <w:t>混合型证券投资基金，则对应的永赢锐见先锋混合型证券投资基金</w:t>
      </w:r>
      <w:r>
        <w:rPr>
          <w:rFonts w:ascii="宋体" w:hAnsi="宋体" w:cs="宋体"/>
          <w:color w:val="000000"/>
          <w:sz w:val="24"/>
          <w:lang w:eastAsia="en-US"/>
        </w:rPr>
        <w:t>A</w:t>
      </w:r>
      <w:r>
        <w:rPr>
          <w:rFonts w:ascii="宋体" w:hAnsi="宋体" w:cs="宋体"/>
          <w:color w:val="000000"/>
          <w:sz w:val="24"/>
          <w:lang w:eastAsia="en-US"/>
        </w:rPr>
        <w:t>类基金份额的赎回费率为</w:t>
      </w:r>
      <w:r>
        <w:rPr>
          <w:rFonts w:ascii="宋体" w:hAnsi="宋体" w:cs="宋体"/>
          <w:color w:val="000000"/>
          <w:sz w:val="24"/>
          <w:lang w:eastAsia="en-US"/>
        </w:rPr>
        <w:t>0.50%</w:t>
      </w:r>
      <w:r>
        <w:rPr>
          <w:rFonts w:ascii="宋体" w:hAnsi="宋体" w:cs="宋体"/>
          <w:color w:val="000000"/>
          <w:sz w:val="24"/>
          <w:lang w:eastAsia="en-US"/>
        </w:rPr>
        <w:t>，对应的永赢惠添利灵活配置混合型证券投资基金的申购费率为</w:t>
      </w:r>
      <w:r>
        <w:rPr>
          <w:rFonts w:ascii="宋体" w:hAnsi="宋体" w:cs="宋体"/>
          <w:color w:val="000000"/>
          <w:sz w:val="24"/>
          <w:lang w:eastAsia="en-US"/>
        </w:rPr>
        <w:t>1.50%</w:t>
      </w:r>
      <w:r>
        <w:rPr>
          <w:rFonts w:ascii="宋体" w:hAnsi="宋体" w:cs="宋体"/>
          <w:color w:val="000000"/>
          <w:sz w:val="24"/>
          <w:lang w:eastAsia="en-US"/>
        </w:rPr>
        <w:t>。假设</w:t>
      </w:r>
      <w:r>
        <w:rPr>
          <w:rFonts w:ascii="宋体" w:hAnsi="宋体" w:cs="宋体"/>
          <w:color w:val="000000"/>
          <w:sz w:val="24"/>
          <w:lang w:eastAsia="en-US"/>
        </w:rPr>
        <w:t>T</w:t>
      </w:r>
      <w:r>
        <w:rPr>
          <w:rFonts w:ascii="宋体" w:hAnsi="宋体" w:cs="宋体"/>
          <w:color w:val="000000"/>
          <w:sz w:val="24"/>
          <w:lang w:eastAsia="en-US"/>
        </w:rPr>
        <w:t>日收市后永赢锐见先锋混合型证券投资基金</w:t>
      </w:r>
      <w:r>
        <w:rPr>
          <w:rFonts w:ascii="宋体" w:hAnsi="宋体" w:cs="宋体"/>
          <w:color w:val="000000"/>
          <w:sz w:val="24"/>
          <w:lang w:eastAsia="en-US"/>
        </w:rPr>
        <w:t>A</w:t>
      </w:r>
      <w:r>
        <w:rPr>
          <w:rFonts w:ascii="宋体" w:hAnsi="宋体" w:cs="宋体"/>
          <w:color w:val="000000"/>
          <w:sz w:val="24"/>
          <w:lang w:eastAsia="en-US"/>
        </w:rPr>
        <w:t>类基金份额的单位净值为</w:t>
      </w:r>
      <w:r>
        <w:rPr>
          <w:rFonts w:ascii="宋体" w:hAnsi="宋体" w:cs="宋体"/>
          <w:color w:val="000000"/>
          <w:sz w:val="24"/>
          <w:lang w:eastAsia="en-US"/>
        </w:rPr>
        <w:t>1.1000</w:t>
      </w:r>
      <w:r>
        <w:rPr>
          <w:rFonts w:ascii="宋体" w:hAnsi="宋体" w:cs="宋体"/>
          <w:color w:val="000000"/>
          <w:sz w:val="24"/>
          <w:lang w:eastAsia="en-US"/>
        </w:rPr>
        <w:t>元</w:t>
      </w:r>
      <w:r>
        <w:rPr>
          <w:rFonts w:ascii="宋体" w:hAnsi="宋体" w:cs="宋体"/>
          <w:color w:val="000000"/>
          <w:sz w:val="24"/>
          <w:lang w:eastAsia="en-US"/>
        </w:rPr>
        <w:t>/</w:t>
      </w:r>
      <w:r>
        <w:rPr>
          <w:rFonts w:ascii="宋体" w:hAnsi="宋体" w:cs="宋体"/>
          <w:color w:val="000000"/>
          <w:sz w:val="24"/>
          <w:lang w:eastAsia="en-US"/>
        </w:rPr>
        <w:t>份，永赢惠添利灵活配置混合型证券投资基金的单位净值为</w:t>
      </w:r>
      <w:r>
        <w:rPr>
          <w:rFonts w:ascii="宋体" w:hAnsi="宋体" w:cs="宋体"/>
          <w:color w:val="000000"/>
          <w:sz w:val="24"/>
          <w:lang w:eastAsia="en-US"/>
        </w:rPr>
        <w:t>1.0500</w:t>
      </w:r>
      <w:r>
        <w:rPr>
          <w:rFonts w:ascii="宋体" w:hAnsi="宋体" w:cs="宋体"/>
          <w:color w:val="000000"/>
          <w:sz w:val="24"/>
          <w:lang w:eastAsia="en-US"/>
        </w:rPr>
        <w:t>元</w:t>
      </w:r>
      <w:r>
        <w:rPr>
          <w:rFonts w:ascii="宋体" w:hAnsi="宋体" w:cs="宋体"/>
          <w:color w:val="000000"/>
          <w:sz w:val="24"/>
          <w:lang w:eastAsia="en-US"/>
        </w:rPr>
        <w:t>/</w:t>
      </w:r>
      <w:r>
        <w:rPr>
          <w:rFonts w:ascii="宋体" w:hAnsi="宋体" w:cs="宋体"/>
          <w:color w:val="000000"/>
          <w:sz w:val="24"/>
          <w:lang w:eastAsia="en-US"/>
        </w:rPr>
        <w:t>份，则有关转换所得的份额计算如下：</w:t>
      </w:r>
    </w:p>
    <w:p w:rsidR="00000000" w:rsidRDefault="00F548D5">
      <w:pPr>
        <w:pBdr>
          <w:top w:val="none" w:sz="0" w:space="0" w:color="000000"/>
          <w:left w:val="none" w:sz="0" w:space="0" w:color="000000"/>
          <w:bottom w:val="none" w:sz="0" w:space="0" w:color="000000"/>
          <w:right w:val="none" w:sz="0" w:space="0" w:color="000000"/>
        </w:pBdr>
        <w:spacing w:line="360" w:lineRule="auto"/>
        <w:ind w:firstLine="480"/>
        <w:rPr>
          <w:sz w:val="22"/>
          <w:lang w:eastAsia="en-US"/>
        </w:rPr>
      </w:pPr>
      <w:r>
        <w:rPr>
          <w:rFonts w:ascii="宋体" w:hAnsi="宋体" w:cs="宋体"/>
          <w:color w:val="000000"/>
          <w:sz w:val="24"/>
          <w:lang w:eastAsia="en-US"/>
        </w:rPr>
        <w:t>转出金额</w:t>
      </w:r>
      <w:r>
        <w:rPr>
          <w:rFonts w:ascii="宋体" w:hAnsi="宋体" w:cs="宋体"/>
          <w:color w:val="000000"/>
          <w:sz w:val="24"/>
          <w:lang w:eastAsia="en-US"/>
        </w:rPr>
        <w:t>=10,000.00×1.1000=11,000.00</w:t>
      </w:r>
      <w:r>
        <w:rPr>
          <w:rFonts w:ascii="宋体" w:hAnsi="宋体" w:cs="宋体"/>
          <w:color w:val="000000"/>
          <w:sz w:val="24"/>
          <w:lang w:eastAsia="en-US"/>
        </w:rPr>
        <w:t>元</w:t>
      </w:r>
    </w:p>
    <w:p w:rsidR="00000000" w:rsidRDefault="00F548D5">
      <w:pPr>
        <w:pBdr>
          <w:top w:val="none" w:sz="0" w:space="0" w:color="000000"/>
          <w:left w:val="none" w:sz="0" w:space="0" w:color="000000"/>
          <w:bottom w:val="none" w:sz="0" w:space="0" w:color="000000"/>
          <w:right w:val="none" w:sz="0" w:space="0" w:color="000000"/>
        </w:pBdr>
        <w:spacing w:line="360" w:lineRule="auto"/>
        <w:ind w:firstLine="480"/>
        <w:rPr>
          <w:sz w:val="22"/>
          <w:lang w:eastAsia="en-US"/>
        </w:rPr>
      </w:pPr>
      <w:r>
        <w:rPr>
          <w:rFonts w:ascii="宋体" w:hAnsi="宋体" w:cs="宋体"/>
          <w:color w:val="000000"/>
          <w:sz w:val="24"/>
          <w:lang w:eastAsia="en-US"/>
        </w:rPr>
        <w:t>转出基金赎回费用</w:t>
      </w:r>
      <w:r>
        <w:rPr>
          <w:rFonts w:ascii="宋体" w:hAnsi="宋体" w:cs="宋体"/>
          <w:color w:val="000000"/>
          <w:sz w:val="24"/>
          <w:lang w:eastAsia="en-US"/>
        </w:rPr>
        <w:t>=11,000.00×0.50%</w:t>
      </w:r>
      <w:r>
        <w:rPr>
          <w:rFonts w:ascii="宋体" w:hAnsi="宋体" w:cs="宋体"/>
          <w:color w:val="000000"/>
          <w:sz w:val="24"/>
          <w:lang w:eastAsia="en-US"/>
        </w:rPr>
        <w:t>＝</w:t>
      </w:r>
      <w:r>
        <w:rPr>
          <w:rFonts w:ascii="宋体" w:hAnsi="宋体" w:cs="宋体"/>
          <w:color w:val="000000"/>
          <w:sz w:val="24"/>
          <w:lang w:eastAsia="en-US"/>
        </w:rPr>
        <w:t>55.00</w:t>
      </w:r>
      <w:r>
        <w:rPr>
          <w:rFonts w:ascii="宋体" w:hAnsi="宋体" w:cs="宋体"/>
          <w:color w:val="000000"/>
          <w:sz w:val="24"/>
          <w:lang w:eastAsia="en-US"/>
        </w:rPr>
        <w:t>元</w:t>
      </w:r>
    </w:p>
    <w:p w:rsidR="00000000" w:rsidRDefault="00F548D5">
      <w:pPr>
        <w:pBdr>
          <w:top w:val="none" w:sz="0" w:space="0" w:color="000000"/>
          <w:left w:val="none" w:sz="0" w:space="0" w:color="000000"/>
          <w:bottom w:val="none" w:sz="0" w:space="0" w:color="000000"/>
          <w:right w:val="none" w:sz="0" w:space="0" w:color="000000"/>
        </w:pBdr>
        <w:spacing w:line="360" w:lineRule="auto"/>
        <w:ind w:firstLine="480"/>
        <w:rPr>
          <w:sz w:val="22"/>
          <w:lang w:eastAsia="en-US"/>
        </w:rPr>
      </w:pPr>
      <w:r>
        <w:rPr>
          <w:rFonts w:ascii="宋体" w:hAnsi="宋体" w:cs="宋体"/>
          <w:color w:val="000000"/>
          <w:sz w:val="24"/>
          <w:lang w:eastAsia="en-US"/>
        </w:rPr>
        <w:t>转入金额</w:t>
      </w:r>
      <w:r>
        <w:rPr>
          <w:rFonts w:ascii="宋体" w:hAnsi="宋体" w:cs="宋体"/>
          <w:color w:val="000000"/>
          <w:sz w:val="24"/>
          <w:lang w:eastAsia="en-US"/>
        </w:rPr>
        <w:t>=11,000.00-55</w:t>
      </w:r>
      <w:r>
        <w:rPr>
          <w:rFonts w:ascii="宋体" w:hAnsi="宋体" w:cs="宋体"/>
          <w:color w:val="000000"/>
          <w:sz w:val="24"/>
          <w:lang w:eastAsia="en-US"/>
        </w:rPr>
        <w:t>.00=10,945.00</w:t>
      </w:r>
      <w:r>
        <w:rPr>
          <w:rFonts w:ascii="宋体" w:hAnsi="宋体" w:cs="宋体"/>
          <w:color w:val="000000"/>
          <w:sz w:val="24"/>
          <w:lang w:eastAsia="en-US"/>
        </w:rPr>
        <w:t>元</w:t>
      </w:r>
    </w:p>
    <w:p w:rsidR="00000000" w:rsidRDefault="00F548D5">
      <w:pPr>
        <w:pBdr>
          <w:top w:val="none" w:sz="0" w:space="0" w:color="000000"/>
          <w:left w:val="none" w:sz="0" w:space="0" w:color="000000"/>
          <w:bottom w:val="none" w:sz="0" w:space="0" w:color="000000"/>
          <w:right w:val="none" w:sz="0" w:space="0" w:color="000000"/>
        </w:pBdr>
        <w:spacing w:line="360" w:lineRule="auto"/>
        <w:ind w:firstLine="480"/>
        <w:rPr>
          <w:sz w:val="22"/>
          <w:lang w:eastAsia="en-US"/>
        </w:rPr>
      </w:pPr>
      <w:r>
        <w:rPr>
          <w:rFonts w:ascii="宋体" w:hAnsi="宋体" w:cs="宋体"/>
          <w:color w:val="000000"/>
          <w:sz w:val="24"/>
          <w:lang w:eastAsia="en-US"/>
        </w:rPr>
        <w:t>转入基金申购费</w:t>
      </w:r>
      <w:r>
        <w:rPr>
          <w:rFonts w:ascii="宋体" w:hAnsi="宋体" w:cs="宋体"/>
          <w:color w:val="000000"/>
          <w:sz w:val="24"/>
          <w:lang w:eastAsia="en-US"/>
        </w:rPr>
        <w:t>=10,945.00/(1+1.50%)×1.50%=161.75</w:t>
      </w:r>
      <w:r>
        <w:rPr>
          <w:rFonts w:ascii="宋体" w:hAnsi="宋体" w:cs="宋体"/>
          <w:color w:val="000000"/>
          <w:sz w:val="24"/>
          <w:lang w:eastAsia="en-US"/>
        </w:rPr>
        <w:t>元</w:t>
      </w:r>
    </w:p>
    <w:p w:rsidR="00000000" w:rsidRDefault="00F548D5">
      <w:pPr>
        <w:pBdr>
          <w:top w:val="none" w:sz="0" w:space="0" w:color="000000"/>
          <w:left w:val="none" w:sz="0" w:space="0" w:color="000000"/>
          <w:bottom w:val="none" w:sz="0" w:space="0" w:color="000000"/>
          <w:right w:val="none" w:sz="0" w:space="0" w:color="000000"/>
        </w:pBdr>
        <w:spacing w:line="360" w:lineRule="auto"/>
        <w:ind w:firstLine="480"/>
        <w:rPr>
          <w:sz w:val="22"/>
          <w:lang w:eastAsia="en-US"/>
        </w:rPr>
      </w:pPr>
      <w:r>
        <w:rPr>
          <w:rFonts w:ascii="宋体" w:hAnsi="宋体" w:cs="宋体"/>
          <w:color w:val="000000"/>
          <w:sz w:val="24"/>
          <w:lang w:eastAsia="en-US"/>
        </w:rPr>
        <w:t>转出基金申购费</w:t>
      </w:r>
      <w:r>
        <w:rPr>
          <w:rFonts w:ascii="宋体" w:hAnsi="宋体" w:cs="宋体"/>
          <w:color w:val="000000"/>
          <w:sz w:val="24"/>
          <w:lang w:eastAsia="en-US"/>
        </w:rPr>
        <w:t>=10,945.00/(1+1.50%)×1.50%=161.75</w:t>
      </w:r>
      <w:r>
        <w:rPr>
          <w:rFonts w:ascii="宋体" w:hAnsi="宋体" w:cs="宋体"/>
          <w:color w:val="000000"/>
          <w:sz w:val="24"/>
          <w:lang w:eastAsia="en-US"/>
        </w:rPr>
        <w:t>元</w:t>
      </w:r>
    </w:p>
    <w:p w:rsidR="00000000" w:rsidRDefault="00F548D5">
      <w:pPr>
        <w:pBdr>
          <w:top w:val="none" w:sz="0" w:space="0" w:color="000000"/>
          <w:left w:val="none" w:sz="0" w:space="0" w:color="000000"/>
          <w:bottom w:val="none" w:sz="0" w:space="0" w:color="000000"/>
          <w:right w:val="none" w:sz="0" w:space="0" w:color="000000"/>
        </w:pBdr>
        <w:spacing w:line="360" w:lineRule="auto"/>
        <w:ind w:firstLine="480"/>
        <w:rPr>
          <w:sz w:val="22"/>
          <w:lang w:eastAsia="en-US"/>
        </w:rPr>
      </w:pPr>
      <w:r>
        <w:rPr>
          <w:rFonts w:ascii="宋体" w:hAnsi="宋体" w:cs="宋体"/>
          <w:color w:val="000000"/>
          <w:sz w:val="24"/>
          <w:lang w:eastAsia="en-US"/>
        </w:rPr>
        <w:t>补差费用</w:t>
      </w:r>
      <w:r>
        <w:rPr>
          <w:rFonts w:ascii="宋体" w:hAnsi="宋体" w:cs="宋体"/>
          <w:color w:val="000000"/>
          <w:sz w:val="24"/>
          <w:lang w:eastAsia="en-US"/>
        </w:rPr>
        <w:t>=161.75–161.75=0.00</w:t>
      </w:r>
      <w:r>
        <w:rPr>
          <w:rFonts w:ascii="宋体" w:hAnsi="宋体" w:cs="宋体"/>
          <w:color w:val="000000"/>
          <w:sz w:val="24"/>
          <w:lang w:eastAsia="en-US"/>
        </w:rPr>
        <w:t>元</w:t>
      </w:r>
    </w:p>
    <w:p w:rsidR="00000000" w:rsidRDefault="00F548D5">
      <w:pPr>
        <w:pBdr>
          <w:top w:val="none" w:sz="0" w:space="0" w:color="000000"/>
          <w:left w:val="none" w:sz="0" w:space="0" w:color="000000"/>
          <w:bottom w:val="none" w:sz="0" w:space="0" w:color="000000"/>
          <w:right w:val="none" w:sz="0" w:space="0" w:color="000000"/>
        </w:pBdr>
        <w:spacing w:line="360" w:lineRule="auto"/>
        <w:ind w:firstLine="480"/>
        <w:rPr>
          <w:sz w:val="22"/>
          <w:lang w:eastAsia="en-US"/>
        </w:rPr>
      </w:pPr>
      <w:r>
        <w:rPr>
          <w:rFonts w:ascii="宋体" w:hAnsi="宋体" w:cs="宋体"/>
          <w:color w:val="000000"/>
          <w:sz w:val="24"/>
          <w:lang w:eastAsia="en-US"/>
        </w:rPr>
        <w:t>净转入金额</w:t>
      </w:r>
      <w:r>
        <w:rPr>
          <w:rFonts w:ascii="宋体" w:hAnsi="宋体" w:cs="宋体"/>
          <w:color w:val="000000"/>
          <w:sz w:val="24"/>
          <w:lang w:eastAsia="en-US"/>
        </w:rPr>
        <w:t>=10,945.00–0.00=10,945.00</w:t>
      </w:r>
      <w:r>
        <w:rPr>
          <w:rFonts w:ascii="宋体" w:hAnsi="宋体" w:cs="宋体"/>
          <w:color w:val="000000"/>
          <w:sz w:val="24"/>
          <w:lang w:eastAsia="en-US"/>
        </w:rPr>
        <w:t>元</w:t>
      </w:r>
    </w:p>
    <w:p w:rsidR="00000000" w:rsidRDefault="00F548D5">
      <w:pPr>
        <w:pBdr>
          <w:top w:val="none" w:sz="0" w:space="0" w:color="000000"/>
          <w:left w:val="none" w:sz="0" w:space="0" w:color="000000"/>
          <w:bottom w:val="none" w:sz="0" w:space="0" w:color="000000"/>
          <w:right w:val="none" w:sz="0" w:space="0" w:color="000000"/>
        </w:pBdr>
        <w:spacing w:line="360" w:lineRule="auto"/>
        <w:ind w:firstLine="480"/>
        <w:rPr>
          <w:sz w:val="22"/>
          <w:lang w:eastAsia="en-US"/>
        </w:rPr>
      </w:pPr>
      <w:r>
        <w:rPr>
          <w:rFonts w:ascii="宋体" w:hAnsi="宋体" w:cs="宋体"/>
          <w:color w:val="000000"/>
          <w:sz w:val="24"/>
          <w:lang w:eastAsia="en-US"/>
        </w:rPr>
        <w:t>转入份额</w:t>
      </w:r>
      <w:r>
        <w:rPr>
          <w:rFonts w:ascii="宋体" w:hAnsi="宋体" w:cs="宋体"/>
          <w:color w:val="000000"/>
          <w:sz w:val="24"/>
          <w:lang w:eastAsia="en-US"/>
        </w:rPr>
        <w:t>=10,945.00÷1.0500=10,423.81</w:t>
      </w:r>
      <w:r>
        <w:rPr>
          <w:rFonts w:ascii="宋体" w:hAnsi="宋体" w:cs="宋体"/>
          <w:color w:val="000000"/>
          <w:sz w:val="24"/>
          <w:lang w:eastAsia="en-US"/>
        </w:rPr>
        <w:t>份</w:t>
      </w:r>
    </w:p>
    <w:p w:rsidR="00000000" w:rsidRDefault="00F548D5">
      <w:pPr>
        <w:pBdr>
          <w:top w:val="none" w:sz="0" w:space="0" w:color="000000"/>
          <w:left w:val="none" w:sz="0" w:space="0" w:color="000000"/>
          <w:bottom w:val="none" w:sz="0" w:space="0" w:color="000000"/>
          <w:right w:val="none" w:sz="0" w:space="0" w:color="000000"/>
        </w:pBdr>
        <w:spacing w:line="360" w:lineRule="auto"/>
        <w:ind w:firstLine="480"/>
        <w:rPr>
          <w:sz w:val="22"/>
          <w:lang w:eastAsia="en-US"/>
        </w:rPr>
      </w:pPr>
      <w:r>
        <w:rPr>
          <w:rFonts w:ascii="宋体" w:hAnsi="宋体" w:cs="宋体"/>
          <w:color w:val="000000"/>
          <w:sz w:val="24"/>
          <w:lang w:eastAsia="en-US"/>
        </w:rPr>
        <w:t>即：某投资者在</w:t>
      </w:r>
      <w:r>
        <w:rPr>
          <w:rFonts w:ascii="宋体" w:hAnsi="宋体" w:cs="宋体"/>
          <w:color w:val="000000"/>
          <w:sz w:val="24"/>
          <w:lang w:eastAsia="en-US"/>
        </w:rPr>
        <w:t>T</w:t>
      </w:r>
      <w:r>
        <w:rPr>
          <w:rFonts w:ascii="宋体" w:hAnsi="宋体" w:cs="宋体"/>
          <w:color w:val="000000"/>
          <w:sz w:val="24"/>
          <w:lang w:eastAsia="en-US"/>
        </w:rPr>
        <w:t>日将单位净值为</w:t>
      </w:r>
      <w:r>
        <w:rPr>
          <w:rFonts w:ascii="宋体" w:hAnsi="宋体" w:cs="宋体"/>
          <w:color w:val="000000"/>
          <w:sz w:val="24"/>
          <w:lang w:eastAsia="en-US"/>
        </w:rPr>
        <w:t>1.1000</w:t>
      </w:r>
      <w:r>
        <w:rPr>
          <w:rFonts w:ascii="宋体" w:hAnsi="宋体" w:cs="宋体"/>
          <w:color w:val="000000"/>
          <w:sz w:val="24"/>
          <w:lang w:eastAsia="en-US"/>
        </w:rPr>
        <w:t>元</w:t>
      </w:r>
      <w:r>
        <w:rPr>
          <w:rFonts w:ascii="宋体" w:hAnsi="宋体" w:cs="宋体"/>
          <w:color w:val="000000"/>
          <w:sz w:val="24"/>
          <w:lang w:eastAsia="en-US"/>
        </w:rPr>
        <w:t>/</w:t>
      </w:r>
      <w:r>
        <w:rPr>
          <w:rFonts w:ascii="宋体" w:hAnsi="宋体" w:cs="宋体"/>
          <w:color w:val="000000"/>
          <w:sz w:val="24"/>
          <w:lang w:eastAsia="en-US"/>
        </w:rPr>
        <w:t>份的</w:t>
      </w:r>
      <w:r>
        <w:rPr>
          <w:rFonts w:ascii="宋体" w:hAnsi="宋体" w:cs="宋体"/>
          <w:color w:val="000000"/>
          <w:sz w:val="24"/>
          <w:lang w:eastAsia="en-US"/>
        </w:rPr>
        <w:t>10,000.00</w:t>
      </w:r>
      <w:r>
        <w:rPr>
          <w:rFonts w:ascii="宋体" w:hAnsi="宋体" w:cs="宋体"/>
          <w:color w:val="000000"/>
          <w:sz w:val="24"/>
          <w:lang w:eastAsia="en-US"/>
        </w:rPr>
        <w:t>份永赢锐见先锋混合型证券投资基金</w:t>
      </w:r>
      <w:r>
        <w:rPr>
          <w:rFonts w:ascii="宋体" w:hAnsi="宋体" w:cs="宋体"/>
          <w:color w:val="000000"/>
          <w:sz w:val="24"/>
          <w:lang w:eastAsia="en-US"/>
        </w:rPr>
        <w:t>A</w:t>
      </w:r>
      <w:r>
        <w:rPr>
          <w:rFonts w:ascii="宋体" w:hAnsi="宋体" w:cs="宋体"/>
          <w:color w:val="000000"/>
          <w:sz w:val="24"/>
          <w:lang w:eastAsia="en-US"/>
        </w:rPr>
        <w:t>类基金份额申请转换为单位净值为</w:t>
      </w:r>
      <w:r>
        <w:rPr>
          <w:rFonts w:ascii="宋体" w:hAnsi="宋体" w:cs="宋体"/>
          <w:color w:val="000000"/>
          <w:sz w:val="24"/>
          <w:lang w:eastAsia="en-US"/>
        </w:rPr>
        <w:t>1</w:t>
      </w:r>
      <w:r>
        <w:rPr>
          <w:rFonts w:ascii="宋体" w:hAnsi="宋体" w:cs="宋体"/>
          <w:color w:val="000000"/>
          <w:sz w:val="24"/>
          <w:lang w:eastAsia="en-US"/>
        </w:rPr>
        <w:t>.0500</w:t>
      </w:r>
      <w:r>
        <w:rPr>
          <w:rFonts w:ascii="宋体" w:hAnsi="宋体" w:cs="宋体"/>
          <w:color w:val="000000"/>
          <w:sz w:val="24"/>
          <w:lang w:eastAsia="en-US"/>
        </w:rPr>
        <w:t>元</w:t>
      </w:r>
      <w:r>
        <w:rPr>
          <w:rFonts w:ascii="宋体" w:hAnsi="宋体" w:cs="宋体"/>
          <w:color w:val="000000"/>
          <w:sz w:val="24"/>
          <w:lang w:eastAsia="en-US"/>
        </w:rPr>
        <w:t>/</w:t>
      </w:r>
      <w:r>
        <w:rPr>
          <w:rFonts w:ascii="宋体" w:hAnsi="宋体" w:cs="宋体"/>
          <w:color w:val="000000"/>
          <w:sz w:val="24"/>
          <w:lang w:eastAsia="en-US"/>
        </w:rPr>
        <w:t>份的永赢惠添利灵活</w:t>
      </w:r>
      <w:r>
        <w:rPr>
          <w:rFonts w:ascii="宋体" w:hAnsi="宋体" w:cs="宋体"/>
          <w:color w:val="000000"/>
          <w:sz w:val="24"/>
          <w:lang w:eastAsia="en-US"/>
        </w:rPr>
        <w:t>配置混合型证券投资基金，可得到</w:t>
      </w:r>
      <w:r>
        <w:rPr>
          <w:rFonts w:ascii="宋体" w:hAnsi="宋体" w:cs="宋体"/>
          <w:color w:val="000000"/>
          <w:sz w:val="24"/>
          <w:lang w:eastAsia="en-US"/>
        </w:rPr>
        <w:t>10,423.81</w:t>
      </w:r>
      <w:r>
        <w:rPr>
          <w:rFonts w:ascii="宋体" w:hAnsi="宋体" w:cs="宋体"/>
          <w:color w:val="000000"/>
          <w:sz w:val="24"/>
          <w:lang w:eastAsia="en-US"/>
        </w:rPr>
        <w:t>份永赢惠添利灵活配置混合型证券投资基金。</w:t>
      </w:r>
    </w:p>
    <w:p w:rsidR="00000000" w:rsidRDefault="00F548D5">
      <w:pPr>
        <w:spacing w:line="360" w:lineRule="auto"/>
        <w:ind w:firstLine="480"/>
        <w:rPr>
          <w:lang w:eastAsia="en-US"/>
        </w:rPr>
      </w:pPr>
    </w:p>
    <w:p w:rsidR="00000000" w:rsidRDefault="00F548D5">
      <w:pPr>
        <w:rPr>
          <w:lang w:eastAsia="en-US"/>
        </w:rPr>
      </w:pPr>
      <w:r>
        <w:rPr>
          <w:rFonts w:ascii="宋体" w:hAnsi="宋体" w:hint="eastAsia"/>
          <w:b/>
          <w:sz w:val="24"/>
          <w:szCs w:val="24"/>
          <w:lang w:eastAsia="en-US"/>
        </w:rPr>
        <w:t xml:space="preserve">5.2 </w:t>
      </w:r>
      <w:r>
        <w:rPr>
          <w:rFonts w:ascii="宋体" w:hAnsi="宋体" w:hint="eastAsia"/>
          <w:b/>
          <w:sz w:val="24"/>
          <w:szCs w:val="24"/>
          <w:lang w:eastAsia="en-US"/>
        </w:rPr>
        <w:t>其他与转换相关的事项</w:t>
      </w:r>
    </w:p>
    <w:p w:rsidR="00000000" w:rsidRDefault="00F548D5">
      <w:pPr>
        <w:spacing w:line="360" w:lineRule="auto"/>
        <w:ind w:firstLine="480"/>
        <w:rPr>
          <w:lang w:eastAsia="en-US"/>
        </w:rPr>
      </w:pPr>
      <w:r>
        <w:rPr>
          <w:rFonts w:ascii="宋体" w:hAnsi="宋体" w:hint="eastAsia"/>
          <w:sz w:val="24"/>
          <w:szCs w:val="24"/>
          <w:lang w:eastAsia="en-US"/>
        </w:rPr>
        <w:t>（</w:t>
      </w:r>
      <w:r>
        <w:rPr>
          <w:rFonts w:ascii="宋体" w:hAnsi="宋体" w:hint="eastAsia"/>
          <w:sz w:val="24"/>
          <w:szCs w:val="24"/>
          <w:lang w:eastAsia="en-US"/>
        </w:rPr>
        <w:t>1</w:t>
      </w:r>
      <w:r>
        <w:rPr>
          <w:rFonts w:ascii="宋体" w:hAnsi="宋体" w:hint="eastAsia"/>
          <w:sz w:val="24"/>
          <w:szCs w:val="24"/>
          <w:lang w:eastAsia="en-US"/>
        </w:rPr>
        <w:t>）基金转换业务适用基金范围</w:t>
      </w:r>
    </w:p>
    <w:p w:rsidR="00000000" w:rsidRDefault="00F548D5">
      <w:pPr>
        <w:pBdr>
          <w:top w:val="none" w:sz="0" w:space="0" w:color="000000"/>
          <w:left w:val="none" w:sz="0" w:space="0" w:color="000000"/>
          <w:bottom w:val="none" w:sz="0" w:space="0" w:color="000000"/>
          <w:right w:val="none" w:sz="0" w:space="0" w:color="000000"/>
        </w:pBdr>
        <w:spacing w:line="360" w:lineRule="auto"/>
        <w:ind w:firstLine="480"/>
        <w:rPr>
          <w:sz w:val="22"/>
          <w:szCs w:val="24"/>
          <w:lang w:eastAsia="en-US"/>
        </w:rPr>
      </w:pPr>
      <w:r>
        <w:rPr>
          <w:rFonts w:ascii="宋体" w:hAnsi="宋体" w:hint="eastAsia"/>
          <w:sz w:val="24"/>
          <w:szCs w:val="24"/>
          <w:lang w:eastAsia="en-US"/>
        </w:rPr>
        <w:t>本基金可与本公司旗下已开通基金转换业务的基金之间进行相互转换</w:t>
      </w:r>
      <w:r>
        <w:rPr>
          <w:rFonts w:ascii="宋体" w:hAnsi="宋体" w:cs="宋体"/>
          <w:color w:val="000000"/>
          <w:sz w:val="24"/>
          <w:lang w:eastAsia="en-US"/>
        </w:rPr>
        <w:t>，且本基金不同类别基金份额之间开通相互转换。</w:t>
      </w:r>
    </w:p>
    <w:p w:rsidR="00000000" w:rsidRDefault="00F548D5">
      <w:pPr>
        <w:spacing w:line="360" w:lineRule="auto"/>
        <w:ind w:firstLine="480"/>
        <w:rPr>
          <w:lang w:eastAsia="en-US"/>
        </w:rPr>
      </w:pPr>
      <w:r>
        <w:rPr>
          <w:rFonts w:ascii="宋体" w:hAnsi="宋体" w:hint="eastAsia"/>
          <w:sz w:val="24"/>
          <w:szCs w:val="24"/>
          <w:lang w:eastAsia="en-US"/>
        </w:rPr>
        <w:t>（</w:t>
      </w:r>
      <w:r>
        <w:rPr>
          <w:rFonts w:ascii="宋体" w:hAnsi="宋体" w:hint="eastAsia"/>
          <w:sz w:val="24"/>
          <w:szCs w:val="24"/>
          <w:lang w:eastAsia="en-US"/>
        </w:rPr>
        <w:t>2</w:t>
      </w:r>
      <w:r>
        <w:rPr>
          <w:rFonts w:ascii="宋体" w:hAnsi="宋体" w:hint="eastAsia"/>
          <w:sz w:val="24"/>
          <w:szCs w:val="24"/>
          <w:lang w:eastAsia="en-US"/>
        </w:rPr>
        <w:t>）基金转换业务规则</w:t>
      </w:r>
    </w:p>
    <w:p w:rsidR="00000000" w:rsidRDefault="00F548D5">
      <w:pPr>
        <w:spacing w:line="360" w:lineRule="auto"/>
        <w:ind w:firstLine="480"/>
        <w:rPr>
          <w:lang w:eastAsia="en-US"/>
        </w:rPr>
      </w:pPr>
      <w:r>
        <w:rPr>
          <w:rFonts w:ascii="宋体" w:hAnsi="宋体" w:hint="eastAsia"/>
          <w:sz w:val="24"/>
          <w:szCs w:val="24"/>
          <w:lang w:eastAsia="en-US"/>
        </w:rPr>
        <w:t>①基金转换只能在同一销售机构进行。办理转换业务的基金必须都是该销售机构代理的同一基金管理人管理的、在同一注册登记机构注册登记的基金。</w:t>
      </w:r>
    </w:p>
    <w:p w:rsidR="00000000" w:rsidRDefault="00F548D5">
      <w:pPr>
        <w:pBdr>
          <w:top w:val="none" w:sz="0" w:space="0" w:color="000000"/>
          <w:left w:val="none" w:sz="0" w:space="0" w:color="000000"/>
          <w:bottom w:val="none" w:sz="0" w:space="0" w:color="000000"/>
          <w:right w:val="none" w:sz="0" w:space="0" w:color="000000"/>
        </w:pBdr>
        <w:spacing w:line="360" w:lineRule="auto"/>
        <w:ind w:firstLine="480"/>
        <w:rPr>
          <w:sz w:val="22"/>
          <w:lang w:eastAsia="en-US"/>
        </w:rPr>
      </w:pPr>
      <w:r>
        <w:rPr>
          <w:rFonts w:ascii="宋体" w:hAnsi="宋体" w:cs="宋体"/>
          <w:color w:val="000000"/>
          <w:sz w:val="24"/>
          <w:lang w:eastAsia="en-US"/>
        </w:rPr>
        <w:t>②</w:t>
      </w:r>
      <w:r>
        <w:rPr>
          <w:rFonts w:ascii="宋体" w:hAnsi="宋体" w:cs="宋体"/>
          <w:color w:val="000000"/>
          <w:sz w:val="24"/>
          <w:lang w:eastAsia="en-US"/>
        </w:rPr>
        <w:t>同一基金不同类别基金份额间相互转换，原持有期限不延续计算，转</w:t>
      </w:r>
      <w:r>
        <w:rPr>
          <w:rFonts w:ascii="宋体" w:hAnsi="宋体" w:cs="宋体"/>
          <w:color w:val="000000"/>
          <w:sz w:val="24"/>
          <w:lang w:eastAsia="en-US"/>
        </w:rPr>
        <w:t>入的基金份额的持有期将自转入的基金份额被确认之日起重新开始计算。即转入份额在赎回或转出时，按持有时段适用的赎回费档次计算赎回费的，该持有时段为该部分份额转入确认日起至该部分份额赎回或转出确认日止的持有期限。</w:t>
      </w:r>
    </w:p>
    <w:p w:rsidR="00000000" w:rsidRDefault="00F548D5">
      <w:pPr>
        <w:spacing w:line="360" w:lineRule="auto"/>
        <w:ind w:firstLine="480"/>
        <w:rPr>
          <w:lang w:eastAsia="en-US"/>
        </w:rPr>
      </w:pPr>
      <w:r>
        <w:rPr>
          <w:rFonts w:ascii="宋体" w:hAnsi="宋体" w:cs="宋体"/>
          <w:color w:val="000000"/>
          <w:sz w:val="24"/>
          <w:lang w:eastAsia="en-US"/>
        </w:rPr>
        <w:t>③</w:t>
      </w:r>
      <w:r>
        <w:rPr>
          <w:rFonts w:ascii="宋体" w:hAnsi="宋体" w:hint="eastAsia"/>
          <w:sz w:val="24"/>
          <w:szCs w:val="24"/>
          <w:lang w:eastAsia="en-US"/>
        </w:rPr>
        <w:t>基金转换以份额为单位进行申请。投资者可以发起多次基金转换业务，基金转换费用按每笔申请单独计算。</w:t>
      </w:r>
    </w:p>
    <w:p w:rsidR="00000000" w:rsidRDefault="00F548D5">
      <w:pPr>
        <w:spacing w:line="360" w:lineRule="auto"/>
        <w:ind w:firstLine="480"/>
        <w:rPr>
          <w:lang w:eastAsia="en-US"/>
        </w:rPr>
      </w:pPr>
      <w:r>
        <w:rPr>
          <w:rFonts w:ascii="宋体" w:hAnsi="宋体" w:cs="宋体"/>
          <w:color w:val="000000"/>
          <w:sz w:val="24"/>
          <w:lang w:eastAsia="en-US"/>
        </w:rPr>
        <w:t>④</w:t>
      </w:r>
      <w:r>
        <w:rPr>
          <w:rFonts w:ascii="宋体" w:hAnsi="宋体" w:hint="eastAsia"/>
          <w:sz w:val="24"/>
          <w:szCs w:val="24"/>
          <w:lang w:eastAsia="en-US"/>
        </w:rPr>
        <w:t>基金转换采取“未知价”法，即基金的转换价格以转换申请受理当日各转出、转入基金的份额净值为基准进行计算。</w:t>
      </w:r>
    </w:p>
    <w:p w:rsidR="00000000" w:rsidRDefault="00F548D5">
      <w:pPr>
        <w:spacing w:line="360" w:lineRule="auto"/>
        <w:ind w:firstLine="480"/>
        <w:rPr>
          <w:lang w:eastAsia="en-US"/>
        </w:rPr>
      </w:pPr>
      <w:r>
        <w:rPr>
          <w:rFonts w:ascii="宋体" w:hAnsi="宋体" w:cs="宋体"/>
          <w:color w:val="000000"/>
          <w:sz w:val="24"/>
          <w:lang w:eastAsia="en-US"/>
        </w:rPr>
        <w:t>⑤</w:t>
      </w:r>
      <w:r>
        <w:rPr>
          <w:rFonts w:ascii="宋体" w:hAnsi="宋体" w:hint="eastAsia"/>
          <w:sz w:val="24"/>
          <w:szCs w:val="24"/>
          <w:lang w:eastAsia="en-US"/>
        </w:rPr>
        <w:t>投资者办理基金转换业务时，转出基金必须处于可赎回状态，转入基金必须处于可申购状态。定期开放式基金不</w:t>
      </w:r>
      <w:r>
        <w:rPr>
          <w:rFonts w:ascii="宋体" w:hAnsi="宋体" w:hint="eastAsia"/>
          <w:sz w:val="24"/>
          <w:szCs w:val="24"/>
          <w:lang w:eastAsia="en-US"/>
        </w:rPr>
        <w:t>得在基金合同约定之外的日期或者时间办理基金份额转换业务。在开放期内，投资者在基金合同约定的业务办理时间之外提出转换申请且登记机构确认接受的，其转换价格以该开放期内下一开放日各转出、转入基金的份额净值为基准进行计算。但是，在开放期内最后一个开放日，投资者在基金合同约定的业务办理时间之外提出转换申请的，视为无效申请。</w:t>
      </w:r>
    </w:p>
    <w:p w:rsidR="00000000" w:rsidRDefault="00F548D5">
      <w:pPr>
        <w:spacing w:line="360" w:lineRule="auto"/>
        <w:ind w:firstLine="480"/>
        <w:rPr>
          <w:lang w:eastAsia="en-US"/>
        </w:rPr>
      </w:pPr>
      <w:r>
        <w:rPr>
          <w:rFonts w:ascii="宋体" w:hAnsi="宋体" w:cs="宋体"/>
          <w:color w:val="000000"/>
          <w:sz w:val="24"/>
          <w:lang w:eastAsia="en-US"/>
        </w:rPr>
        <w:t>⑥</w:t>
      </w:r>
      <w:r>
        <w:rPr>
          <w:rFonts w:ascii="宋体" w:hAnsi="宋体" w:hint="eastAsia"/>
          <w:sz w:val="24"/>
          <w:szCs w:val="24"/>
          <w:lang w:eastAsia="en-US"/>
        </w:rPr>
        <w:t>转换业务遵循“先进先出”的业务规则，即份额注册日期在前的先转换出，份额注册日期在后的后转换出，如果转换申请当日，同时有赎回申请的情况下，则遵循先赎回后转换的处理原则。</w:t>
      </w:r>
    </w:p>
    <w:p w:rsidR="00000000" w:rsidRDefault="00F548D5">
      <w:pPr>
        <w:spacing w:line="360" w:lineRule="auto"/>
        <w:ind w:firstLine="480"/>
        <w:rPr>
          <w:lang w:eastAsia="en-US"/>
        </w:rPr>
      </w:pPr>
      <w:r>
        <w:rPr>
          <w:rFonts w:ascii="宋体" w:hAnsi="宋体" w:cs="宋体"/>
          <w:color w:val="000000"/>
          <w:sz w:val="24"/>
          <w:lang w:eastAsia="en-US"/>
        </w:rPr>
        <w:t>⑦</w:t>
      </w:r>
      <w:r>
        <w:rPr>
          <w:rFonts w:ascii="宋体" w:hAnsi="宋体" w:hint="eastAsia"/>
          <w:sz w:val="24"/>
          <w:szCs w:val="24"/>
          <w:lang w:eastAsia="en-US"/>
        </w:rPr>
        <w:t>单笔转换最低申请基金份额</w:t>
      </w:r>
      <w:r>
        <w:rPr>
          <w:rFonts w:ascii="宋体" w:hAnsi="宋体" w:hint="eastAsia"/>
          <w:sz w:val="24"/>
          <w:szCs w:val="24"/>
          <w:lang w:eastAsia="en-US"/>
        </w:rPr>
        <w:t>适用各基金基金合同、招募说明书及相关公告中关于最低赎回份额的规定。若某笔转换导致投资者在销售机构托管的单只基金余额低于该基金基金合同、招募说明书及相关公告中规定的最低持有份额时，基金管理人有权将投资者在该销售机构托管的该基金剩余份额强制赎回。</w:t>
      </w:r>
    </w:p>
    <w:p w:rsidR="00000000" w:rsidRDefault="00F548D5">
      <w:pPr>
        <w:spacing w:line="360" w:lineRule="auto"/>
        <w:ind w:firstLine="480"/>
        <w:rPr>
          <w:lang w:eastAsia="en-US"/>
        </w:rPr>
      </w:pPr>
      <w:r>
        <w:rPr>
          <w:rFonts w:ascii="宋体" w:hAnsi="宋体" w:cs="宋体"/>
          <w:color w:val="000000"/>
          <w:sz w:val="24"/>
          <w:lang w:eastAsia="en-US"/>
        </w:rPr>
        <w:t>⑧</w:t>
      </w:r>
      <w:r>
        <w:rPr>
          <w:rFonts w:ascii="宋体" w:hAnsi="宋体"/>
          <w:sz w:val="24"/>
          <w:szCs w:val="24"/>
          <w:lang w:eastAsia="en-US"/>
        </w:rPr>
        <w:t>正常情况下，基金注册登记机构将在</w:t>
      </w:r>
      <w:r>
        <w:rPr>
          <w:rFonts w:ascii="宋体" w:hAnsi="宋体" w:hint="eastAsia"/>
          <w:sz w:val="24"/>
          <w:szCs w:val="24"/>
          <w:lang w:eastAsia="en-US"/>
        </w:rPr>
        <w:t>T+1</w:t>
      </w:r>
      <w:r>
        <w:rPr>
          <w:rFonts w:ascii="宋体" w:hAnsi="宋体" w:hint="eastAsia"/>
          <w:sz w:val="24"/>
          <w:szCs w:val="24"/>
          <w:lang w:eastAsia="en-US"/>
        </w:rPr>
        <w:t>日对投资者</w:t>
      </w:r>
      <w:r>
        <w:rPr>
          <w:rFonts w:ascii="宋体" w:hAnsi="宋体" w:hint="eastAsia"/>
          <w:sz w:val="24"/>
          <w:szCs w:val="24"/>
          <w:lang w:eastAsia="en-US"/>
        </w:rPr>
        <w:t>T</w:t>
      </w:r>
      <w:r>
        <w:rPr>
          <w:rFonts w:ascii="宋体" w:hAnsi="宋体" w:hint="eastAsia"/>
          <w:sz w:val="24"/>
          <w:szCs w:val="24"/>
          <w:lang w:eastAsia="en-US"/>
        </w:rPr>
        <w:t>日的基金转换业务申请进行有效性确认，办理转出基金的权益扣除以及转入基金的权益登记。在</w:t>
      </w:r>
      <w:r>
        <w:rPr>
          <w:rFonts w:ascii="宋体" w:hAnsi="宋体" w:hint="eastAsia"/>
          <w:sz w:val="24"/>
          <w:szCs w:val="24"/>
          <w:lang w:eastAsia="en-US"/>
        </w:rPr>
        <w:t>T+2</w:t>
      </w:r>
      <w:r>
        <w:rPr>
          <w:rFonts w:ascii="宋体" w:hAnsi="宋体" w:hint="eastAsia"/>
          <w:sz w:val="24"/>
          <w:szCs w:val="24"/>
          <w:lang w:eastAsia="en-US"/>
        </w:rPr>
        <w:t>日后（包括该日）投资者可向销售机构查询基金转换的成交情况。</w:t>
      </w:r>
    </w:p>
    <w:p w:rsidR="00000000" w:rsidRDefault="00F548D5">
      <w:pPr>
        <w:spacing w:line="360" w:lineRule="auto"/>
        <w:ind w:firstLine="480"/>
        <w:rPr>
          <w:lang w:eastAsia="en-US"/>
        </w:rPr>
      </w:pPr>
      <w:r>
        <w:rPr>
          <w:rFonts w:ascii="宋体" w:hAnsi="宋体" w:cs="宋体"/>
          <w:color w:val="000000"/>
          <w:sz w:val="24"/>
          <w:lang w:eastAsia="en-US"/>
        </w:rPr>
        <w:t>⑨</w:t>
      </w:r>
      <w:r>
        <w:rPr>
          <w:rFonts w:ascii="宋体" w:hAnsi="宋体" w:hint="eastAsia"/>
          <w:sz w:val="24"/>
          <w:szCs w:val="24"/>
          <w:lang w:eastAsia="en-US"/>
        </w:rPr>
        <w:t>发生各基金合同约定的巨额赎回时，基金转出与基金赎回具有相同的优先</w:t>
      </w:r>
      <w:r>
        <w:rPr>
          <w:rFonts w:ascii="宋体" w:hAnsi="宋体" w:hint="eastAsia"/>
          <w:sz w:val="24"/>
          <w:szCs w:val="24"/>
          <w:lang w:eastAsia="en-US"/>
        </w:rPr>
        <w:t>级，基金管理人可根据基金资产组合情况，决定全额转出或部分转出，并且对于基金转出和基金赎回，将采取相同的比例确认（另有公告的除外）；在转出申请得到部分确认的情况下，未确认的转出申请将不予以顺延。</w:t>
      </w:r>
    </w:p>
    <w:p w:rsidR="00000000" w:rsidRDefault="00F548D5">
      <w:pPr>
        <w:spacing w:line="360" w:lineRule="auto"/>
        <w:ind w:firstLine="480"/>
        <w:rPr>
          <w:lang w:eastAsia="en-US"/>
        </w:rPr>
      </w:pPr>
      <w:r>
        <w:rPr>
          <w:rFonts w:ascii="宋体" w:hAnsi="宋体" w:cs="宋体"/>
          <w:color w:val="000000"/>
          <w:sz w:val="24"/>
          <w:lang w:eastAsia="en-US"/>
        </w:rPr>
        <w:t>⑩</w:t>
      </w:r>
      <w:r>
        <w:rPr>
          <w:rFonts w:ascii="宋体" w:hAnsi="宋体" w:hint="eastAsia"/>
          <w:sz w:val="24"/>
          <w:szCs w:val="24"/>
          <w:lang w:eastAsia="en-US"/>
        </w:rPr>
        <w:t>具体份额计算结果以注册登记机构的记录为准，转入份额的计算结果保留位数依照各基金招募说明书及相关公告的规定。</w:t>
      </w:r>
    </w:p>
    <w:p w:rsidR="00000000" w:rsidRDefault="00F548D5">
      <w:pPr>
        <w:spacing w:line="360" w:lineRule="auto"/>
        <w:ind w:firstLine="480"/>
        <w:rPr>
          <w:lang w:eastAsia="en-US"/>
        </w:rPr>
      </w:pPr>
      <w:r>
        <w:rPr>
          <w:rFonts w:ascii="宋体" w:hAnsi="宋体" w:hint="eastAsia"/>
          <w:sz w:val="24"/>
          <w:szCs w:val="24"/>
          <w:lang w:eastAsia="en-US"/>
        </w:rPr>
        <w:t>（</w:t>
      </w:r>
      <w:r>
        <w:rPr>
          <w:rFonts w:ascii="宋体" w:hAnsi="宋体" w:hint="eastAsia"/>
          <w:sz w:val="24"/>
          <w:szCs w:val="24"/>
          <w:lang w:eastAsia="en-US"/>
        </w:rPr>
        <w:t>3</w:t>
      </w:r>
      <w:r>
        <w:rPr>
          <w:rFonts w:ascii="宋体" w:hAnsi="宋体" w:hint="eastAsia"/>
          <w:sz w:val="24"/>
          <w:szCs w:val="24"/>
          <w:lang w:eastAsia="en-US"/>
        </w:rPr>
        <w:t>）暂停基金转换的情形及处理</w:t>
      </w:r>
    </w:p>
    <w:p w:rsidR="00000000" w:rsidRDefault="00F548D5">
      <w:pPr>
        <w:spacing w:line="360" w:lineRule="auto"/>
        <w:ind w:firstLine="480"/>
        <w:rPr>
          <w:lang w:eastAsia="en-US"/>
        </w:rPr>
      </w:pPr>
      <w:r>
        <w:rPr>
          <w:rFonts w:ascii="宋体" w:hAnsi="宋体" w:hint="eastAsia"/>
          <w:sz w:val="24"/>
          <w:szCs w:val="24"/>
          <w:lang w:eastAsia="en-US"/>
        </w:rPr>
        <w:t>出现下列情况之一时，基金管理人可以暂停基金转换业务：</w:t>
      </w:r>
    </w:p>
    <w:p w:rsidR="00000000" w:rsidRDefault="00F548D5">
      <w:pPr>
        <w:spacing w:line="360" w:lineRule="auto"/>
        <w:ind w:firstLine="480"/>
        <w:rPr>
          <w:lang w:eastAsia="en-US"/>
        </w:rPr>
      </w:pPr>
      <w:r>
        <w:rPr>
          <w:rFonts w:ascii="宋体" w:hAnsi="宋体" w:hint="eastAsia"/>
          <w:sz w:val="24"/>
          <w:szCs w:val="24"/>
          <w:lang w:eastAsia="en-US"/>
        </w:rPr>
        <w:t>①不可抗力的原因导致基金无法正常运作。</w:t>
      </w:r>
    </w:p>
    <w:p w:rsidR="00000000" w:rsidRDefault="00F548D5">
      <w:pPr>
        <w:spacing w:line="360" w:lineRule="auto"/>
        <w:ind w:firstLine="480"/>
        <w:rPr>
          <w:lang w:eastAsia="en-US"/>
        </w:rPr>
      </w:pPr>
      <w:r>
        <w:rPr>
          <w:rFonts w:ascii="宋体" w:hAnsi="宋体" w:hint="eastAsia"/>
          <w:sz w:val="24"/>
          <w:szCs w:val="24"/>
          <w:lang w:eastAsia="en-US"/>
        </w:rPr>
        <w:t>②证券交易场所在交易时间非正常停市，导致基金管理人无法计算当日基金资产净值。</w:t>
      </w:r>
    </w:p>
    <w:p w:rsidR="00000000" w:rsidRDefault="00F548D5">
      <w:pPr>
        <w:spacing w:line="360" w:lineRule="auto"/>
        <w:ind w:firstLine="480"/>
        <w:rPr>
          <w:lang w:eastAsia="en-US"/>
        </w:rPr>
      </w:pPr>
      <w:r>
        <w:rPr>
          <w:rFonts w:ascii="宋体" w:hAnsi="宋体" w:hint="eastAsia"/>
          <w:sz w:val="24"/>
          <w:szCs w:val="24"/>
          <w:lang w:eastAsia="en-US"/>
        </w:rPr>
        <w:t>③因</w:t>
      </w:r>
      <w:r>
        <w:rPr>
          <w:rFonts w:ascii="宋体" w:hAnsi="宋体" w:hint="eastAsia"/>
          <w:sz w:val="24"/>
          <w:szCs w:val="24"/>
          <w:lang w:eastAsia="en-US"/>
        </w:rPr>
        <w:t>市场剧烈波动或其它原因而出现连续巨额赎回，导致基金的现金支付出现困难。</w:t>
      </w:r>
    </w:p>
    <w:p w:rsidR="00000000" w:rsidRDefault="00F548D5">
      <w:pPr>
        <w:spacing w:line="360" w:lineRule="auto"/>
        <w:ind w:firstLine="480"/>
        <w:rPr>
          <w:lang w:eastAsia="en-US"/>
        </w:rPr>
      </w:pPr>
      <w:r>
        <w:rPr>
          <w:rFonts w:ascii="宋体" w:hAnsi="宋体" w:hint="eastAsia"/>
          <w:sz w:val="24"/>
          <w:szCs w:val="24"/>
          <w:lang w:eastAsia="en-US"/>
        </w:rPr>
        <w:t>④基金管理人认为会有损于现有基金份额持有人利益的某笔转入或某笔转出。</w:t>
      </w:r>
    </w:p>
    <w:p w:rsidR="00000000" w:rsidRDefault="00F548D5">
      <w:pPr>
        <w:spacing w:line="360" w:lineRule="auto"/>
        <w:ind w:firstLine="480"/>
        <w:rPr>
          <w:lang w:eastAsia="en-US"/>
        </w:rPr>
      </w:pPr>
      <w:r>
        <w:rPr>
          <w:rFonts w:ascii="宋体" w:hAnsi="宋体" w:hint="eastAsia"/>
          <w:sz w:val="24"/>
          <w:szCs w:val="24"/>
          <w:lang w:eastAsia="en-US"/>
        </w:rPr>
        <w:t>⑤法律、法规规定或中国证监会认定的其他情形。</w:t>
      </w:r>
    </w:p>
    <w:p w:rsidR="00000000" w:rsidRDefault="00F548D5">
      <w:pPr>
        <w:spacing w:line="360" w:lineRule="auto"/>
        <w:ind w:firstLine="480"/>
        <w:rPr>
          <w:lang w:eastAsia="en-US"/>
        </w:rPr>
      </w:pPr>
      <w:r>
        <w:rPr>
          <w:rFonts w:ascii="宋体" w:hAnsi="宋体" w:hint="eastAsia"/>
          <w:sz w:val="24"/>
          <w:szCs w:val="24"/>
          <w:lang w:eastAsia="en-US"/>
        </w:rPr>
        <w:t>基金暂停转换或暂停后重新开放转换时，基金管理人将依照《公开募集证券投资基金信息披露管理办法》的有关规定在规定媒介上公告。</w:t>
      </w:r>
    </w:p>
    <w:p w:rsidR="00000000" w:rsidRDefault="00F548D5">
      <w:pPr>
        <w:spacing w:line="360" w:lineRule="auto"/>
        <w:ind w:firstLine="480"/>
        <w:rPr>
          <w:lang w:eastAsia="en-US"/>
        </w:rPr>
      </w:pPr>
      <w:r>
        <w:rPr>
          <w:rFonts w:ascii="宋体" w:hAnsi="宋体" w:hint="eastAsia"/>
          <w:sz w:val="24"/>
          <w:szCs w:val="24"/>
          <w:lang w:eastAsia="en-US"/>
        </w:rPr>
        <w:t>基金转换业务的解释权归本基金管理人，本公司可以根据市场情况在不违背有关法律、法规和基金合同的规定之前提下调整上述转换的收费方式、费率水平、业务规则及有关限制，但应在调整生效前依照《公开募集证券投资基金信</w:t>
      </w:r>
      <w:r>
        <w:rPr>
          <w:rFonts w:ascii="宋体" w:hAnsi="宋体" w:hint="eastAsia"/>
          <w:sz w:val="24"/>
          <w:szCs w:val="24"/>
          <w:lang w:eastAsia="en-US"/>
        </w:rPr>
        <w:t>息披露管理办法》的有关规定在规定媒介上公告。</w:t>
      </w:r>
    </w:p>
    <w:p w:rsidR="00000000" w:rsidRDefault="00F548D5">
      <w:pPr>
        <w:spacing w:line="360" w:lineRule="auto"/>
        <w:ind w:firstLine="420"/>
        <w:rPr>
          <w:lang w:eastAsia="en-US"/>
        </w:rPr>
      </w:pPr>
    </w:p>
    <w:p w:rsidR="00000000" w:rsidRDefault="00F548D5">
      <w:pPr>
        <w:rPr>
          <w:rFonts w:ascii="宋体" w:hAnsi="宋体"/>
          <w:b/>
          <w:sz w:val="24"/>
          <w:szCs w:val="24"/>
          <w:lang w:eastAsia="en-US"/>
        </w:rPr>
      </w:pPr>
      <w:r>
        <w:rPr>
          <w:rFonts w:ascii="宋体" w:hAnsi="宋体" w:hint="eastAsia"/>
          <w:b/>
          <w:sz w:val="24"/>
          <w:szCs w:val="24"/>
          <w:lang w:eastAsia="en-US"/>
        </w:rPr>
        <w:t xml:space="preserve">6 </w:t>
      </w:r>
      <w:r>
        <w:rPr>
          <w:rFonts w:ascii="宋体" w:hAnsi="宋体" w:hint="eastAsia"/>
          <w:b/>
          <w:sz w:val="24"/>
          <w:szCs w:val="24"/>
          <w:lang w:eastAsia="en-US"/>
        </w:rPr>
        <w:t>定期定额投资业务</w:t>
      </w:r>
    </w:p>
    <w:p w:rsidR="00000000" w:rsidRDefault="00F548D5">
      <w:pPr>
        <w:pBdr>
          <w:top w:val="none" w:sz="0" w:space="0" w:color="000000"/>
          <w:left w:val="none" w:sz="0" w:space="0" w:color="000000"/>
          <w:bottom w:val="none" w:sz="0" w:space="0" w:color="000000"/>
          <w:right w:val="none" w:sz="0" w:space="0" w:color="000000"/>
        </w:pBdr>
        <w:spacing w:before="120" w:after="120" w:line="360" w:lineRule="auto"/>
        <w:ind w:right="120"/>
        <w:rPr>
          <w:rFonts w:ascii="宋体" w:hAnsi="宋体" w:cs="宋体"/>
          <w:b/>
          <w:sz w:val="24"/>
          <w:lang w:eastAsia="en-US"/>
        </w:rPr>
      </w:pPr>
      <w:r>
        <w:rPr>
          <w:rFonts w:ascii="宋体" w:hAnsi="宋体" w:cs="宋体"/>
          <w:b/>
          <w:sz w:val="24"/>
          <w:lang w:eastAsia="en-US"/>
        </w:rPr>
        <w:t>6.1 </w:t>
      </w:r>
      <w:r>
        <w:rPr>
          <w:rFonts w:ascii="宋体" w:hAnsi="宋体" w:cs="宋体"/>
          <w:b/>
          <w:sz w:val="24"/>
          <w:lang w:eastAsia="en-US"/>
        </w:rPr>
        <w:t>定投业务规则</w:t>
      </w:r>
    </w:p>
    <w:p w:rsidR="00000000" w:rsidRDefault="00F548D5">
      <w:pPr>
        <w:pBdr>
          <w:top w:val="none" w:sz="0" w:space="0" w:color="000000"/>
          <w:left w:val="none" w:sz="0" w:space="0" w:color="000000"/>
          <w:bottom w:val="none" w:sz="0" w:space="0" w:color="000000"/>
          <w:right w:val="none" w:sz="0" w:space="0" w:color="000000"/>
        </w:pBdr>
        <w:spacing w:before="120" w:after="120" w:line="360" w:lineRule="auto"/>
        <w:ind w:right="120" w:firstLine="720"/>
        <w:rPr>
          <w:rFonts w:ascii="宋体" w:hAnsi="宋体" w:cs="宋体"/>
          <w:b/>
          <w:lang w:eastAsia="en-US"/>
        </w:rPr>
      </w:pPr>
      <w:r>
        <w:rPr>
          <w:rFonts w:ascii="宋体" w:hAnsi="宋体" w:cs="宋体"/>
          <w:sz w:val="24"/>
          <w:lang w:eastAsia="en-US"/>
        </w:rPr>
        <w:t>本基金仅可通过线上直销渠道及代销机构办理定投业务，定投业务的申请受理时间与基金日常申购业务受理时间相同，具体办理规则请遵循销售机构的相关规定。</w:t>
      </w:r>
    </w:p>
    <w:p w:rsidR="00000000" w:rsidRDefault="00F548D5">
      <w:pPr>
        <w:pBdr>
          <w:top w:val="none" w:sz="0" w:space="0" w:color="000000"/>
          <w:left w:val="none" w:sz="0" w:space="0" w:color="000000"/>
          <w:bottom w:val="none" w:sz="0" w:space="0" w:color="000000"/>
          <w:right w:val="none" w:sz="0" w:space="0" w:color="000000"/>
        </w:pBdr>
        <w:spacing w:before="120" w:after="120" w:line="360" w:lineRule="auto"/>
        <w:ind w:left="120" w:right="120" w:firstLine="600"/>
        <w:rPr>
          <w:lang w:eastAsia="en-US"/>
        </w:rPr>
      </w:pPr>
      <w:r>
        <w:rPr>
          <w:rFonts w:ascii="宋体" w:hAnsi="宋体" w:cs="宋体"/>
          <w:sz w:val="24"/>
          <w:lang w:eastAsia="en-US"/>
        </w:rPr>
        <w:t>投资者在办理基金定投业务时可自行约定每期扣款时间及固定的投资金额（即申购金额），具体申购金额限制及级差规定以各代销机构规定为准。</w:t>
      </w:r>
    </w:p>
    <w:p w:rsidR="00000000" w:rsidRDefault="00F548D5">
      <w:pPr>
        <w:pBdr>
          <w:top w:val="none" w:sz="0" w:space="0" w:color="000000"/>
          <w:left w:val="none" w:sz="0" w:space="0" w:color="000000"/>
          <w:bottom w:val="none" w:sz="0" w:space="0" w:color="000000"/>
          <w:right w:val="none" w:sz="0" w:space="0" w:color="000000"/>
        </w:pBdr>
        <w:spacing w:before="120" w:after="120" w:line="360" w:lineRule="auto"/>
        <w:ind w:left="120" w:right="120"/>
        <w:rPr>
          <w:rFonts w:ascii="宋体" w:hAnsi="宋体" w:cs="宋体"/>
          <w:b/>
          <w:lang w:eastAsia="en-US"/>
        </w:rPr>
      </w:pPr>
      <w:r>
        <w:rPr>
          <w:rFonts w:ascii="宋体" w:hAnsi="宋体" w:cs="宋体"/>
          <w:b/>
          <w:sz w:val="24"/>
          <w:lang w:eastAsia="en-US"/>
        </w:rPr>
        <w:t>6.2 </w:t>
      </w:r>
      <w:r>
        <w:rPr>
          <w:rFonts w:ascii="宋体" w:hAnsi="宋体" w:cs="宋体"/>
          <w:b/>
          <w:sz w:val="24"/>
          <w:lang w:eastAsia="en-US"/>
        </w:rPr>
        <w:t>定投申购费率</w:t>
      </w:r>
    </w:p>
    <w:p w:rsidR="00000000" w:rsidRDefault="00F548D5">
      <w:pPr>
        <w:pBdr>
          <w:top w:val="none" w:sz="0" w:space="0" w:color="000000"/>
          <w:left w:val="none" w:sz="0" w:space="0" w:color="000000"/>
          <w:bottom w:val="none" w:sz="0" w:space="0" w:color="000000"/>
          <w:right w:val="none" w:sz="0" w:space="0" w:color="000000"/>
        </w:pBdr>
        <w:spacing w:before="120" w:after="120" w:line="360" w:lineRule="auto"/>
        <w:ind w:left="120" w:right="120"/>
        <w:rPr>
          <w:rFonts w:ascii="宋体" w:hAnsi="宋体" w:cs="宋体"/>
          <w:lang w:eastAsia="en-US"/>
        </w:rPr>
      </w:pPr>
      <w:r>
        <w:rPr>
          <w:rFonts w:ascii="宋体" w:hAnsi="宋体" w:cs="宋体"/>
          <w:sz w:val="24"/>
          <w:lang w:eastAsia="en-US"/>
        </w:rPr>
        <w:t>  </w:t>
      </w:r>
      <w:r>
        <w:rPr>
          <w:rFonts w:ascii="宋体" w:hAnsi="宋体" w:cs="宋体"/>
          <w:sz w:val="24"/>
          <w:lang w:eastAsia="en-US"/>
        </w:rPr>
        <w:t>基金定投业务的申购费率、计费方式与日常申购费率、计费方式相同。</w:t>
      </w:r>
    </w:p>
    <w:p w:rsidR="00000000" w:rsidRDefault="00F548D5">
      <w:pPr>
        <w:pBdr>
          <w:top w:val="none" w:sz="0" w:space="0" w:color="000000"/>
          <w:left w:val="none" w:sz="0" w:space="0" w:color="000000"/>
          <w:bottom w:val="none" w:sz="0" w:space="0" w:color="000000"/>
          <w:right w:val="none" w:sz="0" w:space="0" w:color="000000"/>
        </w:pBdr>
        <w:spacing w:before="120" w:after="120" w:line="360" w:lineRule="auto"/>
        <w:ind w:left="120" w:right="120"/>
        <w:rPr>
          <w:rFonts w:ascii="宋体" w:hAnsi="宋体" w:cs="宋体"/>
          <w:lang w:eastAsia="en-US"/>
        </w:rPr>
      </w:pPr>
      <w:r>
        <w:rPr>
          <w:rFonts w:ascii="宋体" w:hAnsi="宋体" w:cs="宋体"/>
          <w:sz w:val="24"/>
          <w:lang w:eastAsia="en-US"/>
        </w:rPr>
        <w:t>  </w:t>
      </w:r>
      <w:r>
        <w:rPr>
          <w:rFonts w:ascii="宋体" w:hAnsi="宋体" w:cs="宋体"/>
          <w:sz w:val="24"/>
          <w:lang w:eastAsia="en-US"/>
        </w:rPr>
        <w:t>本基金原费率标准详见基金合同、招募说明书等法律文件，</w:t>
      </w:r>
      <w:r>
        <w:rPr>
          <w:rFonts w:ascii="宋体" w:hAnsi="宋体" w:cs="宋体"/>
          <w:sz w:val="24"/>
          <w:lang w:eastAsia="en-US"/>
        </w:rPr>
        <w:t>以及本公司发布的最新业务公告。</w:t>
      </w:r>
    </w:p>
    <w:p w:rsidR="00000000" w:rsidRDefault="00F548D5">
      <w:pPr>
        <w:pBdr>
          <w:top w:val="none" w:sz="0" w:space="0" w:color="000000"/>
          <w:left w:val="none" w:sz="0" w:space="0" w:color="000000"/>
          <w:bottom w:val="none" w:sz="0" w:space="0" w:color="000000"/>
          <w:right w:val="none" w:sz="0" w:space="0" w:color="000000"/>
        </w:pBdr>
        <w:spacing w:before="120" w:after="120" w:line="360" w:lineRule="auto"/>
        <w:ind w:left="120" w:right="120"/>
        <w:rPr>
          <w:rFonts w:ascii="宋体" w:hAnsi="宋体" w:cs="宋体"/>
          <w:b/>
          <w:lang w:eastAsia="en-US"/>
        </w:rPr>
      </w:pPr>
      <w:r>
        <w:rPr>
          <w:rFonts w:ascii="宋体" w:hAnsi="宋体" w:cs="宋体"/>
          <w:b/>
          <w:sz w:val="24"/>
          <w:lang w:eastAsia="en-US"/>
        </w:rPr>
        <w:t>6.3 </w:t>
      </w:r>
      <w:r>
        <w:rPr>
          <w:rFonts w:ascii="宋体" w:hAnsi="宋体" w:cs="宋体"/>
          <w:b/>
          <w:sz w:val="24"/>
          <w:lang w:eastAsia="en-US"/>
        </w:rPr>
        <w:t>交易确认</w:t>
      </w:r>
    </w:p>
    <w:p w:rsidR="00000000" w:rsidRDefault="00F548D5">
      <w:pPr>
        <w:pBdr>
          <w:top w:val="none" w:sz="0" w:space="0" w:color="000000"/>
          <w:left w:val="none" w:sz="0" w:space="0" w:color="000000"/>
          <w:bottom w:val="none" w:sz="0" w:space="0" w:color="000000"/>
          <w:right w:val="none" w:sz="0" w:space="0" w:color="000000"/>
        </w:pBdr>
        <w:spacing w:before="120" w:after="120" w:line="360" w:lineRule="auto"/>
        <w:ind w:left="120" w:right="120"/>
        <w:rPr>
          <w:rFonts w:ascii="宋体" w:hAnsi="宋体" w:cs="宋体"/>
          <w:lang w:eastAsia="en-US"/>
        </w:rPr>
      </w:pPr>
      <w:r>
        <w:rPr>
          <w:rFonts w:ascii="宋体" w:hAnsi="宋体" w:cs="宋体"/>
          <w:sz w:val="24"/>
          <w:lang w:eastAsia="en-US"/>
        </w:rPr>
        <w:t>  </w:t>
      </w:r>
      <w:r>
        <w:rPr>
          <w:rFonts w:ascii="宋体" w:hAnsi="宋体" w:cs="宋体"/>
          <w:sz w:val="24"/>
          <w:lang w:eastAsia="en-US"/>
        </w:rPr>
        <w:t>每期实际扣款日即为基金申购申请日，并以该日</w:t>
      </w:r>
      <w:r>
        <w:rPr>
          <w:rFonts w:ascii="宋体" w:hAnsi="宋体" w:cs="宋体"/>
          <w:sz w:val="24"/>
          <w:lang w:eastAsia="en-US"/>
        </w:rPr>
        <w:t>(T</w:t>
      </w:r>
      <w:r>
        <w:rPr>
          <w:rFonts w:ascii="宋体" w:hAnsi="宋体" w:cs="宋体"/>
          <w:sz w:val="24"/>
          <w:lang w:eastAsia="en-US"/>
        </w:rPr>
        <w:t>日</w:t>
      </w:r>
      <w:r>
        <w:rPr>
          <w:rFonts w:ascii="宋体" w:hAnsi="宋体" w:cs="宋体"/>
          <w:sz w:val="24"/>
          <w:lang w:eastAsia="en-US"/>
        </w:rPr>
        <w:t>)</w:t>
      </w:r>
      <w:r>
        <w:rPr>
          <w:rFonts w:ascii="宋体" w:hAnsi="宋体" w:cs="宋体"/>
          <w:sz w:val="24"/>
          <w:lang w:eastAsia="en-US"/>
        </w:rPr>
        <w:t>的该类基金份额净值为基准计算申购份额，申购份额将在</w:t>
      </w:r>
      <w:r>
        <w:rPr>
          <w:rFonts w:ascii="宋体" w:hAnsi="宋体" w:cs="宋体"/>
          <w:sz w:val="24"/>
          <w:lang w:eastAsia="en-US"/>
        </w:rPr>
        <w:t>T</w:t>
      </w:r>
      <w:r>
        <w:rPr>
          <w:rFonts w:ascii="宋体" w:hAnsi="宋体" w:cs="宋体"/>
          <w:sz w:val="24"/>
          <w:lang w:eastAsia="en-US"/>
        </w:rPr>
        <w:t>＋</w:t>
      </w:r>
      <w:r>
        <w:rPr>
          <w:rFonts w:ascii="宋体" w:hAnsi="宋体" w:cs="宋体"/>
          <w:sz w:val="24"/>
          <w:lang w:eastAsia="en-US"/>
        </w:rPr>
        <w:t>1</w:t>
      </w:r>
      <w:r>
        <w:rPr>
          <w:rFonts w:ascii="宋体" w:hAnsi="宋体" w:cs="宋体"/>
          <w:sz w:val="24"/>
          <w:lang w:eastAsia="en-US"/>
        </w:rPr>
        <w:t>工作日确认成功后直接计入投资者的基金账户内。基金份额确认查询和赎回起始日为</w:t>
      </w:r>
      <w:r>
        <w:rPr>
          <w:rFonts w:ascii="宋体" w:hAnsi="宋体" w:cs="宋体"/>
          <w:sz w:val="24"/>
          <w:lang w:eastAsia="en-US"/>
        </w:rPr>
        <w:t>T</w:t>
      </w:r>
      <w:r>
        <w:rPr>
          <w:rFonts w:ascii="宋体" w:hAnsi="宋体" w:cs="宋体"/>
          <w:sz w:val="24"/>
          <w:lang w:eastAsia="en-US"/>
        </w:rPr>
        <w:t>＋</w:t>
      </w:r>
      <w:r>
        <w:rPr>
          <w:rFonts w:ascii="宋体" w:hAnsi="宋体" w:cs="宋体"/>
          <w:sz w:val="24"/>
          <w:lang w:eastAsia="en-US"/>
        </w:rPr>
        <w:t>2</w:t>
      </w:r>
      <w:r>
        <w:rPr>
          <w:rFonts w:ascii="宋体" w:hAnsi="宋体" w:cs="宋体"/>
          <w:sz w:val="24"/>
          <w:lang w:eastAsia="en-US"/>
        </w:rPr>
        <w:t>工作日。</w:t>
      </w:r>
    </w:p>
    <w:p w:rsidR="00000000" w:rsidRDefault="00F548D5">
      <w:pPr>
        <w:pBdr>
          <w:top w:val="none" w:sz="0" w:space="0" w:color="000000"/>
          <w:left w:val="none" w:sz="0" w:space="0" w:color="000000"/>
          <w:bottom w:val="none" w:sz="0" w:space="0" w:color="000000"/>
          <w:right w:val="none" w:sz="0" w:space="0" w:color="000000"/>
        </w:pBdr>
        <w:spacing w:before="120" w:after="120" w:line="360" w:lineRule="auto"/>
        <w:ind w:left="120" w:right="120"/>
        <w:rPr>
          <w:rFonts w:ascii="宋体" w:hAnsi="宋体" w:cs="宋体"/>
          <w:lang w:eastAsia="en-US"/>
        </w:rPr>
      </w:pPr>
      <w:r>
        <w:rPr>
          <w:rFonts w:ascii="宋体" w:hAnsi="宋体" w:cs="宋体"/>
          <w:b/>
          <w:sz w:val="24"/>
          <w:lang w:eastAsia="en-US"/>
        </w:rPr>
        <w:t>6.4 </w:t>
      </w:r>
      <w:r>
        <w:rPr>
          <w:rFonts w:ascii="宋体" w:hAnsi="宋体" w:cs="宋体"/>
          <w:b/>
          <w:sz w:val="24"/>
          <w:lang w:eastAsia="en-US"/>
        </w:rPr>
        <w:t>变更与解约</w:t>
      </w:r>
    </w:p>
    <w:p w:rsidR="00000000" w:rsidRDefault="00F548D5">
      <w:pPr>
        <w:spacing w:line="360" w:lineRule="auto"/>
        <w:rPr>
          <w:lang w:eastAsia="en-US"/>
        </w:rPr>
      </w:pPr>
      <w:r>
        <w:rPr>
          <w:rFonts w:ascii="宋体" w:hAnsi="宋体" w:cs="宋体"/>
          <w:sz w:val="24"/>
          <w:lang w:eastAsia="en-US"/>
        </w:rPr>
        <w:t>  </w:t>
      </w:r>
      <w:r>
        <w:rPr>
          <w:rFonts w:ascii="宋体" w:hAnsi="宋体" w:cs="宋体"/>
          <w:sz w:val="24"/>
          <w:lang w:eastAsia="en-US"/>
        </w:rPr>
        <w:t>如果投资人变更每期申购金额、扣款日期、扣款方式或者终止定投业务，请遵循销售机构的相关规定。</w:t>
      </w:r>
    </w:p>
    <w:p w:rsidR="00000000" w:rsidRDefault="00F548D5">
      <w:pPr>
        <w:rPr>
          <w:rFonts w:ascii="宋体" w:hAnsi="宋体"/>
          <w:b/>
          <w:sz w:val="24"/>
          <w:szCs w:val="24"/>
          <w:lang w:eastAsia="en-US"/>
        </w:rPr>
      </w:pPr>
      <w:r>
        <w:rPr>
          <w:rFonts w:ascii="宋体" w:hAnsi="宋体" w:hint="eastAsia"/>
          <w:b/>
          <w:sz w:val="24"/>
          <w:szCs w:val="24"/>
          <w:lang w:eastAsia="en-US"/>
        </w:rPr>
        <w:t xml:space="preserve">7 </w:t>
      </w:r>
      <w:r>
        <w:rPr>
          <w:rFonts w:ascii="宋体" w:hAnsi="宋体" w:hint="eastAsia"/>
          <w:b/>
          <w:sz w:val="24"/>
          <w:szCs w:val="24"/>
          <w:lang w:eastAsia="en-US"/>
        </w:rPr>
        <w:t>基金销售机构</w:t>
      </w:r>
    </w:p>
    <w:p w:rsidR="00000000" w:rsidRDefault="00F548D5">
      <w:pPr>
        <w:rPr>
          <w:lang w:eastAsia="en-US"/>
        </w:rPr>
      </w:pPr>
    </w:p>
    <w:p w:rsidR="00000000" w:rsidRDefault="00F548D5">
      <w:pPr>
        <w:rPr>
          <w:rFonts w:ascii="宋体" w:hAnsi="宋体"/>
          <w:b/>
          <w:sz w:val="24"/>
          <w:szCs w:val="24"/>
          <w:lang w:eastAsia="en-US"/>
        </w:rPr>
      </w:pPr>
      <w:r>
        <w:rPr>
          <w:rFonts w:ascii="宋体" w:hAnsi="宋体" w:hint="eastAsia"/>
          <w:b/>
          <w:sz w:val="24"/>
          <w:szCs w:val="24"/>
          <w:lang w:eastAsia="en-US"/>
        </w:rPr>
        <w:t xml:space="preserve">7.1 </w:t>
      </w:r>
      <w:r>
        <w:rPr>
          <w:rFonts w:ascii="宋体" w:hAnsi="宋体"/>
          <w:b/>
          <w:sz w:val="24"/>
          <w:szCs w:val="24"/>
          <w:lang w:eastAsia="en-US"/>
        </w:rPr>
        <w:t>直销机构</w:t>
      </w:r>
    </w:p>
    <w:p w:rsidR="00000000" w:rsidRDefault="00F548D5">
      <w:pPr>
        <w:spacing w:line="360" w:lineRule="auto"/>
        <w:ind w:firstLine="720"/>
        <w:rPr>
          <w:lang w:eastAsia="en-US"/>
        </w:rPr>
      </w:pPr>
      <w:r>
        <w:rPr>
          <w:rFonts w:ascii="宋体" w:hAnsi="宋体" w:cs="宋体"/>
          <w:color w:val="000000"/>
          <w:sz w:val="24"/>
          <w:lang w:eastAsia="en-US"/>
        </w:rPr>
        <w:t>1</w:t>
      </w:r>
      <w:r>
        <w:rPr>
          <w:rFonts w:ascii="宋体" w:hAnsi="宋体" w:cs="宋体"/>
          <w:color w:val="000000"/>
          <w:sz w:val="24"/>
          <w:lang w:eastAsia="en-US"/>
        </w:rPr>
        <w:t>）永赢基金管理有限公司直销中心</w:t>
      </w:r>
    </w:p>
    <w:p w:rsidR="00000000" w:rsidRDefault="00F548D5">
      <w:pPr>
        <w:spacing w:line="360" w:lineRule="auto"/>
        <w:ind w:firstLine="720"/>
        <w:rPr>
          <w:lang w:eastAsia="en-US"/>
        </w:rPr>
      </w:pPr>
      <w:r>
        <w:rPr>
          <w:rFonts w:ascii="宋体" w:hAnsi="宋体" w:cs="宋体"/>
          <w:color w:val="000000"/>
          <w:sz w:val="24"/>
          <w:lang w:eastAsia="en-US"/>
        </w:rPr>
        <w:t>住所：浙江省宁波市鄞州区中山东路</w:t>
      </w:r>
      <w:r>
        <w:rPr>
          <w:rFonts w:ascii="宋体" w:hAnsi="宋体" w:cs="宋体"/>
          <w:color w:val="000000"/>
          <w:sz w:val="24"/>
          <w:lang w:eastAsia="en-US"/>
        </w:rPr>
        <w:t>466</w:t>
      </w:r>
      <w:r>
        <w:rPr>
          <w:rFonts w:ascii="宋体" w:hAnsi="宋体" w:cs="宋体"/>
          <w:color w:val="000000"/>
          <w:sz w:val="24"/>
          <w:lang w:eastAsia="en-US"/>
        </w:rPr>
        <w:t>号</w:t>
      </w:r>
    </w:p>
    <w:p w:rsidR="00000000" w:rsidRDefault="00F548D5">
      <w:pPr>
        <w:spacing w:line="360" w:lineRule="auto"/>
        <w:ind w:firstLine="720"/>
        <w:rPr>
          <w:lang w:eastAsia="en-US"/>
        </w:rPr>
      </w:pPr>
      <w:r>
        <w:rPr>
          <w:rFonts w:ascii="宋体" w:hAnsi="宋体" w:cs="宋体"/>
          <w:color w:val="000000"/>
          <w:sz w:val="24"/>
          <w:lang w:eastAsia="en-US"/>
        </w:rPr>
        <w:t>办公地址：上海市浦东新区世纪大道</w:t>
      </w:r>
      <w:r>
        <w:rPr>
          <w:rFonts w:ascii="宋体" w:hAnsi="宋体" w:cs="宋体"/>
          <w:color w:val="000000"/>
          <w:sz w:val="24"/>
          <w:lang w:eastAsia="en-US"/>
        </w:rPr>
        <w:t>210</w:t>
      </w:r>
      <w:r>
        <w:rPr>
          <w:rFonts w:ascii="宋体" w:hAnsi="宋体" w:cs="宋体"/>
          <w:color w:val="000000"/>
          <w:sz w:val="24"/>
          <w:lang w:eastAsia="en-US"/>
        </w:rPr>
        <w:t>号二十一世纪大厦</w:t>
      </w:r>
      <w:r>
        <w:rPr>
          <w:rFonts w:ascii="宋体" w:hAnsi="宋体" w:cs="宋体"/>
          <w:color w:val="000000"/>
          <w:sz w:val="24"/>
          <w:lang w:eastAsia="en-US"/>
        </w:rPr>
        <w:t>27</w:t>
      </w:r>
      <w:r>
        <w:rPr>
          <w:rFonts w:ascii="宋体" w:hAnsi="宋体" w:cs="宋体"/>
          <w:color w:val="000000"/>
          <w:sz w:val="24"/>
          <w:lang w:eastAsia="en-US"/>
        </w:rPr>
        <w:t>层</w:t>
      </w:r>
    </w:p>
    <w:p w:rsidR="00000000" w:rsidRDefault="00F548D5">
      <w:pPr>
        <w:spacing w:line="360" w:lineRule="auto"/>
        <w:ind w:firstLine="720"/>
        <w:rPr>
          <w:lang w:eastAsia="en-US"/>
        </w:rPr>
      </w:pPr>
      <w:r>
        <w:rPr>
          <w:rFonts w:ascii="宋体" w:hAnsi="宋体" w:cs="宋体"/>
          <w:color w:val="000000"/>
          <w:sz w:val="24"/>
          <w:lang w:eastAsia="en-US"/>
        </w:rPr>
        <w:t>联系人：施筱程</w:t>
      </w:r>
    </w:p>
    <w:p w:rsidR="00000000" w:rsidRDefault="00F548D5">
      <w:pPr>
        <w:spacing w:line="360" w:lineRule="auto"/>
        <w:ind w:firstLine="720"/>
        <w:rPr>
          <w:lang w:eastAsia="en-US"/>
        </w:rPr>
      </w:pPr>
      <w:r>
        <w:rPr>
          <w:rFonts w:ascii="宋体" w:hAnsi="宋体" w:cs="宋体"/>
          <w:color w:val="000000"/>
          <w:sz w:val="24"/>
          <w:lang w:eastAsia="en-US"/>
        </w:rPr>
        <w:t>联系电话：</w:t>
      </w:r>
      <w:r>
        <w:rPr>
          <w:rFonts w:ascii="宋体" w:hAnsi="宋体" w:cs="宋体"/>
          <w:color w:val="000000"/>
          <w:sz w:val="24"/>
          <w:lang w:eastAsia="en-US"/>
        </w:rPr>
        <w:t>021-51690103</w:t>
      </w:r>
    </w:p>
    <w:p w:rsidR="00000000" w:rsidRDefault="00F548D5">
      <w:pPr>
        <w:spacing w:line="360" w:lineRule="auto"/>
        <w:ind w:firstLine="720"/>
        <w:rPr>
          <w:lang w:eastAsia="en-US"/>
        </w:rPr>
      </w:pPr>
      <w:r>
        <w:rPr>
          <w:rFonts w:ascii="宋体" w:hAnsi="宋体" w:cs="宋体"/>
          <w:color w:val="000000"/>
          <w:sz w:val="24"/>
          <w:lang w:eastAsia="en-US"/>
        </w:rPr>
        <w:t>客服热线：</w:t>
      </w:r>
      <w:r>
        <w:rPr>
          <w:rFonts w:ascii="宋体" w:hAnsi="宋体" w:cs="宋体"/>
          <w:color w:val="000000"/>
          <w:sz w:val="24"/>
          <w:lang w:eastAsia="en-US"/>
        </w:rPr>
        <w:t>400-805-8888</w:t>
      </w:r>
    </w:p>
    <w:p w:rsidR="00000000" w:rsidRDefault="00F548D5">
      <w:pPr>
        <w:spacing w:line="360" w:lineRule="auto"/>
        <w:ind w:firstLine="720"/>
        <w:rPr>
          <w:lang w:eastAsia="en-US"/>
        </w:rPr>
      </w:pPr>
      <w:r>
        <w:rPr>
          <w:rFonts w:ascii="宋体" w:hAnsi="宋体" w:cs="宋体"/>
          <w:color w:val="000000"/>
          <w:sz w:val="24"/>
          <w:lang w:eastAsia="en-US"/>
        </w:rPr>
        <w:t>传真：</w:t>
      </w:r>
      <w:r>
        <w:rPr>
          <w:rFonts w:ascii="宋体" w:hAnsi="宋体" w:cs="宋体"/>
          <w:color w:val="000000"/>
          <w:sz w:val="24"/>
          <w:lang w:eastAsia="en-US"/>
        </w:rPr>
        <w:t>021-68878782</w:t>
      </w:r>
      <w:r>
        <w:rPr>
          <w:rFonts w:ascii="宋体" w:hAnsi="宋体" w:cs="宋体"/>
          <w:color w:val="000000"/>
          <w:sz w:val="24"/>
          <w:lang w:eastAsia="en-US"/>
        </w:rPr>
        <w:t>、</w:t>
      </w:r>
      <w:r>
        <w:rPr>
          <w:rFonts w:ascii="宋体" w:hAnsi="宋体" w:cs="宋体"/>
          <w:color w:val="000000"/>
          <w:sz w:val="24"/>
          <w:lang w:eastAsia="en-US"/>
        </w:rPr>
        <w:t>68878773</w:t>
      </w:r>
    </w:p>
    <w:p w:rsidR="00000000" w:rsidRDefault="00F548D5">
      <w:pPr>
        <w:spacing w:line="360" w:lineRule="auto"/>
        <w:ind w:firstLine="720"/>
        <w:rPr>
          <w:lang w:eastAsia="en-US"/>
        </w:rPr>
      </w:pPr>
      <w:r>
        <w:rPr>
          <w:rFonts w:ascii="宋体" w:hAnsi="宋体" w:cs="宋体"/>
          <w:color w:val="000000"/>
          <w:sz w:val="24"/>
          <w:lang w:eastAsia="en-US"/>
        </w:rPr>
        <w:t>网址：</w:t>
      </w:r>
      <w:r>
        <w:rPr>
          <w:rFonts w:ascii="宋体" w:hAnsi="宋体" w:cs="宋体"/>
          <w:color w:val="000000"/>
          <w:sz w:val="24"/>
          <w:lang w:eastAsia="en-US"/>
        </w:rPr>
        <w:t>www.maxwealthfund.com</w:t>
      </w:r>
    </w:p>
    <w:p w:rsidR="00000000" w:rsidRDefault="00F548D5">
      <w:pPr>
        <w:spacing w:line="360" w:lineRule="auto"/>
        <w:ind w:firstLine="720"/>
        <w:rPr>
          <w:lang w:eastAsia="en-US"/>
        </w:rPr>
      </w:pPr>
      <w:r>
        <w:rPr>
          <w:rFonts w:ascii="宋体" w:hAnsi="宋体" w:cs="宋体"/>
          <w:color w:val="000000"/>
          <w:sz w:val="24"/>
          <w:lang w:eastAsia="en-US"/>
        </w:rPr>
        <w:t>电子邮件：</w:t>
      </w:r>
      <w:r>
        <w:rPr>
          <w:rFonts w:ascii="宋体" w:hAnsi="宋体" w:cs="宋体"/>
          <w:color w:val="000000"/>
          <w:sz w:val="24"/>
          <w:lang w:eastAsia="en-US"/>
        </w:rPr>
        <w:t>service@maxwealthfund.com</w:t>
      </w:r>
    </w:p>
    <w:p w:rsidR="00000000" w:rsidRDefault="00F548D5">
      <w:pPr>
        <w:spacing w:line="360" w:lineRule="auto"/>
        <w:ind w:firstLine="720"/>
        <w:rPr>
          <w:lang w:eastAsia="en-US"/>
        </w:rPr>
      </w:pPr>
      <w:r>
        <w:rPr>
          <w:rFonts w:ascii="宋体" w:hAnsi="宋体" w:cs="宋体"/>
          <w:color w:val="000000"/>
          <w:sz w:val="24"/>
          <w:lang w:eastAsia="en-US"/>
        </w:rPr>
        <w:t>2</w:t>
      </w:r>
      <w:r>
        <w:rPr>
          <w:rFonts w:ascii="宋体" w:hAnsi="宋体" w:cs="宋体"/>
          <w:color w:val="000000"/>
          <w:sz w:val="24"/>
          <w:lang w:eastAsia="en-US"/>
        </w:rPr>
        <w:t>）永赢基金管理有限公司网上交易系统</w:t>
      </w:r>
    </w:p>
    <w:p w:rsidR="00000000" w:rsidRDefault="00F548D5">
      <w:pPr>
        <w:spacing w:line="360" w:lineRule="auto"/>
        <w:ind w:firstLine="720"/>
        <w:rPr>
          <w:lang w:eastAsia="en-US"/>
        </w:rPr>
      </w:pPr>
      <w:r>
        <w:rPr>
          <w:rFonts w:ascii="宋体" w:hAnsi="宋体" w:cs="宋体"/>
          <w:color w:val="000000"/>
          <w:sz w:val="24"/>
          <w:lang w:eastAsia="en-US"/>
        </w:rPr>
        <w:t>网址：</w:t>
      </w:r>
      <w:r>
        <w:rPr>
          <w:rFonts w:ascii="宋体" w:hAnsi="宋体" w:cs="宋体"/>
          <w:color w:val="000000"/>
          <w:sz w:val="24"/>
          <w:lang w:eastAsia="en-US"/>
        </w:rPr>
        <w:t>www.maxwealthfund.com</w:t>
      </w:r>
    </w:p>
    <w:p w:rsidR="00000000" w:rsidRDefault="00F548D5">
      <w:pPr>
        <w:spacing w:line="360" w:lineRule="auto"/>
        <w:ind w:firstLine="720"/>
        <w:rPr>
          <w:lang w:eastAsia="en-US"/>
        </w:rPr>
      </w:pPr>
      <w:r>
        <w:rPr>
          <w:rFonts w:ascii="宋体" w:hAnsi="宋体" w:cs="宋体"/>
          <w:color w:val="000000"/>
          <w:sz w:val="24"/>
          <w:lang w:eastAsia="en-US"/>
        </w:rPr>
        <w:t>3</w:t>
      </w:r>
      <w:r>
        <w:rPr>
          <w:rFonts w:ascii="宋体" w:hAnsi="宋体" w:cs="宋体"/>
          <w:color w:val="000000"/>
          <w:sz w:val="24"/>
          <w:lang w:eastAsia="en-US"/>
        </w:rPr>
        <w:t>）永赢基金管理有限公司微信交易系统</w:t>
      </w:r>
    </w:p>
    <w:p w:rsidR="00000000" w:rsidRDefault="00F548D5">
      <w:pPr>
        <w:spacing w:line="360" w:lineRule="auto"/>
        <w:ind w:firstLine="720"/>
        <w:rPr>
          <w:lang w:eastAsia="en-US"/>
        </w:rPr>
      </w:pPr>
      <w:r>
        <w:rPr>
          <w:rFonts w:ascii="宋体" w:hAnsi="宋体" w:cs="宋体"/>
          <w:color w:val="000000"/>
          <w:sz w:val="24"/>
          <w:lang w:eastAsia="en-US"/>
        </w:rPr>
        <w:t>官方微信服务号：在微信中搜索公众号</w:t>
      </w:r>
      <w:r>
        <w:rPr>
          <w:rFonts w:ascii="宋体" w:hAnsi="宋体" w:cs="宋体"/>
          <w:color w:val="000000"/>
          <w:sz w:val="24"/>
          <w:lang w:eastAsia="en-US"/>
        </w:rPr>
        <w:t>“</w:t>
      </w:r>
      <w:r>
        <w:rPr>
          <w:rFonts w:ascii="宋体" w:hAnsi="宋体" w:cs="宋体"/>
          <w:color w:val="000000"/>
          <w:sz w:val="24"/>
          <w:lang w:eastAsia="en-US"/>
        </w:rPr>
        <w:t>永赢基金</w:t>
      </w:r>
      <w:r>
        <w:rPr>
          <w:rFonts w:ascii="宋体" w:hAnsi="宋体" w:cs="宋体"/>
          <w:color w:val="000000"/>
          <w:sz w:val="24"/>
          <w:lang w:eastAsia="en-US"/>
        </w:rPr>
        <w:t>”</w:t>
      </w:r>
      <w:r>
        <w:rPr>
          <w:rFonts w:ascii="宋体" w:hAnsi="宋体" w:cs="宋体"/>
          <w:color w:val="000000"/>
          <w:sz w:val="24"/>
          <w:lang w:eastAsia="en-US"/>
        </w:rPr>
        <w:t>并选择关注</w:t>
      </w:r>
    </w:p>
    <w:p w:rsidR="00000000" w:rsidRDefault="00F548D5">
      <w:pPr>
        <w:spacing w:line="360" w:lineRule="auto"/>
        <w:ind w:firstLine="720"/>
        <w:rPr>
          <w:lang w:eastAsia="en-US"/>
        </w:rPr>
      </w:pPr>
      <w:r>
        <w:rPr>
          <w:rFonts w:ascii="宋体" w:hAnsi="宋体" w:cs="宋体"/>
          <w:color w:val="000000"/>
          <w:sz w:val="24"/>
          <w:lang w:eastAsia="en-US"/>
        </w:rPr>
        <w:t>投资人可通过本公司直销机构办理本基金的申购、赎回</w:t>
      </w:r>
      <w:r>
        <w:rPr>
          <w:rFonts w:ascii="宋体" w:hAnsi="宋体" w:cs="宋体"/>
          <w:color w:val="000000"/>
          <w:sz w:val="24"/>
          <w:lang w:eastAsia="en-US"/>
        </w:rPr>
        <w:t>、转换等业务，并可通过线上直销渠道办理本基金定投业务。本公司直销柜台暂未开通定投业务。</w:t>
      </w:r>
    </w:p>
    <w:p w:rsidR="00000000" w:rsidRDefault="00F548D5">
      <w:pPr>
        <w:rPr>
          <w:rFonts w:ascii="宋体" w:hAnsi="宋体"/>
          <w:b/>
          <w:sz w:val="24"/>
          <w:szCs w:val="24"/>
          <w:lang w:eastAsia="en-US"/>
        </w:rPr>
      </w:pPr>
      <w:r>
        <w:rPr>
          <w:rFonts w:ascii="宋体" w:hAnsi="宋体" w:hint="eastAsia"/>
          <w:b/>
          <w:sz w:val="24"/>
          <w:szCs w:val="24"/>
          <w:lang w:eastAsia="en-US"/>
        </w:rPr>
        <w:t xml:space="preserve">7.2 </w:t>
      </w:r>
      <w:r>
        <w:rPr>
          <w:rFonts w:ascii="宋体" w:hAnsi="宋体"/>
          <w:b/>
          <w:sz w:val="24"/>
          <w:szCs w:val="24"/>
          <w:lang w:eastAsia="en-US"/>
        </w:rPr>
        <w:t>代销机构</w:t>
      </w:r>
    </w:p>
    <w:p w:rsidR="00000000" w:rsidRDefault="00F548D5">
      <w:pPr>
        <w:spacing w:line="360" w:lineRule="auto"/>
        <w:ind w:firstLine="480"/>
        <w:rPr>
          <w:rFonts w:ascii="宋体" w:hAnsi="宋体" w:cs="宋体"/>
          <w:lang w:eastAsia="en-US"/>
        </w:rPr>
      </w:pPr>
      <w:r>
        <w:rPr>
          <w:rFonts w:ascii="宋体" w:hAnsi="宋体" w:cs="宋体"/>
          <w:sz w:val="24"/>
          <w:szCs w:val="24"/>
          <w:lang w:eastAsia="en-US"/>
        </w:rPr>
        <w:t>代销机构名单请详见基金管理人网站。</w:t>
      </w:r>
    </w:p>
    <w:p w:rsidR="00000000" w:rsidRDefault="00F548D5">
      <w:pPr>
        <w:spacing w:line="360" w:lineRule="auto"/>
        <w:ind w:firstLine="480"/>
        <w:rPr>
          <w:rFonts w:ascii="宋体" w:hAnsi="宋体" w:cs="宋体"/>
          <w:lang w:eastAsia="en-US"/>
        </w:rPr>
      </w:pPr>
      <w:r>
        <w:rPr>
          <w:rFonts w:ascii="宋体" w:hAnsi="宋体" w:cs="宋体"/>
          <w:sz w:val="24"/>
          <w:szCs w:val="24"/>
          <w:lang w:eastAsia="en-US"/>
        </w:rPr>
        <w:t>基金管理人可以根据情况变化、增加或者减少销售机构，并在基金管理人网站披露最新的销售机构名单。各销售机构提供的基金销售服务可能有所差异，具体请咨询各销售机构。</w:t>
      </w:r>
    </w:p>
    <w:p w:rsidR="00000000" w:rsidRDefault="00F548D5">
      <w:pPr>
        <w:spacing w:line="360" w:lineRule="auto"/>
        <w:ind w:firstLine="420"/>
        <w:rPr>
          <w:lang w:eastAsia="en-US"/>
        </w:rPr>
      </w:pPr>
    </w:p>
    <w:p w:rsidR="00000000" w:rsidRDefault="00F548D5">
      <w:pPr>
        <w:rPr>
          <w:rFonts w:ascii="宋体" w:hAnsi="宋体"/>
          <w:b/>
          <w:sz w:val="24"/>
          <w:szCs w:val="24"/>
          <w:lang w:eastAsia="en-US"/>
        </w:rPr>
      </w:pPr>
      <w:r>
        <w:rPr>
          <w:rFonts w:ascii="宋体" w:hAnsi="宋体" w:hint="eastAsia"/>
          <w:b/>
          <w:sz w:val="24"/>
          <w:szCs w:val="24"/>
          <w:lang w:eastAsia="en-US"/>
        </w:rPr>
        <w:t xml:space="preserve">8 </w:t>
      </w:r>
      <w:r>
        <w:rPr>
          <w:rFonts w:ascii="宋体" w:hAnsi="宋体" w:hint="eastAsia"/>
          <w:b/>
          <w:sz w:val="24"/>
          <w:szCs w:val="24"/>
          <w:lang w:eastAsia="en-US"/>
        </w:rPr>
        <w:t>基金份额净值公告</w:t>
      </w:r>
      <w:r>
        <w:rPr>
          <w:rFonts w:ascii="宋体" w:hAnsi="宋体" w:hint="eastAsia"/>
          <w:b/>
          <w:sz w:val="24"/>
          <w:szCs w:val="24"/>
          <w:lang w:eastAsia="en-US"/>
        </w:rPr>
        <w:t>/</w:t>
      </w:r>
      <w:r>
        <w:rPr>
          <w:rFonts w:ascii="宋体" w:hAnsi="宋体" w:hint="eastAsia"/>
          <w:b/>
          <w:sz w:val="24"/>
          <w:szCs w:val="24"/>
          <w:lang w:eastAsia="en-US"/>
        </w:rPr>
        <w:t>基金收益公告的披露安排</w:t>
      </w:r>
    </w:p>
    <w:p w:rsidR="00000000" w:rsidRDefault="00F548D5">
      <w:pPr>
        <w:spacing w:line="360" w:lineRule="auto"/>
        <w:ind w:firstLine="720"/>
        <w:rPr>
          <w:lang w:eastAsia="en-US"/>
        </w:rPr>
      </w:pPr>
      <w:r>
        <w:rPr>
          <w:rFonts w:ascii="宋体" w:hAnsi="宋体" w:cs="宋体"/>
          <w:color w:val="000000"/>
          <w:sz w:val="24"/>
          <w:lang w:eastAsia="en-US"/>
        </w:rPr>
        <w:t>本公司将根据《永赢锐见先锋混合型证券投资基金基金合同》和《永赢锐见先锋混合型证券投资基金招募说明书》的有关规定，在开始办理基金份额申购或者赎回后，本公司将在不晚于每</w:t>
      </w:r>
      <w:r>
        <w:rPr>
          <w:rFonts w:ascii="宋体" w:hAnsi="宋体" w:cs="宋体"/>
          <w:color w:val="000000"/>
          <w:sz w:val="24"/>
          <w:lang w:eastAsia="en-US"/>
        </w:rPr>
        <w:t>个开放日的次日，通过规定网站、基金销售机构网站或者营业网点披露开放日的各类基金份额的基金份额净值和各类基金份额的基金份额累计净值；并在不晚于半年度和年度最后一日的次日，在规定网站披露半年度和年度最后一日各类基金份额的基金份额净值和各类基金份额的基金份额累计净值。</w:t>
      </w:r>
    </w:p>
    <w:p w:rsidR="00000000" w:rsidRDefault="00F548D5">
      <w:pPr>
        <w:spacing w:line="360" w:lineRule="auto"/>
        <w:ind w:firstLine="720"/>
        <w:rPr>
          <w:lang w:eastAsia="en-US"/>
        </w:rPr>
      </w:pPr>
      <w:r>
        <w:rPr>
          <w:rFonts w:ascii="宋体" w:hAnsi="宋体" w:cs="宋体"/>
          <w:color w:val="000000"/>
          <w:sz w:val="24"/>
          <w:lang w:eastAsia="en-US"/>
        </w:rPr>
        <w:t>遇特殊情况，经履行适当程序，可以适当延迟计算或公告。</w:t>
      </w:r>
    </w:p>
    <w:p w:rsidR="00000000" w:rsidRDefault="00F548D5">
      <w:pPr>
        <w:spacing w:line="360" w:lineRule="auto"/>
        <w:ind w:firstLine="720"/>
        <w:rPr>
          <w:lang w:eastAsia="en-US"/>
        </w:rPr>
      </w:pPr>
      <w:r>
        <w:rPr>
          <w:rFonts w:ascii="宋体" w:hAnsi="宋体" w:cs="宋体"/>
          <w:color w:val="000000"/>
          <w:sz w:val="24"/>
          <w:lang w:eastAsia="en-US"/>
        </w:rPr>
        <w:t>敬请投资者留意。</w:t>
      </w:r>
    </w:p>
    <w:p w:rsidR="00000000" w:rsidRDefault="00F548D5">
      <w:pPr>
        <w:rPr>
          <w:rFonts w:ascii="宋体" w:hAnsi="宋体"/>
          <w:b/>
          <w:sz w:val="24"/>
          <w:szCs w:val="24"/>
          <w:lang w:eastAsia="en-US"/>
        </w:rPr>
      </w:pPr>
      <w:r>
        <w:rPr>
          <w:rFonts w:ascii="宋体" w:hAnsi="宋体" w:hint="eastAsia"/>
          <w:b/>
          <w:sz w:val="24"/>
          <w:szCs w:val="24"/>
          <w:lang w:eastAsia="en-US"/>
        </w:rPr>
        <w:t xml:space="preserve">9 </w:t>
      </w:r>
      <w:r>
        <w:rPr>
          <w:rFonts w:ascii="宋体" w:hAnsi="宋体" w:hint="eastAsia"/>
          <w:b/>
          <w:sz w:val="24"/>
          <w:szCs w:val="24"/>
          <w:lang w:eastAsia="en-US"/>
        </w:rPr>
        <w:t>其他需要提示的事项</w:t>
      </w:r>
    </w:p>
    <w:p w:rsidR="00000000" w:rsidRDefault="00F548D5">
      <w:pPr>
        <w:spacing w:line="360" w:lineRule="auto"/>
        <w:ind w:firstLine="720"/>
        <w:rPr>
          <w:lang w:eastAsia="en-US"/>
        </w:rPr>
      </w:pPr>
      <w:r>
        <w:rPr>
          <w:rFonts w:ascii="宋体" w:hAnsi="宋体" w:cs="宋体"/>
          <w:color w:val="000000"/>
          <w:sz w:val="24"/>
          <w:lang w:eastAsia="en-US"/>
        </w:rPr>
        <w:t>本公告仅对本基金开放日常申购、赎回、转换、定投业务的有关事项予以说明。投资者欲了解本基金的详细情况，请仔细阅读登载于规定信息披露媒介上的《永赢锐见先锋混</w:t>
      </w:r>
      <w:r>
        <w:rPr>
          <w:rFonts w:ascii="宋体" w:hAnsi="宋体" w:cs="宋体"/>
          <w:color w:val="000000"/>
          <w:sz w:val="24"/>
          <w:lang w:eastAsia="en-US"/>
        </w:rPr>
        <w:t>合型证券投资基金基金合同》和《永赢锐见先锋混合型证券投资基金招募说明书》及其更新（如有）等。</w:t>
      </w:r>
    </w:p>
    <w:p w:rsidR="00000000" w:rsidRDefault="00F548D5">
      <w:pPr>
        <w:pBdr>
          <w:top w:val="none" w:sz="0" w:space="0" w:color="000000"/>
          <w:left w:val="none" w:sz="0" w:space="0" w:color="000000"/>
          <w:bottom w:val="none" w:sz="0" w:space="0" w:color="000000"/>
          <w:right w:val="none" w:sz="0" w:space="0" w:color="000000"/>
        </w:pBdr>
        <w:spacing w:before="29" w:line="360" w:lineRule="auto"/>
        <w:ind w:left="17" w:firstLine="480"/>
        <w:rPr>
          <w:rFonts w:ascii="宋体" w:hAnsi="宋体" w:cs="宋体"/>
          <w:sz w:val="24"/>
          <w:lang w:eastAsia="en-US"/>
        </w:rPr>
      </w:pPr>
      <w:r>
        <w:rPr>
          <w:rFonts w:ascii="宋体" w:hAnsi="宋体" w:cs="宋体"/>
          <w:color w:val="000000"/>
          <w:sz w:val="24"/>
          <w:lang w:eastAsia="en-US"/>
        </w:rPr>
        <w:t>自</w:t>
      </w:r>
      <w:r>
        <w:rPr>
          <w:rFonts w:ascii="宋体" w:hAnsi="宋体" w:cs="宋体"/>
          <w:color w:val="000000"/>
          <w:sz w:val="24"/>
          <w:lang w:eastAsia="en-US"/>
        </w:rPr>
        <w:t>2025</w:t>
      </w:r>
      <w:r>
        <w:rPr>
          <w:rFonts w:ascii="宋体" w:hAnsi="宋体" w:cs="宋体"/>
          <w:color w:val="000000"/>
          <w:sz w:val="24"/>
          <w:lang w:eastAsia="en-US"/>
        </w:rPr>
        <w:t>年</w:t>
      </w:r>
      <w:r>
        <w:rPr>
          <w:rFonts w:ascii="宋体" w:hAnsi="宋体" w:cs="宋体"/>
          <w:color w:val="000000"/>
          <w:sz w:val="24"/>
          <w:lang w:eastAsia="en-US"/>
        </w:rPr>
        <w:t>12</w:t>
      </w:r>
      <w:r>
        <w:rPr>
          <w:rFonts w:ascii="宋体" w:hAnsi="宋体" w:cs="宋体"/>
          <w:color w:val="000000"/>
          <w:sz w:val="24"/>
          <w:lang w:eastAsia="en-US"/>
        </w:rPr>
        <w:t>月</w:t>
      </w:r>
      <w:r>
        <w:rPr>
          <w:rFonts w:ascii="宋体" w:hAnsi="宋体" w:cs="宋体"/>
          <w:color w:val="000000"/>
          <w:sz w:val="24"/>
          <w:lang w:eastAsia="en-US"/>
        </w:rPr>
        <w:t>2</w:t>
      </w:r>
      <w:r>
        <w:rPr>
          <w:rFonts w:ascii="宋体" w:hAnsi="宋体" w:cs="宋体"/>
          <w:color w:val="000000"/>
          <w:sz w:val="24"/>
          <w:lang w:eastAsia="en-US"/>
        </w:rPr>
        <w:t>日起，投资者通过本公司直销柜台办理本基金申购、转换业务，在本基金招募说明书约定的申购费、转换费（包括申购补差费及转换转出费，转换转出费中按照相关法律法规、基金招募说明书约定应当收取，并计入基金资产的部分除外）费率基础上实行</w:t>
      </w:r>
      <w:r>
        <w:rPr>
          <w:rFonts w:ascii="宋体" w:hAnsi="宋体" w:cs="宋体"/>
          <w:color w:val="000000"/>
          <w:sz w:val="24"/>
          <w:lang w:eastAsia="en-US"/>
        </w:rPr>
        <w:t>0.1</w:t>
      </w:r>
      <w:r>
        <w:rPr>
          <w:rFonts w:ascii="宋体" w:hAnsi="宋体" w:cs="宋体"/>
          <w:color w:val="000000"/>
          <w:sz w:val="24"/>
          <w:lang w:eastAsia="en-US"/>
        </w:rPr>
        <w:t>折优惠</w:t>
      </w:r>
      <w:r>
        <w:rPr>
          <w:rFonts w:ascii="宋体" w:hAnsi="宋体" w:cs="宋体" w:hint="eastAsia"/>
          <w:color w:val="000000"/>
          <w:sz w:val="24"/>
          <w:lang w:eastAsia="en-US"/>
        </w:rPr>
        <w:t>。线上直销渠道费率优惠情况详见官网</w:t>
      </w:r>
      <w:r>
        <w:rPr>
          <w:rFonts w:ascii="宋体" w:hAnsi="宋体" w:cs="宋体"/>
          <w:color w:val="000000"/>
          <w:sz w:val="24"/>
          <w:lang w:eastAsia="en-US"/>
        </w:rPr>
        <w:t>，投资者通过本公司线上直销渠道办理本基金定投业务的费率，同样适用于前述优惠。费率优惠活动适用于每笔申购费为固定金额的申请。</w:t>
      </w:r>
    </w:p>
    <w:p w:rsidR="00000000" w:rsidRDefault="00F548D5">
      <w:pPr>
        <w:pBdr>
          <w:top w:val="none" w:sz="0" w:space="0" w:color="000000"/>
          <w:left w:val="none" w:sz="0" w:space="0" w:color="000000"/>
          <w:bottom w:val="none" w:sz="0" w:space="0" w:color="000000"/>
          <w:right w:val="none" w:sz="0" w:space="0" w:color="000000"/>
        </w:pBdr>
        <w:spacing w:before="29" w:line="360" w:lineRule="auto"/>
        <w:ind w:left="17" w:firstLine="480"/>
        <w:rPr>
          <w:lang w:eastAsia="en-US"/>
        </w:rPr>
      </w:pPr>
      <w:r>
        <w:rPr>
          <w:rFonts w:ascii="宋体" w:hAnsi="宋体" w:cs="宋体"/>
          <w:color w:val="000000"/>
          <w:sz w:val="24"/>
          <w:lang w:eastAsia="en-US"/>
        </w:rPr>
        <w:t>希望了</w:t>
      </w:r>
      <w:r>
        <w:rPr>
          <w:rFonts w:ascii="宋体" w:hAnsi="宋体" w:cs="宋体"/>
          <w:color w:val="000000"/>
          <w:sz w:val="24"/>
          <w:lang w:eastAsia="en-US"/>
        </w:rPr>
        <w:t>解其他有关信息和本基金详细情况的投资者，可以登录本公司网站（</w:t>
      </w:r>
      <w:r>
        <w:rPr>
          <w:rFonts w:ascii="宋体" w:hAnsi="宋体" w:cs="宋体"/>
          <w:color w:val="000000"/>
          <w:sz w:val="24"/>
          <w:lang w:eastAsia="en-US"/>
        </w:rPr>
        <w:t>www.maxwealthfund.com</w:t>
      </w:r>
      <w:r>
        <w:rPr>
          <w:rFonts w:ascii="宋体" w:hAnsi="宋体" w:cs="宋体"/>
          <w:color w:val="000000"/>
          <w:sz w:val="24"/>
          <w:lang w:eastAsia="en-US"/>
        </w:rPr>
        <w:t>）或拨打本公司客服电话</w:t>
      </w:r>
      <w:r>
        <w:rPr>
          <w:rFonts w:ascii="宋体" w:hAnsi="宋体" w:cs="宋体"/>
          <w:color w:val="000000"/>
          <w:sz w:val="24"/>
          <w:lang w:eastAsia="en-US"/>
        </w:rPr>
        <w:t>400-805-8888</w:t>
      </w:r>
      <w:r>
        <w:rPr>
          <w:rFonts w:ascii="宋体" w:hAnsi="宋体" w:cs="宋体"/>
          <w:color w:val="000000"/>
          <w:sz w:val="24"/>
          <w:lang w:eastAsia="en-US"/>
        </w:rPr>
        <w:t>。</w:t>
      </w:r>
    </w:p>
    <w:p w:rsidR="00000000" w:rsidRDefault="00F548D5">
      <w:pPr>
        <w:spacing w:line="360" w:lineRule="auto"/>
        <w:ind w:firstLine="720"/>
        <w:rPr>
          <w:lang w:eastAsia="en-US"/>
        </w:rPr>
      </w:pPr>
      <w:r>
        <w:rPr>
          <w:rFonts w:ascii="宋体" w:hAnsi="宋体" w:cs="宋体"/>
          <w:color w:val="000000"/>
          <w:sz w:val="24"/>
          <w:lang w:eastAsia="en-US"/>
        </w:rPr>
        <w:t>风险提示：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000000" w:rsidRDefault="00F548D5">
      <w:pPr>
        <w:spacing w:line="360" w:lineRule="auto"/>
        <w:ind w:firstLine="720"/>
        <w:rPr>
          <w:lang w:eastAsia="en-US"/>
        </w:rPr>
      </w:pPr>
      <w:r>
        <w:rPr>
          <w:rFonts w:ascii="宋体" w:hAnsi="宋体" w:cs="宋体"/>
          <w:color w:val="000000"/>
          <w:sz w:val="24"/>
          <w:lang w:eastAsia="en-US"/>
        </w:rPr>
        <w:t>本基金管理人承诺以诚实信用、勤勉尽责的原则管理和运用基金资产，但不保证基金一定盈利，也不保证最低收益。基金的</w:t>
      </w:r>
      <w:r>
        <w:rPr>
          <w:rFonts w:ascii="宋体" w:hAnsi="宋体" w:cs="宋体"/>
          <w:color w:val="000000"/>
          <w:sz w:val="24"/>
          <w:lang w:eastAsia="en-US"/>
        </w:rPr>
        <w:t>过往业绩及其净值高低并不预示其未来业绩表现，基金管理人管理的其他基金的业绩不构成对本基金业绩表现的保证。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p>
    <w:p w:rsidR="00000000" w:rsidRDefault="00F548D5">
      <w:pPr>
        <w:spacing w:line="360" w:lineRule="auto"/>
        <w:rPr>
          <w:lang w:eastAsia="en-US"/>
        </w:rPr>
      </w:pPr>
    </w:p>
    <w:p w:rsidR="00000000" w:rsidRDefault="00F548D5">
      <w:pPr>
        <w:spacing w:line="360" w:lineRule="auto"/>
        <w:ind w:firstLine="480"/>
        <w:jc w:val="right"/>
        <w:rPr>
          <w:lang w:eastAsia="en-US"/>
        </w:rPr>
      </w:pPr>
      <w:bookmarkStart w:id="0" w:name="_GoBack"/>
      <w:bookmarkEnd w:id="0"/>
      <w:r>
        <w:rPr>
          <w:rFonts w:ascii="宋体" w:hAnsi="宋体" w:hint="eastAsia"/>
          <w:sz w:val="24"/>
          <w:szCs w:val="24"/>
          <w:lang w:eastAsia="en-US"/>
        </w:rPr>
        <w:t>永赢基金管理有限公司</w:t>
      </w:r>
    </w:p>
    <w:p w:rsidR="00000000" w:rsidRDefault="00F548D5">
      <w:pPr>
        <w:spacing w:line="360" w:lineRule="auto"/>
        <w:ind w:firstLine="480"/>
        <w:jc w:val="right"/>
        <w:rPr>
          <w:lang w:eastAsia="en-US"/>
        </w:rPr>
      </w:pPr>
      <w:r>
        <w:rPr>
          <w:rFonts w:ascii="宋体" w:hAnsi="宋体"/>
          <w:sz w:val="24"/>
          <w:szCs w:val="24"/>
          <w:lang w:eastAsia="en-US"/>
        </w:rPr>
        <w:t>2025</w:t>
      </w:r>
      <w:r>
        <w:rPr>
          <w:rFonts w:ascii="宋体" w:hAnsi="宋体"/>
          <w:sz w:val="24"/>
          <w:szCs w:val="24"/>
          <w:lang w:eastAsia="en-US"/>
        </w:rPr>
        <w:t>年</w:t>
      </w:r>
      <w:r>
        <w:rPr>
          <w:rFonts w:ascii="宋体" w:hAnsi="宋体"/>
          <w:sz w:val="24"/>
          <w:szCs w:val="24"/>
          <w:lang w:eastAsia="en-US"/>
        </w:rPr>
        <w:t>11</w:t>
      </w:r>
      <w:r>
        <w:rPr>
          <w:rFonts w:ascii="宋体" w:hAnsi="宋体"/>
          <w:sz w:val="24"/>
          <w:szCs w:val="24"/>
          <w:lang w:eastAsia="en-US"/>
        </w:rPr>
        <w:t>月</w:t>
      </w:r>
      <w:r>
        <w:rPr>
          <w:rFonts w:ascii="宋体" w:hAnsi="宋体"/>
          <w:sz w:val="24"/>
          <w:szCs w:val="24"/>
          <w:lang w:eastAsia="en-US"/>
        </w:rPr>
        <w:t>27</w:t>
      </w:r>
      <w:r>
        <w:rPr>
          <w:rFonts w:ascii="宋体" w:hAnsi="宋体"/>
          <w:sz w:val="24"/>
          <w:szCs w:val="24"/>
          <w:lang w:eastAsia="en-US"/>
        </w:rPr>
        <w:t>日</w:t>
      </w:r>
      <w:bookmarkStart w:id="1" w:name="_PictureBullets"/>
      <w:bookmarkEnd w:id="1"/>
    </w:p>
    <w:sectPr w:rsidR="00000000">
      <w:headerReference w:type="default" r:id="rId6"/>
      <w:footerReference w:type="default" r:id="rId7"/>
      <w:pgSz w:w="11907" w:h="16839"/>
      <w:pgMar w:top="897" w:right="1046" w:bottom="852" w:left="112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F548D5">
      <w:pPr>
        <w:rPr>
          <w:lang w:eastAsia="en-US"/>
        </w:rPr>
      </w:pPr>
      <w:r>
        <w:rPr>
          <w:lang w:eastAsia="en-US"/>
        </w:rPr>
        <w:separator/>
      </w:r>
    </w:p>
  </w:endnote>
  <w:endnote w:type="continuationSeparator" w:id="0">
    <w:p w:rsidR="00000000" w:rsidRDefault="00F548D5">
      <w:pPr>
        <w:rPr>
          <w:lang w:eastAsia="en-US"/>
        </w:rPr>
      </w:pPr>
      <w:r>
        <w:rPr>
          <w:lang w:eastAsia="en-US"/>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serif">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548D5">
    <w:pPr>
      <w:jc w:val="left"/>
      <w:rPr>
        <w:rFonts w:ascii="宋体"/>
        <w:sz w:val="24"/>
        <w:szCs w:val="24"/>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F548D5">
      <w:pPr>
        <w:rPr>
          <w:lang w:eastAsia="en-US"/>
        </w:rPr>
      </w:pPr>
      <w:r>
        <w:rPr>
          <w:lang w:eastAsia="en-US"/>
        </w:rPr>
        <w:separator/>
      </w:r>
    </w:p>
  </w:footnote>
  <w:footnote w:type="continuationSeparator" w:id="0">
    <w:p w:rsidR="00000000" w:rsidRDefault="00F548D5">
      <w:pPr>
        <w:rPr>
          <w:lang w:eastAsia="en-US"/>
        </w:rPr>
      </w:pPr>
      <w:r>
        <w:rPr>
          <w:lang w:eastAsia="en-U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548D5">
    <w:pPr>
      <w:jc w:val="left"/>
      <w:rPr>
        <w:rFonts w:ascii="宋体"/>
        <w:sz w:val="24"/>
        <w:szCs w:val="24"/>
        <w:lang w:eastAsia="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proofState w:spelling="clean"/>
  <w:stylePaneSortMethod w:val="000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48D5"/>
    <w:rsid w:val="00F548D5"/>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hint="default"/>
      <w:sz w:val="21"/>
      <w:szCs w:val="22"/>
    </w:rPr>
  </w:style>
  <w:style w:type="paragraph" w:styleId="1">
    <w:name w:val="heading 1"/>
    <w:basedOn w:val="a"/>
    <w:next w:val="a"/>
    <w:link w:val="1Char"/>
    <w:uiPriority w:val="9"/>
    <w:qFormat/>
    <w:pPr>
      <w:keepNext/>
      <w:keepLines/>
      <w:spacing w:before="480" w:after="200"/>
      <w:outlineLvl w:val="0"/>
    </w:pPr>
    <w:rPr>
      <w:rFonts w:ascii="Arial" w:hAnsi="Arial" w:cs="Arial"/>
      <w:sz w:val="40"/>
      <w:szCs w:val="40"/>
      <w:lang w:eastAsia="en-US"/>
    </w:rPr>
  </w:style>
  <w:style w:type="paragraph" w:styleId="2">
    <w:name w:val="heading 2"/>
    <w:basedOn w:val="a"/>
    <w:next w:val="a"/>
    <w:link w:val="2Char"/>
    <w:uiPriority w:val="9"/>
    <w:qFormat/>
    <w:pPr>
      <w:keepNext/>
      <w:keepLines/>
      <w:spacing w:before="360" w:after="200"/>
      <w:outlineLvl w:val="1"/>
    </w:pPr>
    <w:rPr>
      <w:rFonts w:ascii="Arial" w:hAnsi="Arial" w:cs="Arial"/>
      <w:sz w:val="34"/>
      <w:lang w:eastAsia="en-US"/>
    </w:rPr>
  </w:style>
  <w:style w:type="paragraph" w:styleId="3">
    <w:name w:val="heading 3"/>
    <w:basedOn w:val="a"/>
    <w:next w:val="a"/>
    <w:link w:val="3Char"/>
    <w:uiPriority w:val="9"/>
    <w:qFormat/>
    <w:pPr>
      <w:keepNext/>
      <w:keepLines/>
      <w:spacing w:before="320" w:after="200"/>
      <w:outlineLvl w:val="2"/>
    </w:pPr>
    <w:rPr>
      <w:rFonts w:ascii="Arial" w:hAnsi="Arial" w:cs="Arial"/>
      <w:sz w:val="30"/>
      <w:szCs w:val="30"/>
      <w:lang w:eastAsia="en-US"/>
    </w:rPr>
  </w:style>
  <w:style w:type="paragraph" w:styleId="4">
    <w:name w:val="heading 4"/>
    <w:basedOn w:val="a"/>
    <w:next w:val="a"/>
    <w:link w:val="4Char"/>
    <w:uiPriority w:val="9"/>
    <w:qFormat/>
    <w:pPr>
      <w:keepNext/>
      <w:keepLines/>
      <w:spacing w:before="320" w:after="200"/>
      <w:outlineLvl w:val="3"/>
    </w:pPr>
    <w:rPr>
      <w:rFonts w:ascii="Arial" w:hAnsi="Arial" w:cs="Arial"/>
      <w:b/>
      <w:bCs/>
      <w:sz w:val="26"/>
      <w:szCs w:val="26"/>
      <w:lang w:eastAsia="en-US"/>
    </w:rPr>
  </w:style>
  <w:style w:type="paragraph" w:styleId="5">
    <w:name w:val="heading 5"/>
    <w:basedOn w:val="a"/>
    <w:next w:val="a"/>
    <w:link w:val="5Char"/>
    <w:uiPriority w:val="9"/>
    <w:qFormat/>
    <w:pPr>
      <w:keepNext/>
      <w:keepLines/>
      <w:spacing w:before="320" w:after="200"/>
      <w:outlineLvl w:val="4"/>
    </w:pPr>
    <w:rPr>
      <w:rFonts w:ascii="Arial" w:hAnsi="Arial" w:cs="Arial"/>
      <w:b/>
      <w:bCs/>
      <w:sz w:val="24"/>
      <w:szCs w:val="24"/>
      <w:lang w:eastAsia="en-US"/>
    </w:rPr>
  </w:style>
  <w:style w:type="paragraph" w:styleId="6">
    <w:name w:val="heading 6"/>
    <w:basedOn w:val="a"/>
    <w:next w:val="a"/>
    <w:link w:val="6Char"/>
    <w:uiPriority w:val="9"/>
    <w:qFormat/>
    <w:pPr>
      <w:keepNext/>
      <w:keepLines/>
      <w:spacing w:before="320" w:after="200"/>
      <w:outlineLvl w:val="5"/>
    </w:pPr>
    <w:rPr>
      <w:rFonts w:ascii="Arial" w:hAnsi="Arial" w:cs="Arial"/>
      <w:b/>
      <w:bCs/>
      <w:sz w:val="22"/>
      <w:lang w:eastAsia="en-US"/>
    </w:rPr>
  </w:style>
  <w:style w:type="paragraph" w:styleId="7">
    <w:name w:val="heading 7"/>
    <w:basedOn w:val="a"/>
    <w:next w:val="a"/>
    <w:link w:val="7Char"/>
    <w:uiPriority w:val="9"/>
    <w:qFormat/>
    <w:pPr>
      <w:keepNext/>
      <w:keepLines/>
      <w:spacing w:before="320" w:after="200"/>
      <w:outlineLvl w:val="6"/>
    </w:pPr>
    <w:rPr>
      <w:rFonts w:ascii="Arial" w:hAnsi="Arial" w:cs="Arial"/>
      <w:b/>
      <w:bCs/>
      <w:i/>
      <w:iCs/>
      <w:sz w:val="22"/>
      <w:lang w:eastAsia="en-US"/>
    </w:rPr>
  </w:style>
  <w:style w:type="paragraph" w:styleId="8">
    <w:name w:val="heading 8"/>
    <w:basedOn w:val="a"/>
    <w:next w:val="a"/>
    <w:link w:val="8Char"/>
    <w:uiPriority w:val="9"/>
    <w:qFormat/>
    <w:pPr>
      <w:keepNext/>
      <w:keepLines/>
      <w:spacing w:before="320" w:after="200"/>
      <w:outlineLvl w:val="7"/>
    </w:pPr>
    <w:rPr>
      <w:rFonts w:ascii="Arial" w:hAnsi="Arial" w:cs="Arial"/>
      <w:i/>
      <w:iCs/>
      <w:sz w:val="22"/>
      <w:lang w:eastAsia="en-US"/>
    </w:rPr>
  </w:style>
  <w:style w:type="paragraph" w:styleId="9">
    <w:name w:val="heading 9"/>
    <w:basedOn w:val="a"/>
    <w:next w:val="a"/>
    <w:link w:val="9Char"/>
    <w:uiPriority w:val="9"/>
    <w:qFormat/>
    <w:pPr>
      <w:keepNext/>
      <w:keepLines/>
      <w:spacing w:before="320" w:after="200"/>
      <w:outlineLvl w:val="8"/>
    </w:pPr>
    <w:rPr>
      <w:rFonts w:ascii="Arial" w:hAnsi="Arial" w:cs="Arial"/>
      <w:i/>
      <w:iCs/>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numbering" w:default="1" w:styleId="a2">
    <w:name w:val="No List"/>
    <w:uiPriority w:val="99"/>
    <w:semiHidden/>
    <w:unhideWhenUsed/>
  </w:style>
  <w:style w:type="table" w:customStyle="1" w:styleId="NormalTableeba07cc0-7f20-4f8a-9a89-984b0f1113a5">
    <w:name w:val="Normal Table_eba07cc0-7f20-4f8a-9a89-984b0f1113a5"/>
    <w:uiPriority w:val="99"/>
    <w:semiHidden/>
    <w:unhideWhenUsed/>
    <w:tblPr>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a3">
    <w:name w:val="Table Grid"/>
    <w:basedOn w:val="NormalTableeba07cc0-7f20-4f8a-9a89-984b0f1113a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70">
    <w:name w:val="toc 7"/>
    <w:basedOn w:val="a"/>
    <w:next w:val="a"/>
    <w:uiPriority w:val="39"/>
    <w:unhideWhenUsed/>
    <w:pPr>
      <w:spacing w:after="57"/>
      <w:ind w:left="1701"/>
    </w:pPr>
    <w:rPr>
      <w:lang w:eastAsia="en-US"/>
    </w:rPr>
  </w:style>
  <w:style w:type="paragraph" w:styleId="a4">
    <w:name w:val="caption"/>
    <w:basedOn w:val="a"/>
    <w:next w:val="a"/>
    <w:uiPriority w:val="35"/>
    <w:qFormat/>
    <w:pPr>
      <w:spacing w:line="276" w:lineRule="auto"/>
    </w:pPr>
    <w:rPr>
      <w:b/>
      <w:bCs/>
      <w:color w:val="4F81BD"/>
      <w:sz w:val="18"/>
      <w:szCs w:val="18"/>
      <w:lang w:eastAsia="en-US"/>
    </w:rPr>
  </w:style>
  <w:style w:type="paragraph" w:customStyle="1" w:styleId="annotationtext">
    <w:name w:val="annotation text"/>
    <w:basedOn w:val="a"/>
    <w:link w:val="a5"/>
    <w:uiPriority w:val="99"/>
    <w:semiHidden/>
    <w:unhideWhenUsed/>
    <w:pPr>
      <w:jc w:val="left"/>
    </w:pPr>
    <w:rPr>
      <w:sz w:val="20"/>
      <w:lang w:val="zh-CN" w:eastAsia="en-US"/>
    </w:rPr>
  </w:style>
  <w:style w:type="paragraph" w:styleId="50">
    <w:name w:val="toc 5"/>
    <w:basedOn w:val="a"/>
    <w:next w:val="a"/>
    <w:uiPriority w:val="39"/>
    <w:unhideWhenUsed/>
    <w:pPr>
      <w:spacing w:after="57"/>
      <w:ind w:left="1134"/>
    </w:pPr>
    <w:rPr>
      <w:lang w:eastAsia="en-US"/>
    </w:rPr>
  </w:style>
  <w:style w:type="paragraph" w:styleId="30">
    <w:name w:val="toc 3"/>
    <w:basedOn w:val="a"/>
    <w:next w:val="a"/>
    <w:uiPriority w:val="39"/>
    <w:unhideWhenUsed/>
    <w:pPr>
      <w:spacing w:after="57"/>
      <w:ind w:left="567"/>
    </w:pPr>
    <w:rPr>
      <w:lang w:eastAsia="en-US"/>
    </w:rPr>
  </w:style>
  <w:style w:type="paragraph" w:styleId="80">
    <w:name w:val="toc 8"/>
    <w:basedOn w:val="a"/>
    <w:next w:val="a"/>
    <w:uiPriority w:val="39"/>
    <w:unhideWhenUsed/>
    <w:pPr>
      <w:spacing w:after="57"/>
      <w:ind w:left="1984"/>
    </w:pPr>
    <w:rPr>
      <w:lang w:eastAsia="en-US"/>
    </w:rPr>
  </w:style>
  <w:style w:type="paragraph" w:styleId="a6">
    <w:name w:val="endnote text"/>
    <w:basedOn w:val="a"/>
    <w:link w:val="Char"/>
    <w:uiPriority w:val="99"/>
    <w:semiHidden/>
    <w:unhideWhenUsed/>
    <w:rPr>
      <w:sz w:val="20"/>
      <w:lang w:eastAsia="en-US"/>
    </w:rPr>
  </w:style>
  <w:style w:type="paragraph" w:styleId="a7">
    <w:name w:val="Balloon Text"/>
    <w:basedOn w:val="a"/>
    <w:link w:val="Char0"/>
    <w:uiPriority w:val="99"/>
    <w:semiHidden/>
    <w:unhideWhenUsed/>
    <w:rPr>
      <w:sz w:val="18"/>
      <w:szCs w:val="18"/>
      <w:lang w:val="zh-CN" w:eastAsia="en-US"/>
    </w:rPr>
  </w:style>
  <w:style w:type="paragraph" w:styleId="a8">
    <w:name w:val="footer"/>
    <w:basedOn w:val="a"/>
    <w:link w:val="Char1"/>
    <w:uiPriority w:val="99"/>
    <w:unhideWhenUsed/>
    <w:pPr>
      <w:tabs>
        <w:tab w:val="center" w:pos="4153"/>
        <w:tab w:val="right" w:pos="8306"/>
      </w:tabs>
      <w:snapToGrid w:val="0"/>
      <w:jc w:val="left"/>
    </w:pPr>
    <w:rPr>
      <w:sz w:val="18"/>
      <w:szCs w:val="18"/>
      <w:lang w:val="zh-CN" w:eastAsia="en-US"/>
    </w:rPr>
  </w:style>
  <w:style w:type="paragraph" w:styleId="a9">
    <w:name w:val="header"/>
    <w:basedOn w:val="a"/>
    <w:link w:val="Char2"/>
    <w:uiPriority w:val="99"/>
    <w:unhideWhenUsed/>
    <w:pPr>
      <w:pBdr>
        <w:bottom w:val="single" w:sz="6" w:space="1" w:color="000000"/>
      </w:pBdr>
      <w:tabs>
        <w:tab w:val="center" w:pos="4153"/>
        <w:tab w:val="right" w:pos="8306"/>
      </w:tabs>
      <w:snapToGrid w:val="0"/>
      <w:jc w:val="center"/>
    </w:pPr>
    <w:rPr>
      <w:sz w:val="18"/>
      <w:szCs w:val="18"/>
      <w:lang w:val="zh-CN" w:eastAsia="en-US"/>
    </w:rPr>
  </w:style>
  <w:style w:type="paragraph" w:styleId="10">
    <w:name w:val="toc 1"/>
    <w:basedOn w:val="a"/>
    <w:next w:val="a"/>
    <w:uiPriority w:val="39"/>
    <w:unhideWhenUsed/>
    <w:pPr>
      <w:spacing w:after="57"/>
    </w:pPr>
    <w:rPr>
      <w:lang w:eastAsia="en-US"/>
    </w:rPr>
  </w:style>
  <w:style w:type="paragraph" w:styleId="40">
    <w:name w:val="toc 4"/>
    <w:basedOn w:val="a"/>
    <w:next w:val="a"/>
    <w:uiPriority w:val="39"/>
    <w:unhideWhenUsed/>
    <w:pPr>
      <w:spacing w:after="57"/>
      <w:ind w:left="850"/>
    </w:pPr>
    <w:rPr>
      <w:lang w:eastAsia="en-US"/>
    </w:rPr>
  </w:style>
  <w:style w:type="paragraph" w:styleId="aa">
    <w:name w:val="Subtitle"/>
    <w:basedOn w:val="a"/>
    <w:next w:val="a"/>
    <w:link w:val="Char3"/>
    <w:uiPriority w:val="11"/>
    <w:qFormat/>
    <w:pPr>
      <w:spacing w:before="200" w:after="200"/>
    </w:pPr>
    <w:rPr>
      <w:sz w:val="24"/>
      <w:szCs w:val="24"/>
      <w:lang w:eastAsia="en-US"/>
    </w:rPr>
  </w:style>
  <w:style w:type="paragraph" w:styleId="ab">
    <w:name w:val="footnote text"/>
    <w:basedOn w:val="a"/>
    <w:link w:val="Char4"/>
    <w:uiPriority w:val="99"/>
    <w:semiHidden/>
    <w:unhideWhenUsed/>
    <w:pPr>
      <w:spacing w:after="40"/>
    </w:pPr>
    <w:rPr>
      <w:sz w:val="18"/>
      <w:lang w:eastAsia="en-US"/>
    </w:rPr>
  </w:style>
  <w:style w:type="paragraph" w:styleId="60">
    <w:name w:val="toc 6"/>
    <w:basedOn w:val="a"/>
    <w:next w:val="a"/>
    <w:uiPriority w:val="39"/>
    <w:unhideWhenUsed/>
    <w:pPr>
      <w:spacing w:after="57"/>
      <w:ind w:left="1417"/>
    </w:pPr>
    <w:rPr>
      <w:lang w:eastAsia="en-US"/>
    </w:rPr>
  </w:style>
  <w:style w:type="paragraph" w:styleId="ac">
    <w:name w:val="table of figures"/>
    <w:basedOn w:val="a"/>
    <w:next w:val="a"/>
    <w:uiPriority w:val="99"/>
    <w:unhideWhenUsed/>
    <w:rPr>
      <w:lang w:eastAsia="en-US"/>
    </w:rPr>
  </w:style>
  <w:style w:type="paragraph" w:styleId="20">
    <w:name w:val="toc 2"/>
    <w:basedOn w:val="a"/>
    <w:next w:val="a"/>
    <w:uiPriority w:val="39"/>
    <w:unhideWhenUsed/>
    <w:pPr>
      <w:spacing w:after="57"/>
      <w:ind w:left="283"/>
    </w:pPr>
    <w:rPr>
      <w:lang w:eastAsia="en-US"/>
    </w:rPr>
  </w:style>
  <w:style w:type="paragraph" w:styleId="90">
    <w:name w:val="toc 9"/>
    <w:basedOn w:val="a"/>
    <w:next w:val="a"/>
    <w:uiPriority w:val="39"/>
    <w:unhideWhenUsed/>
    <w:pPr>
      <w:spacing w:after="57"/>
      <w:ind w:left="2268"/>
    </w:pPr>
    <w:rPr>
      <w:lang w:eastAsia="en-US"/>
    </w:rPr>
  </w:style>
  <w:style w:type="paragraph" w:styleId="ad">
    <w:name w:val="Title"/>
    <w:basedOn w:val="a"/>
    <w:next w:val="a"/>
    <w:link w:val="Char5"/>
    <w:uiPriority w:val="10"/>
    <w:qFormat/>
    <w:pPr>
      <w:spacing w:before="300" w:after="200"/>
      <w:contextualSpacing/>
    </w:pPr>
    <w:rPr>
      <w:sz w:val="48"/>
      <w:szCs w:val="48"/>
      <w:lang w:eastAsia="en-US"/>
    </w:rPr>
  </w:style>
  <w:style w:type="paragraph" w:customStyle="1" w:styleId="annotationsubject">
    <w:name w:val="annotation subject"/>
    <w:basedOn w:val="annotationtext"/>
    <w:next w:val="annotationtext"/>
    <w:link w:val="ae"/>
    <w:uiPriority w:val="99"/>
    <w:semiHidden/>
    <w:unhideWhenUsed/>
    <w:rPr>
      <w:b/>
      <w:bCs/>
    </w:rPr>
  </w:style>
  <w:style w:type="character" w:styleId="af">
    <w:name w:val="endnote reference"/>
    <w:basedOn w:val="a0"/>
    <w:uiPriority w:val="99"/>
    <w:semiHidden/>
    <w:unhideWhenUsed/>
    <w:rPr>
      <w:vertAlign w:val="superscript"/>
    </w:rPr>
  </w:style>
  <w:style w:type="character" w:styleId="af0">
    <w:name w:val="Hyperlink"/>
    <w:basedOn w:val="a"/>
    <w:uiPriority w:val="99"/>
    <w:unhideWhenUsed/>
    <w:rPr>
      <w:color w:val="0000FF"/>
      <w:u w:val="single"/>
    </w:rPr>
  </w:style>
  <w:style w:type="character" w:customStyle="1" w:styleId="annotationreference">
    <w:name w:val="annotation reference"/>
    <w:uiPriority w:val="99"/>
    <w:semiHidden/>
    <w:unhideWhenUsed/>
    <w:rPr>
      <w:sz w:val="21"/>
      <w:szCs w:val="21"/>
    </w:rPr>
  </w:style>
  <w:style w:type="character" w:styleId="af1">
    <w:name w:val="footnote reference"/>
    <w:basedOn w:val="a0"/>
    <w:uiPriority w:val="99"/>
    <w:unhideWhenUsed/>
    <w:rPr>
      <w:vertAlign w:val="superscript"/>
    </w:rPr>
  </w:style>
  <w:style w:type="character" w:customStyle="1" w:styleId="CaptionChar">
    <w:name w:val="Caption Char"/>
    <w:uiPriority w:val="99"/>
  </w:style>
  <w:style w:type="character" w:customStyle="1" w:styleId="Char">
    <w:name w:val="尾注文本 Char"/>
    <w:link w:val="a6"/>
    <w:uiPriority w:val="99"/>
    <w:rPr>
      <w:sz w:val="20"/>
    </w:rPr>
  </w:style>
  <w:style w:type="character" w:customStyle="1" w:styleId="1Char">
    <w:name w:val="标题 1 Char"/>
    <w:basedOn w:val="a0"/>
    <w:link w:val="1"/>
    <w:uiPriority w:val="9"/>
    <w:rPr>
      <w:rFonts w:ascii="Arial" w:hAnsi="Arial" w:cs="Arial"/>
      <w:sz w:val="40"/>
      <w:szCs w:val="40"/>
    </w:rPr>
  </w:style>
  <w:style w:type="character" w:customStyle="1" w:styleId="2Char">
    <w:name w:val="标题 2 Char"/>
    <w:basedOn w:val="a0"/>
    <w:link w:val="2"/>
    <w:uiPriority w:val="9"/>
    <w:rPr>
      <w:rFonts w:ascii="Arial" w:hAnsi="Arial" w:cs="Arial"/>
      <w:sz w:val="34"/>
    </w:rPr>
  </w:style>
  <w:style w:type="character" w:customStyle="1" w:styleId="3Char">
    <w:name w:val="标题 3 Char"/>
    <w:basedOn w:val="a0"/>
    <w:link w:val="3"/>
    <w:uiPriority w:val="9"/>
    <w:rPr>
      <w:rFonts w:ascii="Arial" w:hAnsi="Arial" w:cs="Arial"/>
      <w:sz w:val="30"/>
      <w:szCs w:val="30"/>
    </w:rPr>
  </w:style>
  <w:style w:type="character" w:customStyle="1" w:styleId="4Char">
    <w:name w:val="标题 4 Char"/>
    <w:basedOn w:val="a0"/>
    <w:link w:val="4"/>
    <w:uiPriority w:val="9"/>
    <w:rPr>
      <w:rFonts w:ascii="Arial" w:hAnsi="Arial" w:cs="Arial"/>
      <w:b/>
      <w:bCs/>
      <w:sz w:val="26"/>
      <w:szCs w:val="26"/>
    </w:rPr>
  </w:style>
  <w:style w:type="character" w:customStyle="1" w:styleId="5Char">
    <w:name w:val="标题 5 Char"/>
    <w:basedOn w:val="a0"/>
    <w:link w:val="5"/>
    <w:uiPriority w:val="9"/>
    <w:rPr>
      <w:rFonts w:ascii="Arial" w:hAnsi="Arial" w:cs="Arial"/>
      <w:b/>
      <w:bCs/>
      <w:sz w:val="24"/>
      <w:szCs w:val="24"/>
    </w:rPr>
  </w:style>
  <w:style w:type="character" w:customStyle="1" w:styleId="6Char">
    <w:name w:val="标题 6 Char"/>
    <w:basedOn w:val="a0"/>
    <w:link w:val="6"/>
    <w:uiPriority w:val="9"/>
    <w:rPr>
      <w:rFonts w:ascii="Arial" w:hAnsi="Arial" w:cs="Arial"/>
      <w:b/>
      <w:bCs/>
      <w:sz w:val="22"/>
      <w:szCs w:val="22"/>
    </w:rPr>
  </w:style>
  <w:style w:type="character" w:customStyle="1" w:styleId="7Char">
    <w:name w:val="标题 7 Char"/>
    <w:basedOn w:val="a0"/>
    <w:link w:val="7"/>
    <w:uiPriority w:val="9"/>
    <w:rPr>
      <w:rFonts w:ascii="Arial" w:hAnsi="Arial" w:cs="Arial"/>
      <w:b/>
      <w:bCs/>
      <w:i/>
      <w:iCs/>
      <w:sz w:val="22"/>
      <w:szCs w:val="22"/>
    </w:rPr>
  </w:style>
  <w:style w:type="character" w:customStyle="1" w:styleId="8Char">
    <w:name w:val="标题 8 Char"/>
    <w:basedOn w:val="a0"/>
    <w:link w:val="8"/>
    <w:uiPriority w:val="9"/>
    <w:rPr>
      <w:rFonts w:ascii="Arial" w:hAnsi="Arial" w:cs="Arial"/>
      <w:i/>
      <w:iCs/>
      <w:sz w:val="22"/>
      <w:szCs w:val="22"/>
    </w:rPr>
  </w:style>
  <w:style w:type="character" w:customStyle="1" w:styleId="9Char">
    <w:name w:val="标题 9 Char"/>
    <w:basedOn w:val="a0"/>
    <w:link w:val="9"/>
    <w:uiPriority w:val="9"/>
    <w:rPr>
      <w:rFonts w:ascii="Arial" w:hAnsi="Arial" w:cs="Arial"/>
      <w:i/>
      <w:iCs/>
      <w:sz w:val="21"/>
      <w:szCs w:val="21"/>
    </w:rPr>
  </w:style>
  <w:style w:type="paragraph" w:styleId="af2">
    <w:name w:val="List Paragraph"/>
    <w:basedOn w:val="a"/>
    <w:uiPriority w:val="34"/>
    <w:qFormat/>
    <w:pPr>
      <w:ind w:left="720"/>
      <w:contextualSpacing/>
    </w:pPr>
    <w:rPr>
      <w:lang w:eastAsia="en-US"/>
    </w:rPr>
  </w:style>
  <w:style w:type="paragraph" w:styleId="af3">
    <w:name w:val="No Spacing"/>
    <w:uiPriority w:val="1"/>
    <w:qFormat/>
    <w:rPr>
      <w:rFonts w:hint="default"/>
      <w:sz w:val="22"/>
      <w:szCs w:val="22"/>
    </w:rPr>
  </w:style>
  <w:style w:type="character" w:customStyle="1" w:styleId="Char5">
    <w:name w:val="标题 Char"/>
    <w:basedOn w:val="a0"/>
    <w:link w:val="ad"/>
    <w:uiPriority w:val="10"/>
    <w:rPr>
      <w:sz w:val="48"/>
      <w:szCs w:val="48"/>
    </w:rPr>
  </w:style>
  <w:style w:type="character" w:customStyle="1" w:styleId="Char3">
    <w:name w:val="副标题 Char"/>
    <w:basedOn w:val="a0"/>
    <w:link w:val="aa"/>
    <w:uiPriority w:val="11"/>
    <w:rPr>
      <w:sz w:val="24"/>
      <w:szCs w:val="24"/>
    </w:rPr>
  </w:style>
  <w:style w:type="paragraph" w:styleId="af4">
    <w:name w:val="Quote"/>
    <w:basedOn w:val="a"/>
    <w:next w:val="a"/>
    <w:link w:val="Char6"/>
    <w:uiPriority w:val="29"/>
    <w:qFormat/>
    <w:pPr>
      <w:ind w:left="720" w:right="720"/>
    </w:pPr>
    <w:rPr>
      <w:i/>
      <w:lang w:eastAsia="en-US"/>
    </w:rPr>
  </w:style>
  <w:style w:type="character" w:customStyle="1" w:styleId="Char6">
    <w:name w:val="引用 Char"/>
    <w:link w:val="af4"/>
    <w:uiPriority w:val="29"/>
    <w:rPr>
      <w:i/>
    </w:rPr>
  </w:style>
  <w:style w:type="paragraph" w:styleId="af5">
    <w:name w:val="Intense Quote"/>
    <w:basedOn w:val="a"/>
    <w:next w:val="a"/>
    <w:link w:val="Char7"/>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lang w:eastAsia="en-US"/>
    </w:rPr>
  </w:style>
  <w:style w:type="character" w:customStyle="1" w:styleId="Char7">
    <w:name w:val="明显引用 Char"/>
    <w:link w:val="af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customStyle="1" w:styleId="TableGridLight">
    <w:name w:val="Table Grid Light"/>
    <w:basedOn w:val="a1"/>
    <w:uiPriority w:val="59"/>
    <w:tblPr>
      <w:tblBorders>
        <w:top w:val="single" w:sz="4" w:space="0" w:color="B0B0B0"/>
        <w:left w:val="single" w:sz="4" w:space="0" w:color="B0B0B0"/>
        <w:bottom w:val="single" w:sz="4" w:space="0" w:color="B0B0B0"/>
        <w:right w:val="single" w:sz="4" w:space="0" w:color="B0B0B0"/>
        <w:insideH w:val="single" w:sz="4" w:space="0" w:color="B0B0B0"/>
        <w:insideV w:val="single" w:sz="4" w:space="0" w:color="B0B0B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tblPr>
      <w:tblBorders>
        <w:top w:val="single" w:sz="4" w:space="0" w:color="B0B0B0"/>
        <w:left w:val="single" w:sz="4" w:space="0" w:color="B0B0B0"/>
        <w:bottom w:val="single" w:sz="4" w:space="0" w:color="B0B0B0"/>
        <w:right w:val="single" w:sz="4" w:space="0" w:color="B0B0B0"/>
        <w:insideH w:val="single" w:sz="4" w:space="0" w:color="B0B0B0"/>
        <w:insideV w:val="single" w:sz="4" w:space="0" w:color="B0B0B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1F1F1" w:fill="F1F1F1"/>
      </w:tcPr>
    </w:tblStylePr>
    <w:tblStylePr w:type="band2Vert">
      <w:pPr>
        <w:snapToGrid/>
      </w:pPr>
    </w:tblStylePr>
    <w:tblStylePr w:type="band1Horz">
      <w:pPr>
        <w:snapToGrid/>
      </w:pPr>
      <w:tblPr/>
      <w:tcPr>
        <w:shd w:val="clear" w:color="F1F1F1" w:fill="F1F1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tblPr>
      <w:tblBorders>
        <w:top w:val="single" w:sz="4" w:space="0" w:color="000000"/>
        <w:left w:val="none" w:sz="0" w:space="0" w:color="000000"/>
        <w:bottom w:val="single" w:sz="4" w:space="0" w:color="000000"/>
        <w:right w:val="none" w:sz="0" w:space="0" w:color="000000"/>
        <w:insideH w:val="nil"/>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bottom w:val="single" w:sz="4" w:space="0" w:color="000000"/>
          <w:right w:val="single" w:sz="4" w:space="0" w:color="000000"/>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cBorders>
      </w:tcPr>
    </w:tblStylePr>
    <w:tblStylePr w:type="band2Vert">
      <w:pPr>
        <w:snapToGrid/>
      </w:pPr>
      <w:tblPr/>
      <w:tcPr>
        <w:tcBorders>
          <w:left w:val="single" w:sz="4" w:space="0" w:color="000000"/>
        </w:tcBorders>
      </w:tcPr>
    </w:tblStylePr>
    <w:tblStylePr w:type="band1Horz">
      <w:pPr>
        <w:snapToGrid/>
      </w:pPr>
      <w:tblPr/>
      <w:tcPr>
        <w:tcBorders>
          <w:top w:val="single" w:sz="4" w:space="0" w:color="000000"/>
          <w:bottom w:val="single" w:sz="4" w:space="0" w:color="000000"/>
          <w:right w:val="single" w:sz="4" w:space="0" w:color="00000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tblPr>
      <w:tblCellMar>
        <w:top w:w="0" w:type="dxa"/>
        <w:left w:w="108" w:type="dxa"/>
        <w:bottom w:w="0" w:type="dxa"/>
        <w:right w:w="108" w:type="dxa"/>
      </w:tblCellMar>
    </w:tblPr>
    <w:tblStylePr w:type="firstRow">
      <w:pPr>
        <w:snapToGrid/>
      </w:pPr>
      <w:rPr>
        <w:b/>
        <w:caps/>
        <w:color w:val="404040"/>
      </w:rPr>
      <w:tblPr/>
      <w:tcPr>
        <w:tcBorders>
          <w:top w:val="none" w:sz="0" w:space="0" w:color="000000"/>
          <w:left w:val="none" w:sz="0" w:space="0" w:color="000000"/>
          <w:bottom w:val="single" w:sz="4" w:space="0" w:color="404040"/>
          <w:right w:val="none" w:sz="0" w:space="0" w:color="000000"/>
        </w:tcBorders>
      </w:tcPr>
    </w:tblStylePr>
    <w:tblStylePr w:type="lastRow">
      <w:pPr>
        <w:snapToGrid/>
      </w:pPr>
      <w:rPr>
        <w:b/>
        <w:caps/>
        <w:color w:val="404040"/>
      </w:rPr>
    </w:tblStylePr>
    <w:tblStylePr w:type="firstCol">
      <w:pPr>
        <w:snapToGrid/>
      </w:pPr>
      <w:rPr>
        <w:b/>
        <w:caps/>
        <w:color w:val="404040"/>
      </w:rPr>
      <w:tblPr/>
      <w:tcPr>
        <w:tcBorders>
          <w:top w:val="none" w:sz="0" w:space="0" w:color="000000"/>
          <w:left w:val="none" w:sz="0" w:space="0" w:color="000000"/>
          <w:bottom w:val="none" w:sz="0" w:space="0" w:color="000000"/>
          <w:right w:val="none" w:sz="0" w:space="0" w:color="00000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1F1F1" w:fill="F1F1F1"/>
      </w:tcPr>
    </w:tblStylePr>
    <w:tblStylePr w:type="band2Vert">
      <w:pPr>
        <w:snapToGrid/>
      </w:pPr>
    </w:tblStylePr>
    <w:tblStylePr w:type="band1Horz">
      <w:pPr>
        <w:snapToGrid/>
      </w:pPr>
      <w:rPr>
        <w:rFonts w:ascii="Arial" w:hAnsi="Arial"/>
        <w:color w:val="404040"/>
        <w:sz w:val="22"/>
      </w:rPr>
      <w:tblPr/>
      <w:tcPr>
        <w:shd w:val="clear" w:color="F1F1F1" w:fill="F1F1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tblPr>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1F1F1" w:fill="F1F1F1"/>
      </w:tcPr>
    </w:tblStylePr>
    <w:tblStylePr w:type="band2Vert">
      <w:pPr>
        <w:snapToGrid/>
      </w:pPr>
    </w:tblStylePr>
    <w:tblStylePr w:type="band1Horz">
      <w:pPr>
        <w:snapToGrid/>
      </w:pPr>
      <w:rPr>
        <w:rFonts w:ascii="Arial" w:hAnsi="Arial"/>
        <w:color w:val="404040"/>
        <w:sz w:val="22"/>
      </w:rPr>
      <w:tblPr/>
      <w:tcPr>
        <w:shd w:val="clear" w:color="F1F1F1" w:fill="F1F1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tblPr>
      <w:tblCellMar>
        <w:top w:w="0" w:type="dxa"/>
        <w:left w:w="108" w:type="dxa"/>
        <w:bottom w:w="0" w:type="dxa"/>
        <w:right w:w="108" w:type="dxa"/>
      </w:tblCellMar>
    </w:tblPr>
    <w:tblStylePr w:type="firstRow">
      <w:pPr>
        <w:snapToGrid/>
      </w:pPr>
      <w:rPr>
        <w:i/>
        <w:color w:val="404040"/>
      </w:rPr>
      <w:tblPr/>
      <w:tcPr>
        <w:tcBorders>
          <w:left w:val="none" w:sz="0" w:space="0" w:color="000000"/>
          <w:bottom w:val="single" w:sz="4" w:space="0" w:color="404040"/>
        </w:tcBorders>
        <w:shd w:val="clear" w:color="FFFFFF" w:fill="FFFFFF"/>
      </w:tcPr>
    </w:tblStylePr>
    <w:tblStylePr w:type="lastRow">
      <w:pPr>
        <w:snapToGrid/>
      </w:pPr>
      <w:rPr>
        <w:i/>
        <w:color w:val="404040"/>
      </w:rPr>
      <w:tblPr/>
      <w:tcPr>
        <w:tcBorders>
          <w:top w:val="single" w:sz="4" w:space="0" w:color="404040"/>
          <w:left w:val="none" w:sz="0" w:space="0" w:color="000000"/>
          <w:right w:val="single" w:sz="4" w:space="0" w:color="404040"/>
        </w:tcBorders>
        <w:shd w:val="clear" w:color="FFFFFF" w:fill="FFFFFF"/>
      </w:tcPr>
    </w:tblStylePr>
    <w:tblStylePr w:type="firstCol">
      <w:pPr>
        <w:snapToGrid/>
        <w:jc w:val="right"/>
      </w:pPr>
      <w:rPr>
        <w:i/>
        <w:color w:val="404040"/>
      </w:rPr>
      <w:tblPr/>
      <w:tcPr>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1F1F1" w:fill="F1F1F1"/>
      </w:tcPr>
    </w:tblStylePr>
    <w:tblStylePr w:type="band2Vert">
      <w:pPr>
        <w:snapToGrid/>
      </w:pPr>
    </w:tblStylePr>
    <w:tblStylePr w:type="band1Horz">
      <w:pPr>
        <w:snapToGrid/>
      </w:pPr>
      <w:rPr>
        <w:rFonts w:ascii="Arial" w:hAnsi="Arial"/>
        <w:color w:val="404040"/>
        <w:sz w:val="22"/>
      </w:rPr>
      <w:tblPr/>
      <w:tcPr>
        <w:shd w:val="clear" w:color="F1F1F1" w:fill="F1F1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pPr>
        <w:snapToGrid/>
      </w:pPr>
      <w:rPr>
        <w:b/>
        <w:color w:val="404040"/>
      </w:rPr>
      <w:tblPr/>
      <w:tcPr>
        <w:tcBorders>
          <w:bottom w:val="single" w:sz="12" w:space="0" w:color="6B6B6B"/>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99999"/>
          <w:left w:val="single" w:sz="4" w:space="0" w:color="999999"/>
          <w:bottom w:val="single" w:sz="4" w:space="0" w:color="999999"/>
          <w:right w:val="single" w:sz="4" w:space="0" w:color="999999"/>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tblPr>
      <w:tblBorders>
        <w:top w:val="single" w:sz="4" w:space="0" w:color="B9CDE5"/>
        <w:left w:val="single" w:sz="4" w:space="0" w:color="B9CDE5"/>
        <w:bottom w:val="single" w:sz="4" w:space="0" w:color="B9CDE5"/>
        <w:right w:val="single" w:sz="4" w:space="0" w:color="B9CDE5"/>
        <w:insideH w:val="single" w:sz="4" w:space="0" w:color="B9CDE5"/>
        <w:insideV w:val="single" w:sz="4" w:space="0" w:color="B9CDE5"/>
      </w:tblBorders>
      <w:tblCellMar>
        <w:top w:w="0" w:type="dxa"/>
        <w:left w:w="108" w:type="dxa"/>
        <w:bottom w:w="0" w:type="dxa"/>
        <w:right w:w="108" w:type="dxa"/>
      </w:tblCellMar>
    </w:tblPr>
    <w:tblStylePr w:type="firstRow">
      <w:pPr>
        <w:snapToGrid/>
      </w:pPr>
      <w:rPr>
        <w:b/>
        <w:color w:val="404040"/>
      </w:rPr>
      <w:tblPr/>
      <w:tcPr>
        <w:tcBorders>
          <w:bottom w:val="single" w:sz="12" w:space="0" w:color="99B6D9"/>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9CDE5"/>
          <w:left w:val="single" w:sz="4" w:space="0" w:color="B9CDE5"/>
          <w:bottom w:val="single" w:sz="4" w:space="0" w:color="B9CDE5"/>
          <w:right w:val="single" w:sz="4" w:space="0" w:color="B9CDE5"/>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tblPr>
      <w:tblBorders>
        <w:top w:val="single" w:sz="4" w:space="0" w:color="E6B9B8"/>
        <w:left w:val="single" w:sz="4" w:space="0" w:color="E6B9B8"/>
        <w:bottom w:val="single" w:sz="4" w:space="0" w:color="E6B9B8"/>
        <w:right w:val="single" w:sz="4" w:space="0" w:color="E6B9B8"/>
        <w:insideH w:val="single" w:sz="4" w:space="0" w:color="E6B9B8"/>
        <w:insideV w:val="single" w:sz="4" w:space="0" w:color="E6B9B8"/>
      </w:tblBorders>
      <w:tblCellMar>
        <w:top w:w="0" w:type="dxa"/>
        <w:left w:w="108" w:type="dxa"/>
        <w:bottom w:w="0" w:type="dxa"/>
        <w:right w:w="108" w:type="dxa"/>
      </w:tblCellMar>
    </w:tblPr>
    <w:tblStylePr w:type="firstRow">
      <w:pPr>
        <w:snapToGrid/>
      </w:pPr>
      <w:rPr>
        <w:b/>
        <w:color w:val="404040"/>
      </w:rPr>
      <w:tblPr/>
      <w:tcPr>
        <w:tcBorders>
          <w:bottom w:val="single" w:sz="12" w:space="0" w:color="DA9A98"/>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6B9B8"/>
          <w:left w:val="single" w:sz="4" w:space="0" w:color="E6B9B8"/>
          <w:bottom w:val="single" w:sz="4" w:space="0" w:color="E6B9B8"/>
          <w:right w:val="single" w:sz="4" w:space="0" w:color="E6B9B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tblPr>
      <w:tblBorders>
        <w:top w:val="single" w:sz="4" w:space="0" w:color="D7E4BD"/>
        <w:left w:val="single" w:sz="4" w:space="0" w:color="D7E4BD"/>
        <w:bottom w:val="single" w:sz="4" w:space="0" w:color="D7E4BD"/>
        <w:right w:val="single" w:sz="4" w:space="0" w:color="D7E4BD"/>
        <w:insideH w:val="single" w:sz="4" w:space="0" w:color="D7E4BD"/>
        <w:insideV w:val="single" w:sz="4" w:space="0" w:color="D7E4BD"/>
      </w:tblBorders>
      <w:tblCellMar>
        <w:top w:w="0" w:type="dxa"/>
        <w:left w:w="108" w:type="dxa"/>
        <w:bottom w:w="0" w:type="dxa"/>
        <w:right w:w="108" w:type="dxa"/>
      </w:tblCellMar>
    </w:tblPr>
    <w:tblStylePr w:type="firstRow">
      <w:pPr>
        <w:snapToGrid/>
      </w:pPr>
      <w:rPr>
        <w:b/>
        <w:color w:val="404040"/>
      </w:rPr>
      <w:tblPr/>
      <w:tcPr>
        <w:tcBorders>
          <w:bottom w:val="single" w:sz="12" w:space="0" w:color="C5D89F"/>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7E4BD"/>
          <w:left w:val="single" w:sz="4" w:space="0" w:color="D7E4BD"/>
          <w:bottom w:val="single" w:sz="4" w:space="0" w:color="D7E4BD"/>
          <w:right w:val="single" w:sz="4" w:space="0" w:color="D7E4BD"/>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tblPr>
      <w:tblBorders>
        <w:top w:val="single" w:sz="4" w:space="0" w:color="CCC1DA"/>
        <w:left w:val="single" w:sz="4" w:space="0" w:color="CCC1DA"/>
        <w:bottom w:val="single" w:sz="4" w:space="0" w:color="CCC1DA"/>
        <w:right w:val="single" w:sz="4" w:space="0" w:color="CCC1DA"/>
        <w:insideH w:val="single" w:sz="4" w:space="0" w:color="CCC1DA"/>
        <w:insideV w:val="single" w:sz="4" w:space="0" w:color="CCC1DA"/>
      </w:tblBorders>
      <w:tblCellMar>
        <w:top w:w="0" w:type="dxa"/>
        <w:left w:w="108" w:type="dxa"/>
        <w:bottom w:w="0" w:type="dxa"/>
        <w:right w:w="108" w:type="dxa"/>
      </w:tblCellMar>
    </w:tblPr>
    <w:tblStylePr w:type="firstRow">
      <w:pPr>
        <w:snapToGrid/>
      </w:pPr>
      <w:rPr>
        <w:b/>
        <w:color w:val="404040"/>
      </w:rPr>
      <w:tblPr/>
      <w:tcPr>
        <w:tcBorders>
          <w:bottom w:val="single" w:sz="12" w:space="0" w:color="B5A5C9"/>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CC1DA"/>
          <w:left w:val="single" w:sz="4" w:space="0" w:color="CCC1DA"/>
          <w:bottom w:val="single" w:sz="4" w:space="0" w:color="CCC1DA"/>
          <w:right w:val="single" w:sz="4" w:space="0" w:color="CCC1D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tblPr>
      <w:tblBorders>
        <w:top w:val="single" w:sz="4" w:space="0" w:color="B7DEE8"/>
        <w:left w:val="single" w:sz="4" w:space="0" w:color="B7DEE8"/>
        <w:bottom w:val="single" w:sz="4" w:space="0" w:color="B7DEE8"/>
        <w:right w:val="single" w:sz="4" w:space="0" w:color="B7DEE8"/>
        <w:insideH w:val="single" w:sz="4" w:space="0" w:color="B7DEE8"/>
        <w:insideV w:val="single" w:sz="4" w:space="0" w:color="B7DEE8"/>
      </w:tblBorders>
      <w:tblCellMar>
        <w:top w:w="0" w:type="dxa"/>
        <w:left w:w="108" w:type="dxa"/>
        <w:bottom w:w="0" w:type="dxa"/>
        <w:right w:w="108" w:type="dxa"/>
      </w:tblCellMar>
    </w:tblPr>
    <w:tblStylePr w:type="firstRow">
      <w:pPr>
        <w:snapToGrid/>
      </w:pPr>
      <w:rPr>
        <w:b/>
        <w:color w:val="404040"/>
      </w:rPr>
      <w:tblPr/>
      <w:tcPr>
        <w:tcBorders>
          <w:bottom w:val="single" w:sz="12" w:space="0" w:color="97CFDE"/>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DEE8"/>
          <w:left w:val="single" w:sz="4" w:space="0" w:color="B7DEE8"/>
          <w:bottom w:val="single" w:sz="4" w:space="0" w:color="B7DEE8"/>
          <w:right w:val="single" w:sz="4" w:space="0" w:color="B7DEE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tblPr>
      <w:tblBorders>
        <w:top w:val="single" w:sz="4" w:space="0" w:color="FCD5B5"/>
        <w:left w:val="single" w:sz="4" w:space="0" w:color="FCD5B5"/>
        <w:bottom w:val="single" w:sz="4" w:space="0" w:color="FCD5B5"/>
        <w:right w:val="single" w:sz="4" w:space="0" w:color="FCD5B5"/>
        <w:insideH w:val="single" w:sz="4" w:space="0" w:color="FCD5B5"/>
        <w:insideV w:val="single" w:sz="4" w:space="0" w:color="FCD5B5"/>
      </w:tblBorders>
      <w:tblCellMar>
        <w:top w:w="0" w:type="dxa"/>
        <w:left w:w="108" w:type="dxa"/>
        <w:bottom w:w="0" w:type="dxa"/>
        <w:right w:w="108" w:type="dxa"/>
      </w:tblCellMar>
    </w:tblPr>
    <w:tblStylePr w:type="firstRow">
      <w:pPr>
        <w:snapToGrid/>
      </w:pPr>
      <w:rPr>
        <w:b/>
        <w:color w:val="404040"/>
      </w:rPr>
      <w:tblPr/>
      <w:tcPr>
        <w:tcBorders>
          <w:bottom w:val="single" w:sz="12" w:space="0" w:color="FAC294"/>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CD5B5"/>
          <w:left w:val="single" w:sz="4" w:space="0" w:color="FCD5B5"/>
          <w:bottom w:val="single" w:sz="4" w:space="0" w:color="FCD5B5"/>
          <w:right w:val="single" w:sz="4" w:space="0" w:color="FCD5B5"/>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tblPr>
      <w:tblBorders>
        <w:top w:val="nil"/>
        <w:left w:val="nil"/>
        <w:bottom w:val="single" w:sz="4" w:space="0" w:color="6B6B6B"/>
        <w:right w:val="nil"/>
        <w:insideH w:val="single" w:sz="4" w:space="0" w:color="6B6B6B"/>
        <w:insideV w:val="single" w:sz="4" w:space="0" w:color="6B6B6B"/>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6B6B6B"/>
          <w:right w:val="none" w:sz="0" w:space="0" w:color="000000"/>
        </w:tcBorders>
        <w:shd w:val="clear" w:color="FFFFFF" w:fill="FFFFFF"/>
      </w:tcPr>
    </w:tblStylePr>
    <w:tblStylePr w:type="lastRow">
      <w:pPr>
        <w:snapToGrid/>
      </w:pPr>
      <w:rPr>
        <w:b/>
        <w:color w:val="404040"/>
      </w:rPr>
      <w:tblPr/>
      <w:tcPr>
        <w:tcBorders>
          <w:top w:val="single" w:sz="4" w:space="0" w:color="6B6B6B"/>
          <w:left w:val="none" w:sz="0" w:space="0" w:color="000000"/>
          <w:bottom w:val="none" w:sz="0" w:space="0" w:color="000000"/>
          <w:right w:val="single" w:sz="4" w:space="0" w:color="6B6B6B"/>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ACACA" w:fill="CACACA"/>
      </w:tcPr>
    </w:tblStylePr>
    <w:tblStylePr w:type="band2Vert">
      <w:pPr>
        <w:snapToGrid/>
      </w:pPr>
    </w:tblStylePr>
    <w:tblStylePr w:type="band1Horz">
      <w:pPr>
        <w:snapToGrid/>
      </w:pPr>
      <w:rPr>
        <w:rFonts w:ascii="Arial" w:hAnsi="Arial"/>
        <w:color w:val="404040"/>
        <w:sz w:val="22"/>
      </w:rPr>
      <w:tblPr/>
      <w:tcPr>
        <w:shd w:val="clear" w:color="CACACA" w:fill="CACAC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tblPr>
      <w:tblBorders>
        <w:top w:val="nil"/>
        <w:left w:val="nil"/>
        <w:bottom w:val="single" w:sz="4" w:space="0" w:color="5D8BC2"/>
        <w:right w:val="nil"/>
        <w:insideH w:val="single" w:sz="4" w:space="0" w:color="5D8BC2"/>
        <w:insideV w:val="single" w:sz="4" w:space="0" w:color="5D8BC2"/>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5D8BC2"/>
          <w:right w:val="none" w:sz="0" w:space="0" w:color="000000"/>
        </w:tcBorders>
        <w:shd w:val="clear" w:color="FFFFFF" w:fill="FFFFFF"/>
      </w:tcPr>
    </w:tblStylePr>
    <w:tblStylePr w:type="lastRow">
      <w:pPr>
        <w:snapToGrid/>
      </w:pPr>
      <w:rPr>
        <w:b/>
        <w:color w:val="404040"/>
      </w:rPr>
      <w:tblPr/>
      <w:tcPr>
        <w:tcBorders>
          <w:top w:val="single" w:sz="4" w:space="0" w:color="5D8BC2"/>
          <w:left w:val="none" w:sz="0" w:space="0" w:color="000000"/>
          <w:bottom w:val="none" w:sz="0" w:space="0" w:color="000000"/>
          <w:right w:val="single" w:sz="4" w:space="0" w:color="5D8BC2"/>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BE5F1" w:fill="DBE5F1"/>
      </w:tcPr>
    </w:tblStylePr>
    <w:tblStylePr w:type="band2Vert">
      <w:pPr>
        <w:snapToGrid/>
      </w:pPr>
    </w:tblStylePr>
    <w:tblStylePr w:type="band1Horz">
      <w:pPr>
        <w:snapToGrid/>
      </w:pPr>
      <w:rPr>
        <w:rFonts w:ascii="Arial" w:hAnsi="Arial"/>
        <w:color w:val="404040"/>
        <w:sz w:val="22"/>
      </w:rPr>
      <w:tblPr/>
      <w:tcPr>
        <w:shd w:val="clear" w:color="DBE5F1" w:fill="DBE5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tblPr>
      <w:tblBorders>
        <w:top w:val="nil"/>
        <w:left w:val="nil"/>
        <w:bottom w:val="single" w:sz="4" w:space="0" w:color="DA9896"/>
        <w:right w:val="nil"/>
        <w:insideH w:val="single" w:sz="4" w:space="0" w:color="DA9896"/>
        <w:insideV w:val="single" w:sz="4" w:space="0" w:color="DA989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DA9896"/>
          <w:right w:val="none" w:sz="0" w:space="0" w:color="000000"/>
        </w:tcBorders>
        <w:shd w:val="clear" w:color="FFFFFF" w:fill="FFFFFF"/>
      </w:tcPr>
    </w:tblStylePr>
    <w:tblStylePr w:type="lastRow">
      <w:pPr>
        <w:snapToGrid/>
      </w:pPr>
      <w:rPr>
        <w:b/>
        <w:color w:val="404040"/>
      </w:rPr>
      <w:tblPr/>
      <w:tcPr>
        <w:tcBorders>
          <w:top w:val="single" w:sz="4" w:space="0" w:color="DA9896"/>
          <w:left w:val="none" w:sz="0" w:space="0" w:color="000000"/>
          <w:bottom w:val="none" w:sz="0" w:space="0" w:color="000000"/>
          <w:right w:val="single" w:sz="4" w:space="0" w:color="DA9896"/>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DCDC" w:fill="F2DCDC"/>
      </w:tcPr>
    </w:tblStylePr>
    <w:tblStylePr w:type="band2Vert">
      <w:pPr>
        <w:snapToGrid/>
      </w:pPr>
    </w:tblStylePr>
    <w:tblStylePr w:type="band1Horz">
      <w:pPr>
        <w:snapToGrid/>
      </w:pPr>
      <w:rPr>
        <w:rFonts w:ascii="Arial" w:hAnsi="Arial"/>
        <w:color w:val="404040"/>
        <w:sz w:val="22"/>
      </w:rPr>
      <w:tblPr/>
      <w:tcPr>
        <w:shd w:val="clear" w:color="F2DCDC" w:fill="F2DC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Borders>
        <w:top w:val="nil"/>
        <w:left w:val="nil"/>
        <w:bottom w:val="single" w:sz="4" w:space="0" w:color="9BBB59"/>
        <w:right w:val="nil"/>
        <w:insideH w:val="single" w:sz="4" w:space="0" w:color="9BBB59"/>
        <w:insideV w:val="single" w:sz="4" w:space="0" w:color="9BBB59"/>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9BBB59"/>
          <w:right w:val="none" w:sz="0" w:space="0" w:color="000000"/>
        </w:tcBorders>
        <w:shd w:val="clear" w:color="FFFFFF" w:fill="FFFFFF"/>
      </w:tcPr>
    </w:tblStylePr>
    <w:tblStylePr w:type="lastRow">
      <w:pPr>
        <w:snapToGrid/>
      </w:pPr>
      <w:rPr>
        <w:b/>
        <w:color w:val="404040"/>
      </w:rPr>
      <w:tblPr/>
      <w:tcPr>
        <w:tcBorders>
          <w:top w:val="single" w:sz="4" w:space="0" w:color="9BBB59"/>
          <w:left w:val="none" w:sz="0" w:space="0" w:color="000000"/>
          <w:bottom w:val="none" w:sz="0" w:space="0" w:color="000000"/>
          <w:right w:val="single" w:sz="4" w:space="0" w:color="9BBB59"/>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AF1DD" w:fill="EAF1DD"/>
      </w:tcPr>
    </w:tblStylePr>
    <w:tblStylePr w:type="band2Vert">
      <w:pPr>
        <w:snapToGrid/>
      </w:pPr>
    </w:tblStylePr>
    <w:tblStylePr w:type="band1Horz">
      <w:pPr>
        <w:snapToGrid/>
      </w:pPr>
      <w:rPr>
        <w:rFonts w:ascii="Arial" w:hAnsi="Arial"/>
        <w:color w:val="404040"/>
        <w:sz w:val="22"/>
      </w:rPr>
      <w:tblPr/>
      <w:tcPr>
        <w:shd w:val="clear" w:color="EAF1DD" w:fill="EAF1D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tblPr>
      <w:tblBorders>
        <w:top w:val="nil"/>
        <w:left w:val="nil"/>
        <w:bottom w:val="single" w:sz="4" w:space="0" w:color="B3A2C7"/>
        <w:right w:val="nil"/>
        <w:insideH w:val="single" w:sz="4" w:space="0" w:color="B3A2C7"/>
        <w:insideV w:val="single" w:sz="4" w:space="0" w:color="B3A2C7"/>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B3A2C7"/>
          <w:right w:val="none" w:sz="0" w:space="0" w:color="000000"/>
        </w:tcBorders>
        <w:shd w:val="clear" w:color="FFFFFF" w:fill="FFFFFF"/>
      </w:tcPr>
    </w:tblStylePr>
    <w:tblStylePr w:type="lastRow">
      <w:pPr>
        <w:snapToGrid/>
      </w:pPr>
      <w:rPr>
        <w:b/>
        <w:color w:val="404040"/>
      </w:rPr>
      <w:tblPr/>
      <w:tcPr>
        <w:tcBorders>
          <w:top w:val="single" w:sz="4" w:space="0" w:color="B3A2C7"/>
          <w:left w:val="none" w:sz="0" w:space="0" w:color="000000"/>
          <w:bottom w:val="none" w:sz="0" w:space="0" w:color="000000"/>
          <w:right w:val="single" w:sz="4" w:space="0" w:color="B3A2C7"/>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DFEC" w:fill="E5DFEC"/>
      </w:tcPr>
    </w:tblStylePr>
    <w:tblStylePr w:type="band2Vert">
      <w:pPr>
        <w:snapToGrid/>
      </w:pPr>
    </w:tblStylePr>
    <w:tblStylePr w:type="band1Horz">
      <w:pPr>
        <w:snapToGrid/>
      </w:pPr>
      <w:rPr>
        <w:rFonts w:ascii="Arial" w:hAnsi="Arial"/>
        <w:color w:val="404040"/>
        <w:sz w:val="22"/>
      </w:rPr>
      <w:tblPr/>
      <w:tcPr>
        <w:shd w:val="clear" w:color="E5DFEC" w:fill="E5DF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tblPr>
      <w:tblBorders>
        <w:top w:val="nil"/>
        <w:left w:val="nil"/>
        <w:bottom w:val="single" w:sz="4" w:space="0" w:color="4BACC6"/>
        <w:right w:val="nil"/>
        <w:insideH w:val="single" w:sz="4" w:space="0" w:color="4BACC6"/>
        <w:insideV w:val="single" w:sz="4" w:space="0" w:color="4BACC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4BACC6"/>
          <w:right w:val="none" w:sz="0" w:space="0" w:color="000000"/>
        </w:tcBorders>
        <w:shd w:val="clear" w:color="FFFFFF" w:fill="FFFFFF"/>
      </w:tcPr>
    </w:tblStylePr>
    <w:tblStylePr w:type="lastRow">
      <w:pPr>
        <w:snapToGrid/>
      </w:pPr>
      <w:rPr>
        <w:b/>
        <w:color w:val="404040"/>
      </w:rPr>
      <w:tblPr/>
      <w:tcPr>
        <w:tcBorders>
          <w:top w:val="single" w:sz="4" w:space="0" w:color="4BACC6"/>
          <w:left w:val="none" w:sz="0" w:space="0" w:color="000000"/>
          <w:bottom w:val="none" w:sz="0" w:space="0" w:color="000000"/>
          <w:right w:val="single" w:sz="4" w:space="0" w:color="4BACC6"/>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EF3" w:fill="DAEEF3"/>
      </w:tcPr>
    </w:tblStylePr>
    <w:tblStylePr w:type="band2Vert">
      <w:pPr>
        <w:snapToGrid/>
      </w:pPr>
    </w:tblStylePr>
    <w:tblStylePr w:type="band1Horz">
      <w:pPr>
        <w:snapToGrid/>
      </w:pPr>
      <w:rPr>
        <w:rFonts w:ascii="Arial" w:hAnsi="Arial"/>
        <w:color w:val="404040"/>
        <w:sz w:val="22"/>
      </w:rPr>
      <w:tblPr/>
      <w:tcPr>
        <w:shd w:val="clear" w:color="DAEEF3" w:fill="DAEE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tblPr>
      <w:tblBorders>
        <w:top w:val="nil"/>
        <w:left w:val="nil"/>
        <w:bottom w:val="single" w:sz="4" w:space="0" w:color="F79646"/>
        <w:right w:val="nil"/>
        <w:insideH w:val="single" w:sz="4" w:space="0" w:color="F79646"/>
        <w:insideV w:val="single" w:sz="4" w:space="0" w:color="F7964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F79646"/>
          <w:right w:val="none" w:sz="0" w:space="0" w:color="000000"/>
        </w:tcBorders>
        <w:shd w:val="clear" w:color="FFFFFF" w:fill="FFFFFF"/>
      </w:tcPr>
    </w:tblStylePr>
    <w:tblStylePr w:type="lastRow">
      <w:pPr>
        <w:snapToGrid/>
      </w:pPr>
      <w:rPr>
        <w:b/>
        <w:color w:val="404040"/>
      </w:rPr>
      <w:tblPr/>
      <w:tcPr>
        <w:tcBorders>
          <w:top w:val="single" w:sz="4" w:space="0" w:color="F79646"/>
          <w:left w:val="none" w:sz="0" w:space="0" w:color="000000"/>
          <w:bottom w:val="none" w:sz="0" w:space="0" w:color="000000"/>
          <w:right w:val="single" w:sz="4" w:space="0" w:color="F79646"/>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9D9" w:fill="FDE9D9"/>
      </w:tcPr>
    </w:tblStylePr>
    <w:tblStylePr w:type="band2Vert">
      <w:pPr>
        <w:snapToGrid/>
      </w:pPr>
    </w:tblStylePr>
    <w:tblStylePr w:type="band1Horz">
      <w:pPr>
        <w:snapToGrid/>
      </w:pPr>
      <w:rPr>
        <w:rFonts w:ascii="Arial" w:hAnsi="Arial"/>
        <w:color w:val="404040"/>
        <w:sz w:val="22"/>
      </w:rPr>
      <w:tblPr/>
      <w:tcPr>
        <w:shd w:val="clear" w:color="FDE9D9" w:fill="FDE9D9"/>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tblPr>
      <w:tblBorders>
        <w:top w:val="nil"/>
        <w:left w:val="nil"/>
        <w:bottom w:val="single" w:sz="4" w:space="0" w:color="6B6B6B"/>
        <w:right w:val="nil"/>
        <w:insideH w:val="single" w:sz="4" w:space="0" w:color="6B6B6B"/>
        <w:insideV w:val="single" w:sz="4" w:space="0" w:color="6B6B6B"/>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CACACA" w:fill="CACACA"/>
      </w:tcPr>
    </w:tblStylePr>
    <w:tblStylePr w:type="band2Vert">
      <w:pPr>
        <w:snapToGrid/>
      </w:pPr>
    </w:tblStylePr>
    <w:tblStylePr w:type="band1Horz">
      <w:pPr>
        <w:snapToGrid/>
      </w:pPr>
      <w:rPr>
        <w:rFonts w:ascii="Arial" w:hAnsi="Arial"/>
        <w:color w:val="404040"/>
        <w:sz w:val="22"/>
      </w:rPr>
      <w:tblPr/>
      <w:tcPr>
        <w:shd w:val="clear" w:color="CACACA" w:fill="CACAC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tblPr>
      <w:tblBorders>
        <w:top w:val="nil"/>
        <w:left w:val="nil"/>
        <w:bottom w:val="single" w:sz="4" w:space="0" w:color="5D8BC2"/>
        <w:right w:val="nil"/>
        <w:insideH w:val="single" w:sz="4" w:space="0" w:color="5D8BC2"/>
        <w:insideV w:val="single" w:sz="4" w:space="0" w:color="5D8BC2"/>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DBE5F1" w:fill="DBE5F1"/>
      </w:tcPr>
    </w:tblStylePr>
    <w:tblStylePr w:type="band2Vert">
      <w:pPr>
        <w:snapToGrid/>
      </w:pPr>
    </w:tblStylePr>
    <w:tblStylePr w:type="band1Horz">
      <w:pPr>
        <w:snapToGrid/>
      </w:pPr>
      <w:rPr>
        <w:rFonts w:ascii="Arial" w:hAnsi="Arial"/>
        <w:color w:val="404040"/>
        <w:sz w:val="22"/>
      </w:rPr>
      <w:tblPr/>
      <w:tcPr>
        <w:shd w:val="clear" w:color="DBE5F1" w:fill="DBE5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tblPr>
      <w:tblBorders>
        <w:top w:val="nil"/>
        <w:left w:val="nil"/>
        <w:bottom w:val="single" w:sz="4" w:space="0" w:color="DA9896"/>
        <w:right w:val="nil"/>
        <w:insideH w:val="single" w:sz="4" w:space="0" w:color="DA9896"/>
        <w:insideV w:val="single" w:sz="4" w:space="0" w:color="DA989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F2DCDC" w:fill="F2DCDC"/>
      </w:tcPr>
    </w:tblStylePr>
    <w:tblStylePr w:type="band2Vert">
      <w:pPr>
        <w:snapToGrid/>
      </w:pPr>
    </w:tblStylePr>
    <w:tblStylePr w:type="band1Horz">
      <w:pPr>
        <w:snapToGrid/>
      </w:pPr>
      <w:rPr>
        <w:rFonts w:ascii="Arial" w:hAnsi="Arial"/>
        <w:color w:val="404040"/>
        <w:sz w:val="22"/>
      </w:rPr>
      <w:tblPr/>
      <w:tcPr>
        <w:shd w:val="clear" w:color="F2DCDC" w:fill="F2DC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Borders>
        <w:top w:val="nil"/>
        <w:left w:val="nil"/>
        <w:bottom w:val="single" w:sz="4" w:space="0" w:color="9BBB59"/>
        <w:right w:val="nil"/>
        <w:insideH w:val="single" w:sz="4" w:space="0" w:color="9BBB59"/>
        <w:insideV w:val="single" w:sz="4" w:space="0" w:color="9BBB59"/>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EAF1DD" w:fill="EAF1DD"/>
      </w:tcPr>
    </w:tblStylePr>
    <w:tblStylePr w:type="band2Vert">
      <w:pPr>
        <w:snapToGrid/>
      </w:pPr>
    </w:tblStylePr>
    <w:tblStylePr w:type="band1Horz">
      <w:pPr>
        <w:snapToGrid/>
      </w:pPr>
      <w:rPr>
        <w:rFonts w:ascii="Arial" w:hAnsi="Arial"/>
        <w:color w:val="404040"/>
        <w:sz w:val="22"/>
      </w:rPr>
      <w:tblPr/>
      <w:tcPr>
        <w:shd w:val="clear" w:color="EAF1DD" w:fill="EAF1D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Borders>
        <w:top w:val="nil"/>
        <w:left w:val="nil"/>
        <w:bottom w:val="single" w:sz="4" w:space="0" w:color="B3A2C7"/>
        <w:right w:val="nil"/>
        <w:insideH w:val="single" w:sz="4" w:space="0" w:color="B3A2C7"/>
        <w:insideV w:val="single" w:sz="4" w:space="0" w:color="B3A2C7"/>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E5DFEC" w:fill="E5DFEC"/>
      </w:tcPr>
    </w:tblStylePr>
    <w:tblStylePr w:type="band2Vert">
      <w:pPr>
        <w:snapToGrid/>
      </w:pPr>
    </w:tblStylePr>
    <w:tblStylePr w:type="band1Horz">
      <w:pPr>
        <w:snapToGrid/>
      </w:pPr>
      <w:rPr>
        <w:rFonts w:ascii="Arial" w:hAnsi="Arial"/>
        <w:color w:val="404040"/>
        <w:sz w:val="22"/>
      </w:rPr>
      <w:tblPr/>
      <w:tcPr>
        <w:shd w:val="clear" w:color="E5DFEC" w:fill="E5DF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Borders>
        <w:top w:val="nil"/>
        <w:left w:val="nil"/>
        <w:bottom w:val="single" w:sz="4" w:space="0" w:color="4BACC6"/>
        <w:right w:val="nil"/>
        <w:insideH w:val="single" w:sz="4" w:space="0" w:color="4BACC6"/>
        <w:insideV w:val="single" w:sz="4" w:space="0" w:color="4BACC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DAEEF3" w:fill="DAEEF3"/>
      </w:tcPr>
    </w:tblStylePr>
    <w:tblStylePr w:type="band2Vert">
      <w:pPr>
        <w:snapToGrid/>
      </w:pPr>
    </w:tblStylePr>
    <w:tblStylePr w:type="band1Horz">
      <w:pPr>
        <w:snapToGrid/>
      </w:pPr>
      <w:rPr>
        <w:rFonts w:ascii="Arial" w:hAnsi="Arial"/>
        <w:color w:val="404040"/>
        <w:sz w:val="22"/>
      </w:rPr>
      <w:tblPr/>
      <w:tcPr>
        <w:shd w:val="clear" w:color="DAEEF3" w:fill="DAEE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Borders>
        <w:top w:val="nil"/>
        <w:left w:val="nil"/>
        <w:bottom w:val="single" w:sz="4" w:space="0" w:color="F79646"/>
        <w:right w:val="nil"/>
        <w:insideH w:val="single" w:sz="4" w:space="0" w:color="F79646"/>
        <w:insideV w:val="single" w:sz="4" w:space="0" w:color="F7964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FDE9D9" w:fill="FDE9D9"/>
      </w:tcPr>
    </w:tblStylePr>
    <w:tblStylePr w:type="band2Vert">
      <w:pPr>
        <w:snapToGrid/>
      </w:pPr>
    </w:tblStylePr>
    <w:tblStylePr w:type="band1Horz">
      <w:pPr>
        <w:snapToGrid/>
      </w:pPr>
      <w:rPr>
        <w:rFonts w:ascii="Arial" w:hAnsi="Arial"/>
        <w:color w:val="404040"/>
        <w:sz w:val="22"/>
      </w:rPr>
      <w:tblPr/>
      <w:tcPr>
        <w:shd w:val="clear" w:color="FDE9D9" w:fill="FDE9D9"/>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tblPr>
      <w:tblBorders>
        <w:top w:val="single" w:sz="4" w:space="0" w:color="707070"/>
        <w:left w:val="single" w:sz="4" w:space="0" w:color="707070"/>
        <w:bottom w:val="single" w:sz="4" w:space="0" w:color="707070"/>
        <w:right w:val="single" w:sz="4" w:space="0" w:color="707070"/>
        <w:insideH w:val="single" w:sz="4" w:space="0" w:color="707070"/>
        <w:insideV w:val="single" w:sz="4" w:space="0" w:color="70707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pPr>
        <w:snapToGrid/>
      </w:pPr>
      <w:rPr>
        <w:b/>
        <w:color w:val="404040"/>
      </w:rPr>
      <w:tblPr/>
      <w:tcPr>
        <w:tcBorders>
          <w:top w:val="single" w:sz="4" w:space="0" w:color="000000"/>
          <w:right w:val="singl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ACACA" w:fill="CACACA"/>
      </w:tcPr>
    </w:tblStylePr>
    <w:tblStylePr w:type="band2Vert">
      <w:pPr>
        <w:snapToGrid/>
      </w:pPr>
    </w:tblStylePr>
    <w:tblStylePr w:type="band1Horz">
      <w:pPr>
        <w:snapToGrid/>
      </w:pPr>
      <w:rPr>
        <w:rFonts w:ascii="Arial" w:hAnsi="Arial"/>
        <w:color w:val="404040"/>
        <w:sz w:val="22"/>
      </w:rPr>
      <w:tblPr/>
      <w:tcPr>
        <w:shd w:val="clear" w:color="CACACA" w:fill="CACAC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tblPr>
      <w:tblBorders>
        <w:top w:val="single" w:sz="4" w:space="0" w:color="9CB8DA"/>
        <w:left w:val="single" w:sz="4" w:space="0" w:color="9CB8DA"/>
        <w:bottom w:val="single" w:sz="4" w:space="0" w:color="9CB8DA"/>
        <w:right w:val="single" w:sz="4" w:space="0" w:color="9CB8DA"/>
        <w:insideH w:val="single" w:sz="4" w:space="0" w:color="9CB8DA"/>
        <w:insideV w:val="single" w:sz="4" w:space="0" w:color="9CB8DA"/>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5D8BC2"/>
          <w:left w:val="single" w:sz="4" w:space="0" w:color="5D8BC2"/>
          <w:bottom w:val="single" w:sz="4" w:space="0" w:color="5D8BC2"/>
          <w:right w:val="single" w:sz="4" w:space="0" w:color="5D8BC2"/>
        </w:tcBorders>
        <w:shd w:val="clear" w:color="5D8BC2" w:fill="5D8BC2"/>
      </w:tcPr>
    </w:tblStylePr>
    <w:tblStylePr w:type="lastRow">
      <w:pPr>
        <w:snapToGrid/>
      </w:pPr>
      <w:rPr>
        <w:b/>
        <w:color w:val="404040"/>
      </w:rPr>
      <w:tblPr/>
      <w:tcPr>
        <w:tcBorders>
          <w:top w:val="single" w:sz="4" w:space="0" w:color="5D8BC2"/>
          <w:right w:val="single" w:sz="4" w:space="0" w:color="5D8BC2"/>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CE6F2" w:fill="DCE6F2"/>
      </w:tcPr>
    </w:tblStylePr>
    <w:tblStylePr w:type="band2Vert">
      <w:pPr>
        <w:snapToGrid/>
      </w:pPr>
    </w:tblStylePr>
    <w:tblStylePr w:type="band1Horz">
      <w:pPr>
        <w:snapToGrid/>
      </w:pPr>
      <w:rPr>
        <w:rFonts w:ascii="Arial" w:hAnsi="Arial"/>
        <w:color w:val="404040"/>
        <w:sz w:val="22"/>
      </w:rPr>
      <w:tblPr/>
      <w:tcPr>
        <w:shd w:val="clear" w:color="DCE6F2" w:fill="DCE6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Borders>
        <w:top w:val="single" w:sz="4" w:space="0" w:color="DC9D9B"/>
        <w:left w:val="single" w:sz="4" w:space="0" w:color="DC9D9B"/>
        <w:bottom w:val="single" w:sz="4" w:space="0" w:color="DC9D9B"/>
        <w:right w:val="single" w:sz="4" w:space="0" w:color="DC9D9B"/>
        <w:insideH w:val="single" w:sz="4" w:space="0" w:color="DC9D9B"/>
        <w:insideV w:val="single" w:sz="4" w:space="0" w:color="DC9D9B"/>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DA9896"/>
          <w:left w:val="single" w:sz="4" w:space="0" w:color="DA9896"/>
          <w:bottom w:val="single" w:sz="4" w:space="0" w:color="DA9896"/>
          <w:right w:val="single" w:sz="4" w:space="0" w:color="DA9896"/>
        </w:tcBorders>
        <w:shd w:val="clear" w:color="D99795" w:fill="D99795"/>
      </w:tcPr>
    </w:tblStylePr>
    <w:tblStylePr w:type="lastRow">
      <w:pPr>
        <w:snapToGrid/>
      </w:pPr>
      <w:rPr>
        <w:b/>
        <w:color w:val="404040"/>
      </w:rPr>
      <w:tblPr/>
      <w:tcPr>
        <w:tcBorders>
          <w:top w:val="single" w:sz="4" w:space="0" w:color="DA9896"/>
          <w:right w:val="single" w:sz="4" w:space="0" w:color="DA989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DCDC" w:fill="F2DCDC"/>
      </w:tcPr>
    </w:tblStylePr>
    <w:tblStylePr w:type="band2Vert">
      <w:pPr>
        <w:snapToGrid/>
      </w:pPr>
    </w:tblStylePr>
    <w:tblStylePr w:type="band1Horz">
      <w:pPr>
        <w:snapToGrid/>
      </w:pPr>
      <w:rPr>
        <w:rFonts w:ascii="Arial" w:hAnsi="Arial"/>
        <w:color w:val="404040"/>
        <w:sz w:val="22"/>
      </w:rPr>
      <w:tblPr/>
      <w:tcPr>
        <w:shd w:val="clear" w:color="F2DCDC" w:fill="F2DC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Borders>
        <w:top w:val="single" w:sz="4" w:space="0" w:color="C7D9A2"/>
        <w:left w:val="single" w:sz="4" w:space="0" w:color="C7D9A2"/>
        <w:bottom w:val="single" w:sz="4" w:space="0" w:color="C7D9A2"/>
        <w:right w:val="single" w:sz="4" w:space="0" w:color="C7D9A2"/>
        <w:insideH w:val="single" w:sz="4" w:space="0" w:color="C7D9A2"/>
        <w:insideV w:val="single" w:sz="4" w:space="0" w:color="C7D9A2"/>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9BBB59"/>
          <w:left w:val="single" w:sz="4" w:space="0" w:color="9BBB59"/>
          <w:bottom w:val="single" w:sz="4" w:space="0" w:color="9BBB59"/>
          <w:right w:val="single" w:sz="4" w:space="0" w:color="9BBB59"/>
        </w:tcBorders>
        <w:shd w:val="clear" w:color="9BBB59" w:fill="9BBB59"/>
      </w:tcPr>
    </w:tblStylePr>
    <w:tblStylePr w:type="lastRow">
      <w:pPr>
        <w:snapToGrid/>
      </w:pPr>
      <w:rPr>
        <w:b/>
        <w:color w:val="404040"/>
      </w:rPr>
      <w:tblPr/>
      <w:tcPr>
        <w:tcBorders>
          <w:top w:val="single" w:sz="4" w:space="0" w:color="9BBB59"/>
          <w:right w:val="single" w:sz="4" w:space="0" w:color="9BBB59"/>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AF1DD" w:fill="EAF1DD"/>
      </w:tcPr>
    </w:tblStylePr>
    <w:tblStylePr w:type="band2Vert">
      <w:pPr>
        <w:snapToGrid/>
      </w:pPr>
    </w:tblStylePr>
    <w:tblStylePr w:type="band1Horz">
      <w:pPr>
        <w:snapToGrid/>
      </w:pPr>
      <w:rPr>
        <w:rFonts w:ascii="Arial" w:hAnsi="Arial"/>
        <w:color w:val="404040"/>
        <w:sz w:val="22"/>
      </w:rPr>
      <w:tblPr/>
      <w:tcPr>
        <w:shd w:val="clear" w:color="EAF1DD" w:fill="EAF1D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tblPr>
      <w:tblBorders>
        <w:top w:val="single" w:sz="4" w:space="0" w:color="B8A8CB"/>
        <w:left w:val="single" w:sz="4" w:space="0" w:color="B8A8CB"/>
        <w:bottom w:val="single" w:sz="4" w:space="0" w:color="B8A8CB"/>
        <w:right w:val="single" w:sz="4" w:space="0" w:color="B8A8CB"/>
        <w:insideH w:val="single" w:sz="4" w:space="0" w:color="B8A8CB"/>
        <w:insideV w:val="single" w:sz="4" w:space="0" w:color="B8A8CB"/>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B3A2C7"/>
          <w:left w:val="single" w:sz="4" w:space="0" w:color="B3A2C7"/>
          <w:bottom w:val="single" w:sz="4" w:space="0" w:color="B3A2C7"/>
          <w:right w:val="single" w:sz="4" w:space="0" w:color="B3A2C7"/>
        </w:tcBorders>
        <w:shd w:val="clear" w:color="B2A1C6" w:fill="B2A1C6"/>
      </w:tcPr>
    </w:tblStylePr>
    <w:tblStylePr w:type="lastRow">
      <w:pPr>
        <w:snapToGrid/>
      </w:pPr>
      <w:rPr>
        <w:b/>
        <w:color w:val="404040"/>
      </w:rPr>
      <w:tblPr/>
      <w:tcPr>
        <w:tcBorders>
          <w:top w:val="single" w:sz="4" w:space="0" w:color="B3A2C7"/>
          <w:right w:val="single" w:sz="4" w:space="0" w:color="B3A2C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DFEC" w:fill="E5DFEC"/>
      </w:tcPr>
    </w:tblStylePr>
    <w:tblStylePr w:type="band2Vert">
      <w:pPr>
        <w:snapToGrid/>
      </w:pPr>
    </w:tblStylePr>
    <w:tblStylePr w:type="band1Horz">
      <w:pPr>
        <w:snapToGrid/>
      </w:pPr>
      <w:rPr>
        <w:rFonts w:ascii="Arial" w:hAnsi="Arial"/>
        <w:color w:val="404040"/>
        <w:sz w:val="22"/>
      </w:rPr>
      <w:tblPr/>
      <w:tcPr>
        <w:shd w:val="clear" w:color="E5DFEC" w:fill="E5DF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Borders>
        <w:top w:val="single" w:sz="4" w:space="0" w:color="9AD1DF"/>
        <w:left w:val="single" w:sz="4" w:space="0" w:color="9AD1DF"/>
        <w:bottom w:val="single" w:sz="4" w:space="0" w:color="9AD1DF"/>
        <w:right w:val="single" w:sz="4" w:space="0" w:color="9AD1DF"/>
        <w:insideH w:val="single" w:sz="4" w:space="0" w:color="9AD1DF"/>
        <w:insideV w:val="single" w:sz="4" w:space="0" w:color="9AD1DF"/>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pPr>
        <w:snapToGrid/>
      </w:pPr>
      <w:rPr>
        <w:b/>
        <w:color w:val="404040"/>
      </w:rPr>
      <w:tblPr/>
      <w:tcPr>
        <w:tcBorders>
          <w:top w:val="single" w:sz="4" w:space="0" w:color="4BACC6"/>
          <w:right w:val="single" w:sz="4" w:space="0" w:color="4BACC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EF3" w:fill="DAEEF3"/>
      </w:tcPr>
    </w:tblStylePr>
    <w:tblStylePr w:type="band2Vert">
      <w:pPr>
        <w:snapToGrid/>
      </w:pPr>
    </w:tblStylePr>
    <w:tblStylePr w:type="band1Horz">
      <w:pPr>
        <w:snapToGrid/>
      </w:pPr>
      <w:rPr>
        <w:rFonts w:ascii="Arial" w:hAnsi="Arial"/>
        <w:color w:val="404040"/>
        <w:sz w:val="22"/>
      </w:rPr>
      <w:tblPr/>
      <w:tcPr>
        <w:shd w:val="clear" w:color="DAEEF3" w:fill="DAEE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Borders>
        <w:top w:val="single" w:sz="4" w:space="0" w:color="FBC497"/>
        <w:left w:val="single" w:sz="4" w:space="0" w:color="FBC497"/>
        <w:bottom w:val="single" w:sz="4" w:space="0" w:color="FBC497"/>
        <w:right w:val="single" w:sz="4" w:space="0" w:color="FBC497"/>
        <w:insideH w:val="single" w:sz="4" w:space="0" w:color="FBC497"/>
        <w:insideV w:val="single" w:sz="4" w:space="0" w:color="FBC497"/>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pPr>
        <w:snapToGrid/>
      </w:pPr>
      <w:rPr>
        <w:b/>
        <w:color w:val="404040"/>
      </w:rPr>
      <w:tblPr/>
      <w:tcPr>
        <w:tcBorders>
          <w:top w:val="single" w:sz="4" w:space="0" w:color="F79646"/>
          <w:right w:val="single" w:sz="4" w:space="0" w:color="F7964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9D9" w:fill="FDE9D9"/>
      </w:tcPr>
    </w:tblStylePr>
    <w:tblStylePr w:type="band2Vert">
      <w:pPr>
        <w:snapToGrid/>
      </w:pPr>
    </w:tblStylePr>
    <w:tblStylePr w:type="band1Horz">
      <w:pPr>
        <w:snapToGrid/>
      </w:pPr>
      <w:rPr>
        <w:rFonts w:ascii="Arial" w:hAnsi="Arial"/>
        <w:color w:val="404040"/>
        <w:sz w:val="22"/>
      </w:rPr>
      <w:tblPr/>
      <w:tcPr>
        <w:shd w:val="clear" w:color="FDE9D9" w:fill="FDE9D9"/>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000000" w:fill="000000"/>
      </w:tcPr>
    </w:tblStylePr>
    <w:tblStylePr w:type="firstCol">
      <w:pPr>
        <w:snapToGrid/>
      </w:pPr>
      <w:rPr>
        <w:rFonts w:ascii="Arial" w:hAnsi="Arial"/>
        <w:b/>
        <w:color w:val="FFFFFF"/>
        <w:sz w:val="22"/>
      </w:rPr>
      <w:tblPr/>
      <w:tcPr>
        <w:shd w:val="clear" w:color="000000" w:fill="000000"/>
      </w:tcPr>
    </w:tblStylePr>
    <w:tblStylePr w:type="lastCol">
      <w:pPr>
        <w:snapToGrid/>
      </w:pPr>
      <w:rPr>
        <w:rFonts w:ascii="Arial" w:hAnsi="Arial"/>
        <w:b/>
        <w:color w:val="FFFFFF"/>
        <w:sz w:val="22"/>
      </w:rPr>
      <w:tblPr/>
      <w:tcPr>
        <w:shd w:val="clear" w:color="000000" w:fill="000000"/>
      </w:tcPr>
    </w:tblStylePr>
    <w:tblStylePr w:type="band1Vert">
      <w:pPr>
        <w:snapToGrid/>
      </w:pPr>
      <w:tblPr/>
      <w:tcPr>
        <w:shd w:val="clear" w:color="898989" w:fill="898989"/>
      </w:tcPr>
    </w:tblStylePr>
    <w:tblStylePr w:type="band2Vert">
      <w:pPr>
        <w:snapToGrid/>
      </w:pPr>
    </w:tblStylePr>
    <w:tblStylePr w:type="band1Horz">
      <w:pPr>
        <w:snapToGrid/>
      </w:pPr>
      <w:tblPr/>
      <w:tcPr>
        <w:shd w:val="clear" w:color="898989" w:fill="898989"/>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F81BD" w:fill="4F81BD"/>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4F81BD" w:fill="4F81BD"/>
      </w:tcPr>
    </w:tblStylePr>
    <w:tblStylePr w:type="firstCol">
      <w:pPr>
        <w:snapToGrid/>
      </w:pPr>
      <w:rPr>
        <w:rFonts w:ascii="Arial" w:hAnsi="Arial"/>
        <w:b/>
        <w:color w:val="FFFFFF"/>
        <w:sz w:val="22"/>
      </w:rPr>
      <w:tblPr/>
      <w:tcPr>
        <w:shd w:val="clear" w:color="4F81BD" w:fill="4F81BD"/>
      </w:tcPr>
    </w:tblStylePr>
    <w:tblStylePr w:type="lastCol">
      <w:pPr>
        <w:snapToGrid/>
      </w:pPr>
      <w:rPr>
        <w:rFonts w:ascii="Arial" w:hAnsi="Arial"/>
        <w:b/>
        <w:color w:val="FFFFFF"/>
        <w:sz w:val="22"/>
      </w:rPr>
      <w:tblPr/>
      <w:tcPr>
        <w:shd w:val="clear" w:color="4F81BD" w:fill="4F81BD"/>
      </w:tcPr>
    </w:tblStylePr>
    <w:tblStylePr w:type="band1Vert">
      <w:pPr>
        <w:snapToGrid/>
      </w:pPr>
      <w:tblPr/>
      <w:tcPr>
        <w:shd w:val="clear" w:color="AEC5E0" w:fill="AEC5E0"/>
      </w:tcPr>
    </w:tblStylePr>
    <w:tblStylePr w:type="band2Vert">
      <w:pPr>
        <w:snapToGrid/>
      </w:pPr>
    </w:tblStylePr>
    <w:tblStylePr w:type="band1Horz">
      <w:pPr>
        <w:snapToGrid/>
      </w:pPr>
      <w:tblPr/>
      <w:tcPr>
        <w:shd w:val="clear" w:color="AEC5E0" w:fill="AEC5E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C0504D" w:fill="C0504D"/>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C0504D" w:fill="C0504D"/>
      </w:tcPr>
    </w:tblStylePr>
    <w:tblStylePr w:type="firstCol">
      <w:pPr>
        <w:snapToGrid/>
      </w:pPr>
      <w:rPr>
        <w:rFonts w:ascii="Arial" w:hAnsi="Arial"/>
        <w:b/>
        <w:color w:val="FFFFFF"/>
        <w:sz w:val="22"/>
      </w:rPr>
      <w:tblPr/>
      <w:tcPr>
        <w:shd w:val="clear" w:color="C0504D" w:fill="C0504D"/>
      </w:tcPr>
    </w:tblStylePr>
    <w:tblStylePr w:type="lastCol">
      <w:pPr>
        <w:snapToGrid/>
      </w:pPr>
      <w:rPr>
        <w:rFonts w:ascii="Arial" w:hAnsi="Arial"/>
        <w:b/>
        <w:color w:val="FFFFFF"/>
        <w:sz w:val="22"/>
      </w:rPr>
      <w:tblPr/>
      <w:tcPr>
        <w:shd w:val="clear" w:color="C0504D" w:fill="C0504D"/>
      </w:tcPr>
    </w:tblStylePr>
    <w:tblStylePr w:type="band1Vert">
      <w:pPr>
        <w:snapToGrid/>
      </w:pPr>
      <w:tblPr/>
      <w:tcPr>
        <w:shd w:val="clear" w:color="E2AEAD" w:fill="E2AEAD"/>
      </w:tcPr>
    </w:tblStylePr>
    <w:tblStylePr w:type="band2Vert">
      <w:pPr>
        <w:snapToGrid/>
      </w:pPr>
    </w:tblStylePr>
    <w:tblStylePr w:type="band1Horz">
      <w:pPr>
        <w:snapToGrid/>
      </w:pPr>
      <w:tblPr/>
      <w:tcPr>
        <w:shd w:val="clear" w:color="E2AEAD" w:fill="E2AEA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9BBB59" w:fill="9BBB59"/>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9BBB59" w:fill="9BBB59"/>
      </w:tcPr>
    </w:tblStylePr>
    <w:tblStylePr w:type="firstCol">
      <w:pPr>
        <w:snapToGrid/>
      </w:pPr>
      <w:rPr>
        <w:rFonts w:ascii="Arial" w:hAnsi="Arial"/>
        <w:b/>
        <w:color w:val="FFFFFF"/>
        <w:sz w:val="22"/>
      </w:rPr>
      <w:tblPr/>
      <w:tcPr>
        <w:shd w:val="clear" w:color="9BBB59" w:fill="9BBB59"/>
      </w:tcPr>
    </w:tblStylePr>
    <w:tblStylePr w:type="lastCol">
      <w:pPr>
        <w:snapToGrid/>
      </w:pPr>
      <w:rPr>
        <w:rFonts w:ascii="Arial" w:hAnsi="Arial"/>
        <w:b/>
        <w:color w:val="FFFFFF"/>
        <w:sz w:val="22"/>
      </w:rPr>
      <w:tblPr/>
      <w:tcPr>
        <w:shd w:val="clear" w:color="9BBB59" w:fill="9BBB59"/>
      </w:tcPr>
    </w:tblStylePr>
    <w:tblStylePr w:type="band1Vert">
      <w:pPr>
        <w:snapToGrid/>
      </w:pPr>
      <w:tblPr/>
      <w:tcPr>
        <w:shd w:val="clear" w:color="D1DFB2" w:fill="D1DFB2"/>
      </w:tcPr>
    </w:tblStylePr>
    <w:tblStylePr w:type="band2Vert">
      <w:pPr>
        <w:snapToGrid/>
      </w:pPr>
    </w:tblStylePr>
    <w:tblStylePr w:type="band1Horz">
      <w:pPr>
        <w:snapToGrid/>
      </w:pPr>
      <w:tblPr/>
      <w:tcPr>
        <w:shd w:val="clear" w:color="D1DFB2" w:fill="D1DFB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8064A2" w:fill="8064A2"/>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8064A2" w:fill="8064A2"/>
      </w:tcPr>
    </w:tblStylePr>
    <w:tblStylePr w:type="firstCol">
      <w:pPr>
        <w:snapToGrid/>
      </w:pPr>
      <w:rPr>
        <w:rFonts w:ascii="Arial" w:hAnsi="Arial"/>
        <w:b/>
        <w:color w:val="FFFFFF"/>
        <w:sz w:val="22"/>
      </w:rPr>
      <w:tblPr/>
      <w:tcPr>
        <w:shd w:val="clear" w:color="8064A2" w:fill="8064A2"/>
      </w:tcPr>
    </w:tblStylePr>
    <w:tblStylePr w:type="lastCol">
      <w:pPr>
        <w:snapToGrid/>
      </w:pPr>
      <w:rPr>
        <w:rFonts w:ascii="Arial" w:hAnsi="Arial"/>
        <w:b/>
        <w:color w:val="FFFFFF"/>
        <w:sz w:val="22"/>
      </w:rPr>
      <w:tblPr/>
      <w:tcPr>
        <w:shd w:val="clear" w:color="8064A2" w:fill="8064A2"/>
      </w:tcPr>
    </w:tblStylePr>
    <w:tblStylePr w:type="band1Vert">
      <w:pPr>
        <w:snapToGrid/>
      </w:pPr>
      <w:tblPr/>
      <w:tcPr>
        <w:shd w:val="clear" w:color="C4B7D4" w:fill="C4B7D4"/>
      </w:tcPr>
    </w:tblStylePr>
    <w:tblStylePr w:type="band2Vert">
      <w:pPr>
        <w:snapToGrid/>
      </w:pPr>
    </w:tblStylePr>
    <w:tblStylePr w:type="band1Horz">
      <w:pPr>
        <w:snapToGrid/>
      </w:pPr>
      <w:tblPr/>
      <w:tcPr>
        <w:shd w:val="clear" w:color="C4B7D4" w:fill="C4B7D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BACC6" w:fill="4BACC6"/>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4BACC6" w:fill="4BACC6"/>
      </w:tcPr>
    </w:tblStylePr>
    <w:tblStylePr w:type="firstCol">
      <w:pPr>
        <w:snapToGrid/>
      </w:pPr>
      <w:rPr>
        <w:rFonts w:ascii="Arial" w:hAnsi="Arial"/>
        <w:b/>
        <w:color w:val="FFFFFF"/>
        <w:sz w:val="22"/>
      </w:rPr>
      <w:tblPr/>
      <w:tcPr>
        <w:shd w:val="clear" w:color="4BACC6" w:fill="4BACC6"/>
      </w:tcPr>
    </w:tblStylePr>
    <w:tblStylePr w:type="lastCol">
      <w:pPr>
        <w:snapToGrid/>
      </w:pPr>
      <w:rPr>
        <w:rFonts w:ascii="Arial" w:hAnsi="Arial"/>
        <w:b/>
        <w:color w:val="FFFFFF"/>
        <w:sz w:val="22"/>
      </w:rPr>
      <w:tblPr/>
      <w:tcPr>
        <w:shd w:val="clear" w:color="4BACC6" w:fill="4BACC6"/>
      </w:tcPr>
    </w:tblStylePr>
    <w:tblStylePr w:type="band1Vert">
      <w:pPr>
        <w:snapToGrid/>
      </w:pPr>
      <w:tblPr/>
      <w:tcPr>
        <w:shd w:val="clear" w:color="ACD8E4" w:fill="ACD8E4"/>
      </w:tcPr>
    </w:tblStylePr>
    <w:tblStylePr w:type="band2Vert">
      <w:pPr>
        <w:snapToGrid/>
      </w:pPr>
    </w:tblStylePr>
    <w:tblStylePr w:type="band1Horz">
      <w:pPr>
        <w:snapToGrid/>
      </w:pPr>
      <w:tblPr/>
      <w:tcPr>
        <w:shd w:val="clear" w:color="ACD8E4" w:fill="ACD8E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79646" w:fill="F79646"/>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F79646" w:fill="F79646"/>
      </w:tcPr>
    </w:tblStylePr>
    <w:tblStylePr w:type="firstCol">
      <w:pPr>
        <w:snapToGrid/>
      </w:pPr>
      <w:rPr>
        <w:rFonts w:ascii="Arial" w:hAnsi="Arial"/>
        <w:b/>
        <w:color w:val="FFFFFF"/>
        <w:sz w:val="22"/>
      </w:rPr>
      <w:tblPr/>
      <w:tcPr>
        <w:shd w:val="clear" w:color="F79646" w:fill="F79646"/>
      </w:tcPr>
    </w:tblStylePr>
    <w:tblStylePr w:type="lastCol">
      <w:pPr>
        <w:snapToGrid/>
      </w:pPr>
      <w:rPr>
        <w:rFonts w:ascii="Arial" w:hAnsi="Arial"/>
        <w:b/>
        <w:color w:val="FFFFFF"/>
        <w:sz w:val="22"/>
      </w:rPr>
      <w:tblPr/>
      <w:tcPr>
        <w:shd w:val="clear" w:color="F79646" w:fill="F79646"/>
      </w:tcPr>
    </w:tblStylePr>
    <w:tblStylePr w:type="band1Vert">
      <w:pPr>
        <w:snapToGrid/>
      </w:pPr>
      <w:tblPr/>
      <w:tcPr>
        <w:shd w:val="clear" w:color="FBCEAA" w:fill="FBCEAA"/>
      </w:tcPr>
    </w:tblStylePr>
    <w:tblStylePr w:type="band2Vert">
      <w:pPr>
        <w:snapToGrid/>
      </w:pPr>
    </w:tblStylePr>
    <w:tblStylePr w:type="band1Horz">
      <w:pPr>
        <w:snapToGrid/>
      </w:pPr>
      <w:tblPr/>
      <w:tcPr>
        <w:shd w:val="clear" w:color="FBCEAA" w:fill="FBCEA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tblStylePr w:type="firstRow">
      <w:pPr>
        <w:snapToGrid/>
      </w:pPr>
      <w:rPr>
        <w:b/>
        <w:color w:val="000000"/>
      </w:rPr>
      <w:tblPr/>
      <w:tcPr>
        <w:tcBorders>
          <w:bottom w:val="single" w:sz="12" w:space="0" w:color="808080"/>
        </w:tcBorders>
      </w:tcPr>
    </w:tblStylePr>
    <w:tblStylePr w:type="lastRow">
      <w:pPr>
        <w:snapToGrid/>
      </w:pPr>
      <w:rPr>
        <w:b/>
        <w:color w:val="000000"/>
      </w:rPr>
    </w:tblStylePr>
    <w:tblStylePr w:type="firstCol">
      <w:pPr>
        <w:snapToGrid/>
      </w:pPr>
      <w:rPr>
        <w:b/>
        <w:color w:val="000000"/>
      </w:rPr>
    </w:tblStylePr>
    <w:tblStylePr w:type="lastCol">
      <w:pPr>
        <w:snapToGrid/>
      </w:pPr>
      <w:rPr>
        <w:b/>
        <w:color w:val="000000"/>
      </w:rPr>
    </w:tblStylePr>
    <w:tblStylePr w:type="band1Vert">
      <w:pPr>
        <w:snapToGrid/>
      </w:pPr>
      <w:tblPr/>
      <w:tcPr>
        <w:shd w:val="clear" w:color="CACACA" w:fill="CACACA"/>
      </w:tcPr>
    </w:tblStylePr>
    <w:tblStylePr w:type="band2Vert">
      <w:pPr>
        <w:snapToGrid/>
      </w:pPr>
    </w:tblStylePr>
    <w:tblStylePr w:type="band1Horz">
      <w:pPr>
        <w:snapToGrid/>
      </w:pPr>
      <w:rPr>
        <w:rFonts w:ascii="Arial" w:hAnsi="Arial"/>
        <w:color w:val="000000"/>
        <w:sz w:val="22"/>
      </w:rPr>
      <w:tblPr/>
      <w:tcPr>
        <w:shd w:val="clear" w:color="CACACA" w:fill="CACACA"/>
      </w:tcPr>
    </w:tblStylePr>
    <w:tblStylePr w:type="band2Horz">
      <w:pPr>
        <w:snapToGrid/>
      </w:pPr>
      <w:rPr>
        <w:rFonts w:ascii="Arial" w:hAnsi="Arial"/>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Borders>
        <w:top w:val="single" w:sz="4" w:space="0" w:color="A7C0DE"/>
        <w:left w:val="single" w:sz="4" w:space="0" w:color="A7C0DE"/>
        <w:bottom w:val="single" w:sz="4" w:space="0" w:color="A7C0DE"/>
        <w:right w:val="single" w:sz="4" w:space="0" w:color="A7C0DE"/>
        <w:insideH w:val="single" w:sz="4" w:space="0" w:color="A7C0DE"/>
        <w:insideV w:val="single" w:sz="4" w:space="0" w:color="A7C0DE"/>
      </w:tblBorders>
      <w:tblCellMar>
        <w:top w:w="0" w:type="dxa"/>
        <w:left w:w="108" w:type="dxa"/>
        <w:bottom w:w="0" w:type="dxa"/>
        <w:right w:w="108" w:type="dxa"/>
      </w:tblCellMar>
    </w:tblPr>
    <w:tblStylePr w:type="firstRow">
      <w:pPr>
        <w:snapToGrid/>
      </w:pPr>
      <w:rPr>
        <w:b/>
        <w:color w:val="2E4B6E"/>
      </w:rPr>
      <w:tblPr/>
      <w:tcPr>
        <w:tcBorders>
          <w:bottom w:val="single" w:sz="12" w:space="0" w:color="A7C0DE"/>
        </w:tcBorders>
      </w:tcPr>
    </w:tblStylePr>
    <w:tblStylePr w:type="lastRow">
      <w:pPr>
        <w:snapToGrid/>
      </w:pPr>
      <w:rPr>
        <w:b/>
        <w:color w:val="2E4B6E"/>
      </w:rPr>
    </w:tblStylePr>
    <w:tblStylePr w:type="firstCol">
      <w:pPr>
        <w:snapToGrid/>
      </w:pPr>
      <w:rPr>
        <w:b/>
        <w:color w:val="2E4B6E"/>
      </w:rPr>
    </w:tblStylePr>
    <w:tblStylePr w:type="lastCol">
      <w:pPr>
        <w:snapToGrid/>
      </w:pPr>
      <w:rPr>
        <w:b/>
        <w:color w:val="2E4B6E"/>
      </w:rPr>
    </w:tblStylePr>
    <w:tblStylePr w:type="band1Vert">
      <w:pPr>
        <w:snapToGrid/>
      </w:pPr>
      <w:tblPr/>
      <w:tcPr>
        <w:shd w:val="clear" w:color="DBE5F1" w:fill="DBE5F1"/>
      </w:tcPr>
    </w:tblStylePr>
    <w:tblStylePr w:type="band2Vert">
      <w:pPr>
        <w:snapToGrid/>
      </w:pPr>
    </w:tblStylePr>
    <w:tblStylePr w:type="band1Horz">
      <w:pPr>
        <w:snapToGrid/>
      </w:pPr>
      <w:rPr>
        <w:rFonts w:ascii="Arial" w:hAnsi="Arial"/>
        <w:color w:val="2E4B6E"/>
        <w:sz w:val="22"/>
      </w:rPr>
      <w:tblPr/>
      <w:tcPr>
        <w:shd w:val="clear" w:color="DBE5F1" w:fill="DBE5F1"/>
      </w:tcPr>
    </w:tblStylePr>
    <w:tblStylePr w:type="band2Horz">
      <w:pPr>
        <w:snapToGrid/>
      </w:pPr>
      <w:rPr>
        <w:rFonts w:ascii="Arial" w:hAnsi="Arial"/>
        <w:color w:val="2E4B6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tblPr>
      <w:tblBorders>
        <w:top w:val="single" w:sz="4" w:space="0" w:color="DA9896"/>
        <w:left w:val="single" w:sz="4" w:space="0" w:color="DA9896"/>
        <w:bottom w:val="single" w:sz="4" w:space="0" w:color="DA9896"/>
        <w:right w:val="single" w:sz="4" w:space="0" w:color="DA9896"/>
        <w:insideH w:val="single" w:sz="4" w:space="0" w:color="DA9896"/>
        <w:insideV w:val="single" w:sz="4" w:space="0" w:color="DA9896"/>
      </w:tblBorders>
      <w:tblCellMar>
        <w:top w:w="0" w:type="dxa"/>
        <w:left w:w="108" w:type="dxa"/>
        <w:bottom w:w="0" w:type="dxa"/>
        <w:right w:w="108" w:type="dxa"/>
      </w:tblCellMar>
    </w:tblPr>
    <w:tblStylePr w:type="firstRow">
      <w:pPr>
        <w:snapToGrid/>
      </w:pPr>
      <w:rPr>
        <w:b/>
        <w:color w:val="702E2C"/>
      </w:rPr>
      <w:tblPr/>
      <w:tcPr>
        <w:tcBorders>
          <w:bottom w:val="single" w:sz="12" w:space="0" w:color="DA9896"/>
        </w:tcBorders>
      </w:tcPr>
    </w:tblStylePr>
    <w:tblStylePr w:type="lastRow">
      <w:pPr>
        <w:snapToGrid/>
      </w:pPr>
      <w:rPr>
        <w:b/>
        <w:color w:val="702E2C"/>
      </w:rPr>
    </w:tblStylePr>
    <w:tblStylePr w:type="firstCol">
      <w:pPr>
        <w:snapToGrid/>
      </w:pPr>
      <w:rPr>
        <w:b/>
        <w:color w:val="702E2C"/>
      </w:rPr>
    </w:tblStylePr>
    <w:tblStylePr w:type="lastCol">
      <w:pPr>
        <w:snapToGrid/>
      </w:pPr>
      <w:rPr>
        <w:b/>
        <w:color w:val="702E2C"/>
      </w:rPr>
    </w:tblStylePr>
    <w:tblStylePr w:type="band1Vert">
      <w:pPr>
        <w:snapToGrid/>
      </w:pPr>
      <w:tblPr/>
      <w:tcPr>
        <w:shd w:val="clear" w:color="F2DCDC" w:fill="F2DCDC"/>
      </w:tcPr>
    </w:tblStylePr>
    <w:tblStylePr w:type="band2Vert">
      <w:pPr>
        <w:snapToGrid/>
      </w:pPr>
    </w:tblStylePr>
    <w:tblStylePr w:type="band1Horz">
      <w:pPr>
        <w:snapToGrid/>
      </w:pPr>
      <w:rPr>
        <w:rFonts w:ascii="Arial" w:hAnsi="Arial"/>
        <w:color w:val="702E2C"/>
        <w:sz w:val="22"/>
      </w:rPr>
      <w:tblPr/>
      <w:tcPr>
        <w:shd w:val="clear" w:color="F2DCDC" w:fill="F2DCDC"/>
      </w:tcPr>
    </w:tblStylePr>
    <w:tblStylePr w:type="band2Horz">
      <w:pPr>
        <w:snapToGrid/>
      </w:pPr>
      <w:rPr>
        <w:rFonts w:ascii="Arial" w:hAnsi="Arial"/>
        <w:color w:val="702E2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tblPr>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pPr>
        <w:snapToGrid/>
      </w:pPr>
      <w:rPr>
        <w:b/>
        <w:color w:val="5A6D34"/>
      </w:rPr>
      <w:tblPr/>
      <w:tcPr>
        <w:tcBorders>
          <w:bottom w:val="single" w:sz="12" w:space="0" w:color="9BBB59"/>
        </w:tcBorders>
      </w:tcPr>
    </w:tblStylePr>
    <w:tblStylePr w:type="lastRow">
      <w:pPr>
        <w:snapToGrid/>
      </w:pPr>
      <w:rPr>
        <w:b/>
        <w:color w:val="5A6D34"/>
      </w:rPr>
    </w:tblStylePr>
    <w:tblStylePr w:type="firstCol">
      <w:pPr>
        <w:snapToGrid/>
      </w:pPr>
      <w:rPr>
        <w:b/>
        <w:color w:val="5A6D34"/>
      </w:rPr>
    </w:tblStylePr>
    <w:tblStylePr w:type="lastCol">
      <w:pPr>
        <w:snapToGrid/>
      </w:pPr>
      <w:rPr>
        <w:b/>
        <w:color w:val="5A6D34"/>
      </w:rPr>
    </w:tblStylePr>
    <w:tblStylePr w:type="band1Vert">
      <w:pPr>
        <w:snapToGrid/>
      </w:pPr>
      <w:tblPr/>
      <w:tcPr>
        <w:shd w:val="clear" w:color="EAF1DD" w:fill="EAF1DD"/>
      </w:tcPr>
    </w:tblStylePr>
    <w:tblStylePr w:type="band2Vert">
      <w:pPr>
        <w:snapToGrid/>
      </w:pPr>
    </w:tblStylePr>
    <w:tblStylePr w:type="band1Horz">
      <w:pPr>
        <w:snapToGrid/>
      </w:pPr>
      <w:rPr>
        <w:rFonts w:ascii="Arial" w:hAnsi="Arial"/>
        <w:color w:val="5A6D34"/>
        <w:sz w:val="22"/>
      </w:rPr>
      <w:tblPr/>
      <w:tcPr>
        <w:shd w:val="clear" w:color="EAF1DD" w:fill="EAF1DD"/>
      </w:tcPr>
    </w:tblStylePr>
    <w:tblStylePr w:type="band2Horz">
      <w:pPr>
        <w:snapToGrid/>
      </w:pPr>
      <w:rPr>
        <w:rFonts w:ascii="Arial" w:hAnsi="Arial"/>
        <w:color w:val="5A6D3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Borders>
        <w:top w:val="single" w:sz="4" w:space="0" w:color="B3A2C7"/>
        <w:left w:val="single" w:sz="4" w:space="0" w:color="B3A2C7"/>
        <w:bottom w:val="single" w:sz="4" w:space="0" w:color="B3A2C7"/>
        <w:right w:val="single" w:sz="4" w:space="0" w:color="B3A2C7"/>
        <w:insideH w:val="single" w:sz="4" w:space="0" w:color="B3A2C7"/>
        <w:insideV w:val="single" w:sz="4" w:space="0" w:color="B3A2C7"/>
      </w:tblBorders>
      <w:tblCellMar>
        <w:top w:w="0" w:type="dxa"/>
        <w:left w:w="108" w:type="dxa"/>
        <w:bottom w:w="0" w:type="dxa"/>
        <w:right w:w="108" w:type="dxa"/>
      </w:tblCellMar>
    </w:tblPr>
    <w:tblStylePr w:type="firstRow">
      <w:pPr>
        <w:snapToGrid/>
      </w:pPr>
      <w:rPr>
        <w:b/>
        <w:color w:val="4A3A5E"/>
      </w:rPr>
      <w:tblPr/>
      <w:tcPr>
        <w:tcBorders>
          <w:bottom w:val="single" w:sz="12" w:space="0" w:color="B3A2C7"/>
        </w:tcBorders>
      </w:tcPr>
    </w:tblStylePr>
    <w:tblStylePr w:type="lastRow">
      <w:pPr>
        <w:snapToGrid/>
      </w:pPr>
      <w:rPr>
        <w:b/>
        <w:color w:val="4A3A5E"/>
      </w:rPr>
    </w:tblStylePr>
    <w:tblStylePr w:type="firstCol">
      <w:pPr>
        <w:snapToGrid/>
      </w:pPr>
      <w:rPr>
        <w:b/>
        <w:color w:val="4A3A5E"/>
      </w:rPr>
    </w:tblStylePr>
    <w:tblStylePr w:type="lastCol">
      <w:pPr>
        <w:snapToGrid/>
      </w:pPr>
      <w:rPr>
        <w:b/>
        <w:color w:val="4A3A5E"/>
      </w:rPr>
    </w:tblStylePr>
    <w:tblStylePr w:type="band1Vert">
      <w:pPr>
        <w:snapToGrid/>
      </w:pPr>
      <w:tblPr/>
      <w:tcPr>
        <w:shd w:val="clear" w:color="E5DFEC" w:fill="E5DFEC"/>
      </w:tcPr>
    </w:tblStylePr>
    <w:tblStylePr w:type="band2Vert">
      <w:pPr>
        <w:snapToGrid/>
      </w:pPr>
    </w:tblStylePr>
    <w:tblStylePr w:type="band1Horz">
      <w:pPr>
        <w:snapToGrid/>
      </w:pPr>
      <w:rPr>
        <w:rFonts w:ascii="Arial" w:hAnsi="Arial"/>
        <w:color w:val="4A3A5E"/>
        <w:sz w:val="22"/>
      </w:rPr>
      <w:tblPr/>
      <w:tcPr>
        <w:shd w:val="clear" w:color="E5DFEC" w:fill="E5DFEC"/>
      </w:tcPr>
    </w:tblStylePr>
    <w:tblStylePr w:type="band2Horz">
      <w:pPr>
        <w:snapToGrid/>
      </w:pPr>
      <w:rPr>
        <w:rFonts w:ascii="Arial" w:hAnsi="Arial"/>
        <w:color w:val="4A3A5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pPr>
        <w:snapToGrid/>
      </w:pPr>
      <w:rPr>
        <w:b/>
        <w:color w:val="2B6473"/>
      </w:rPr>
      <w:tblPr/>
      <w:tcPr>
        <w:tcBorders>
          <w:bottom w:val="single" w:sz="12" w:space="0" w:color="4BACC6"/>
        </w:tcBorders>
      </w:tcPr>
    </w:tblStylePr>
    <w:tblStylePr w:type="lastRow">
      <w:pPr>
        <w:snapToGrid/>
      </w:pPr>
      <w:rPr>
        <w:b/>
        <w:color w:val="2B6473"/>
      </w:rPr>
    </w:tblStylePr>
    <w:tblStylePr w:type="firstCol">
      <w:pPr>
        <w:snapToGrid/>
      </w:pPr>
      <w:rPr>
        <w:b/>
        <w:color w:val="2B6473"/>
      </w:rPr>
    </w:tblStylePr>
    <w:tblStylePr w:type="lastCol">
      <w:pPr>
        <w:snapToGrid/>
      </w:pPr>
      <w:rPr>
        <w:b/>
        <w:color w:val="2B6473"/>
      </w:rPr>
    </w:tblStylePr>
    <w:tblStylePr w:type="band1Vert">
      <w:pPr>
        <w:snapToGrid/>
      </w:pPr>
      <w:tblPr/>
      <w:tcPr>
        <w:shd w:val="clear" w:color="DAEEF3" w:fill="DAEEF3"/>
      </w:tcPr>
    </w:tblStylePr>
    <w:tblStylePr w:type="band2Vert">
      <w:pPr>
        <w:snapToGrid/>
      </w:pPr>
    </w:tblStylePr>
    <w:tblStylePr w:type="band1Horz">
      <w:pPr>
        <w:snapToGrid/>
      </w:pPr>
      <w:rPr>
        <w:rFonts w:ascii="Arial" w:hAnsi="Arial"/>
        <w:color w:val="2B6473"/>
        <w:sz w:val="22"/>
      </w:rPr>
      <w:tblPr/>
      <w:tcPr>
        <w:shd w:val="clear" w:color="DAEEF3" w:fill="DAEEF3"/>
      </w:tcPr>
    </w:tblStylePr>
    <w:tblStylePr w:type="band2Horz">
      <w:pPr>
        <w:snapToGrid/>
      </w:pPr>
      <w:rPr>
        <w:rFonts w:ascii="Arial" w:hAnsi="Arial"/>
        <w:color w:val="2B647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pPr>
        <w:snapToGrid/>
      </w:pPr>
      <w:rPr>
        <w:b/>
        <w:color w:val="2B6473"/>
      </w:rPr>
      <w:tblPr/>
      <w:tcPr>
        <w:tcBorders>
          <w:bottom w:val="single" w:sz="12" w:space="0" w:color="F79646"/>
        </w:tcBorders>
      </w:tcPr>
    </w:tblStylePr>
    <w:tblStylePr w:type="lastRow">
      <w:pPr>
        <w:snapToGrid/>
      </w:pPr>
      <w:rPr>
        <w:b/>
        <w:color w:val="2B6473"/>
      </w:rPr>
    </w:tblStylePr>
    <w:tblStylePr w:type="firstCol">
      <w:pPr>
        <w:snapToGrid/>
      </w:pPr>
      <w:rPr>
        <w:b/>
        <w:color w:val="2B6473"/>
      </w:rPr>
    </w:tblStylePr>
    <w:tblStylePr w:type="lastCol">
      <w:pPr>
        <w:snapToGrid/>
      </w:pPr>
      <w:rPr>
        <w:b/>
        <w:color w:val="2B6473"/>
      </w:rPr>
    </w:tblStylePr>
    <w:tblStylePr w:type="band1Vert">
      <w:pPr>
        <w:snapToGrid/>
      </w:pPr>
      <w:tblPr/>
      <w:tcPr>
        <w:shd w:val="clear" w:color="FDE9D9" w:fill="FDE9D9"/>
      </w:tcPr>
    </w:tblStylePr>
    <w:tblStylePr w:type="band2Vert">
      <w:pPr>
        <w:snapToGrid/>
      </w:pPr>
    </w:tblStylePr>
    <w:tblStylePr w:type="band1Horz">
      <w:pPr>
        <w:snapToGrid/>
      </w:pPr>
      <w:rPr>
        <w:rFonts w:ascii="Arial" w:hAnsi="Arial"/>
        <w:color w:val="2B6473"/>
        <w:sz w:val="22"/>
      </w:rPr>
      <w:tblPr/>
      <w:tcPr>
        <w:shd w:val="clear" w:color="FDE9D9" w:fill="FDE9D9"/>
      </w:tcPr>
    </w:tblStylePr>
    <w:tblStylePr w:type="band2Horz">
      <w:pPr>
        <w:snapToGrid/>
      </w:pPr>
      <w:rPr>
        <w:rFonts w:ascii="Arial" w:hAnsi="Arial"/>
        <w:color w:val="2B647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tblPr>
      <w:tblBorders>
        <w:top w:val="nil"/>
        <w:left w:val="nil"/>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tblStylePr w:type="firstRow">
      <w:pPr>
        <w:snapToGrid/>
      </w:pPr>
      <w:rPr>
        <w:rFonts w:ascii="Arial" w:hAnsi="Arial"/>
        <w:b/>
        <w:color w:val="000000"/>
        <w:sz w:val="22"/>
      </w:rPr>
      <w:tblPr/>
      <w:tcPr>
        <w:tcBorders>
          <w:top w:val="none" w:sz="0" w:space="0" w:color="000000"/>
          <w:left w:val="none" w:sz="0" w:space="0" w:color="000000"/>
          <w:bottom w:val="single" w:sz="4" w:space="0" w:color="808080"/>
          <w:right w:val="none" w:sz="0" w:space="0" w:color="000000"/>
        </w:tcBorders>
        <w:shd w:val="clear" w:color="FFFFFF" w:fill="FFFFFF"/>
      </w:tcPr>
    </w:tblStylePr>
    <w:tblStylePr w:type="lastRow">
      <w:pPr>
        <w:snapToGrid/>
      </w:pPr>
      <w:rPr>
        <w:rFonts w:ascii="Arial" w:hAnsi="Arial"/>
        <w:b/>
        <w:color w:val="000000"/>
        <w:sz w:val="22"/>
      </w:rPr>
      <w:tblPr/>
      <w:tcPr>
        <w:tcBorders>
          <w:top w:val="single" w:sz="4" w:space="0" w:color="808080"/>
          <w:left w:val="none" w:sz="0" w:space="0" w:color="000000"/>
          <w:bottom w:val="none" w:sz="0" w:space="0" w:color="000000"/>
          <w:right w:val="single" w:sz="4" w:space="0" w:color="808080"/>
        </w:tcBorders>
        <w:shd w:val="clear" w:color="FFFFFF" w:fill="FFFFFF"/>
      </w:tcPr>
    </w:tblStylePr>
    <w:tblStylePr w:type="firstCol">
      <w:pPr>
        <w:snapToGrid/>
        <w:jc w:val="right"/>
      </w:pPr>
      <w:rPr>
        <w:rFonts w:ascii="Arial" w:hAnsi="Arial"/>
        <w:i/>
        <w:color w:val="000000"/>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000000"/>
        <w:sz w:val="22"/>
      </w:rPr>
      <w:tblPr/>
      <w:tcPr>
        <w:tcBorders>
          <w:top w:val="none" w:sz="0" w:space="0" w:color="000000"/>
          <w:left w:val="single" w:sz="4" w:space="0" w:color="808080"/>
          <w:bottom w:val="none" w:sz="0" w:space="0" w:color="000000"/>
          <w:right w:val="none" w:sz="0" w:space="0" w:color="000000"/>
        </w:tcBorders>
        <w:shd w:val="clear" w:color="FFFFFF" w:fill="FFFFFF"/>
      </w:tcPr>
    </w:tblStylePr>
    <w:tblStylePr w:type="band1Vert">
      <w:pPr>
        <w:snapToGrid/>
      </w:pPr>
      <w:tblPr/>
      <w:tcPr>
        <w:shd w:val="clear" w:color="F1F1F1" w:fill="F1F1F1"/>
      </w:tcPr>
    </w:tblStylePr>
    <w:tblStylePr w:type="band2Vert">
      <w:pPr>
        <w:snapToGrid/>
      </w:pPr>
    </w:tblStylePr>
    <w:tblStylePr w:type="band1Horz">
      <w:pPr>
        <w:snapToGrid/>
      </w:pPr>
      <w:rPr>
        <w:rFonts w:ascii="Arial" w:hAnsi="Arial"/>
        <w:color w:val="000000"/>
        <w:sz w:val="22"/>
      </w:rPr>
      <w:tblPr/>
      <w:tcPr>
        <w:shd w:val="clear" w:color="F1F1F1" w:fill="F1F1F1"/>
      </w:tcPr>
    </w:tblStylePr>
    <w:tblStylePr w:type="band2Horz">
      <w:pPr>
        <w:snapToGrid/>
      </w:pPr>
      <w:rPr>
        <w:rFonts w:ascii="Arial" w:hAnsi="Arial"/>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tblPr>
      <w:tblBorders>
        <w:top w:val="nil"/>
        <w:left w:val="nil"/>
        <w:bottom w:val="single" w:sz="4" w:space="0" w:color="A7C0DE"/>
        <w:right w:val="single" w:sz="4" w:space="0" w:color="A7C0DE"/>
        <w:insideH w:val="single" w:sz="4" w:space="0" w:color="A7C0DE"/>
        <w:insideV w:val="single" w:sz="4" w:space="0" w:color="A7C0DE"/>
      </w:tblBorders>
      <w:tblCellMar>
        <w:top w:w="0" w:type="dxa"/>
        <w:left w:w="108" w:type="dxa"/>
        <w:bottom w:w="0" w:type="dxa"/>
        <w:right w:w="108" w:type="dxa"/>
      </w:tblCellMar>
    </w:tblPr>
    <w:tblStylePr w:type="firstRow">
      <w:pPr>
        <w:snapToGrid/>
      </w:pPr>
      <w:rPr>
        <w:rFonts w:ascii="Arial" w:hAnsi="Arial"/>
        <w:b/>
        <w:color w:val="2E4B6E"/>
        <w:sz w:val="22"/>
      </w:rPr>
      <w:tblPr/>
      <w:tcPr>
        <w:tcBorders>
          <w:top w:val="none" w:sz="0" w:space="0" w:color="000000"/>
          <w:left w:val="none" w:sz="0" w:space="0" w:color="000000"/>
          <w:bottom w:val="single" w:sz="4" w:space="0" w:color="A7C0DE"/>
          <w:right w:val="none" w:sz="0" w:space="0" w:color="000000"/>
        </w:tcBorders>
        <w:shd w:val="clear" w:color="FFFFFF" w:fill="FFFFFF"/>
      </w:tcPr>
    </w:tblStylePr>
    <w:tblStylePr w:type="lastRow">
      <w:pPr>
        <w:snapToGrid/>
      </w:pPr>
      <w:rPr>
        <w:rFonts w:ascii="Arial" w:hAnsi="Arial"/>
        <w:b/>
        <w:color w:val="2E4B6E"/>
        <w:sz w:val="22"/>
      </w:rPr>
      <w:tblPr/>
      <w:tcPr>
        <w:tcBorders>
          <w:top w:val="single" w:sz="4" w:space="0" w:color="A7C0DE"/>
          <w:left w:val="none" w:sz="0" w:space="0" w:color="000000"/>
          <w:bottom w:val="none" w:sz="0" w:space="0" w:color="000000"/>
          <w:right w:val="single" w:sz="4" w:space="0" w:color="A7C0DE"/>
        </w:tcBorders>
        <w:shd w:val="clear" w:color="FFFFFF" w:fill="FFFFFF"/>
      </w:tcPr>
    </w:tblStylePr>
    <w:tblStylePr w:type="firstCol">
      <w:pPr>
        <w:snapToGrid/>
        <w:jc w:val="right"/>
      </w:pPr>
      <w:rPr>
        <w:rFonts w:ascii="Arial" w:hAnsi="Arial"/>
        <w:i/>
        <w:color w:val="2E4B6E"/>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2E4B6E"/>
        <w:sz w:val="22"/>
      </w:rPr>
      <w:tblPr/>
      <w:tcPr>
        <w:tcBorders>
          <w:top w:val="none" w:sz="0" w:space="0" w:color="000000"/>
          <w:left w:val="single" w:sz="4" w:space="0" w:color="A7C0DE"/>
          <w:bottom w:val="none" w:sz="0" w:space="0" w:color="000000"/>
          <w:right w:val="none" w:sz="0" w:space="0" w:color="000000"/>
        </w:tcBorders>
        <w:shd w:val="clear" w:color="FFFFFF" w:fill="FFFFFF"/>
      </w:tcPr>
    </w:tblStylePr>
    <w:tblStylePr w:type="band1Vert">
      <w:pPr>
        <w:snapToGrid/>
      </w:pPr>
      <w:tblPr/>
      <w:tcPr>
        <w:shd w:val="clear" w:color="DBE5F1" w:fill="DBE5F1"/>
      </w:tcPr>
    </w:tblStylePr>
    <w:tblStylePr w:type="band2Vert">
      <w:pPr>
        <w:snapToGrid/>
      </w:pPr>
    </w:tblStylePr>
    <w:tblStylePr w:type="band1Horz">
      <w:pPr>
        <w:snapToGrid/>
      </w:pPr>
      <w:rPr>
        <w:rFonts w:ascii="Arial" w:hAnsi="Arial"/>
        <w:color w:val="2E4B6E"/>
        <w:sz w:val="22"/>
      </w:rPr>
      <w:tblPr/>
      <w:tcPr>
        <w:shd w:val="clear" w:color="DBE5F1" w:fill="DBE5F1"/>
      </w:tcPr>
    </w:tblStylePr>
    <w:tblStylePr w:type="band2Horz">
      <w:pPr>
        <w:snapToGrid/>
      </w:pPr>
      <w:rPr>
        <w:rFonts w:ascii="Arial" w:hAnsi="Arial"/>
        <w:color w:val="2E4B6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Borders>
        <w:top w:val="nil"/>
        <w:left w:val="nil"/>
        <w:bottom w:val="single" w:sz="4" w:space="0" w:color="DA9896"/>
        <w:right w:val="single" w:sz="4" w:space="0" w:color="DA9896"/>
        <w:insideH w:val="single" w:sz="4" w:space="0" w:color="DA9896"/>
        <w:insideV w:val="single" w:sz="4" w:space="0" w:color="DA9896"/>
      </w:tblBorders>
      <w:tblCellMar>
        <w:top w:w="0" w:type="dxa"/>
        <w:left w:w="108" w:type="dxa"/>
        <w:bottom w:w="0" w:type="dxa"/>
        <w:right w:w="108" w:type="dxa"/>
      </w:tblCellMar>
    </w:tblPr>
    <w:tblStylePr w:type="firstRow">
      <w:pPr>
        <w:snapToGrid/>
      </w:pPr>
      <w:rPr>
        <w:rFonts w:ascii="Arial" w:hAnsi="Arial"/>
        <w:b/>
        <w:color w:val="702E2C"/>
        <w:sz w:val="22"/>
      </w:rPr>
      <w:tblPr/>
      <w:tcPr>
        <w:tcBorders>
          <w:top w:val="none" w:sz="0" w:space="0" w:color="000000"/>
          <w:left w:val="none" w:sz="0" w:space="0" w:color="000000"/>
          <w:bottom w:val="single" w:sz="4" w:space="0" w:color="DA9896"/>
          <w:right w:val="none" w:sz="0" w:space="0" w:color="000000"/>
        </w:tcBorders>
        <w:shd w:val="clear" w:color="FFFFFF" w:fill="FFFFFF"/>
      </w:tcPr>
    </w:tblStylePr>
    <w:tblStylePr w:type="lastRow">
      <w:pPr>
        <w:snapToGrid/>
      </w:pPr>
      <w:rPr>
        <w:rFonts w:ascii="Arial" w:hAnsi="Arial"/>
        <w:b/>
        <w:color w:val="702E2C"/>
        <w:sz w:val="22"/>
      </w:rPr>
      <w:tblPr/>
      <w:tcPr>
        <w:tcBorders>
          <w:top w:val="single" w:sz="4" w:space="0" w:color="DA9896"/>
          <w:left w:val="none" w:sz="0" w:space="0" w:color="000000"/>
          <w:bottom w:val="none" w:sz="0" w:space="0" w:color="000000"/>
          <w:right w:val="single" w:sz="4" w:space="0" w:color="DA9896"/>
        </w:tcBorders>
        <w:shd w:val="clear" w:color="FFFFFF" w:fill="FFFFFF"/>
      </w:tcPr>
    </w:tblStylePr>
    <w:tblStylePr w:type="firstCol">
      <w:pPr>
        <w:snapToGrid/>
        <w:jc w:val="right"/>
      </w:pPr>
      <w:rPr>
        <w:rFonts w:ascii="Arial" w:hAnsi="Arial"/>
        <w:i/>
        <w:color w:val="702E2C"/>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702E2C"/>
        <w:sz w:val="22"/>
      </w:rPr>
      <w:tblPr/>
      <w:tcPr>
        <w:tcBorders>
          <w:top w:val="none" w:sz="0" w:space="0" w:color="000000"/>
          <w:left w:val="single" w:sz="4" w:space="0" w:color="DA9896"/>
          <w:bottom w:val="none" w:sz="0" w:space="0" w:color="000000"/>
          <w:right w:val="none" w:sz="0" w:space="0" w:color="000000"/>
        </w:tcBorders>
        <w:shd w:val="clear" w:color="FFFFFF" w:fill="FFFFFF"/>
      </w:tcPr>
    </w:tblStylePr>
    <w:tblStylePr w:type="band1Vert">
      <w:pPr>
        <w:snapToGrid/>
      </w:pPr>
      <w:tblPr/>
      <w:tcPr>
        <w:shd w:val="clear" w:color="F2DCDC" w:fill="F2DCDC"/>
      </w:tcPr>
    </w:tblStylePr>
    <w:tblStylePr w:type="band2Vert">
      <w:pPr>
        <w:snapToGrid/>
      </w:pPr>
    </w:tblStylePr>
    <w:tblStylePr w:type="band1Horz">
      <w:pPr>
        <w:snapToGrid/>
      </w:pPr>
      <w:rPr>
        <w:rFonts w:ascii="Arial" w:hAnsi="Arial"/>
        <w:color w:val="702E2C"/>
        <w:sz w:val="22"/>
      </w:rPr>
      <w:tblPr/>
      <w:tcPr>
        <w:shd w:val="clear" w:color="F2DCDC" w:fill="F2DCDC"/>
      </w:tcPr>
    </w:tblStylePr>
    <w:tblStylePr w:type="band2Horz">
      <w:pPr>
        <w:snapToGrid/>
      </w:pPr>
      <w:rPr>
        <w:rFonts w:ascii="Arial" w:hAnsi="Arial"/>
        <w:color w:val="702E2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tblPr>
      <w:tblBorders>
        <w:top w:val="nil"/>
        <w:left w:val="nil"/>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pPr>
        <w:snapToGrid/>
      </w:pPr>
      <w:rPr>
        <w:rFonts w:ascii="Arial" w:hAnsi="Arial"/>
        <w:b/>
        <w:color w:val="5A6D34"/>
        <w:sz w:val="22"/>
      </w:rPr>
      <w:tblPr/>
      <w:tcPr>
        <w:tcBorders>
          <w:top w:val="none" w:sz="0" w:space="0" w:color="000000"/>
          <w:left w:val="none" w:sz="0" w:space="0" w:color="000000"/>
          <w:bottom w:val="single" w:sz="4" w:space="0" w:color="9BBB59"/>
          <w:right w:val="none" w:sz="0" w:space="0" w:color="000000"/>
        </w:tcBorders>
        <w:shd w:val="clear" w:color="FFFFFF" w:fill="FFFFFF"/>
      </w:tcPr>
    </w:tblStylePr>
    <w:tblStylePr w:type="lastRow">
      <w:pPr>
        <w:snapToGrid/>
      </w:pPr>
      <w:rPr>
        <w:rFonts w:ascii="Arial" w:hAnsi="Arial"/>
        <w:b/>
        <w:color w:val="5A6D34"/>
        <w:sz w:val="22"/>
      </w:rPr>
      <w:tblPr/>
      <w:tcPr>
        <w:tcBorders>
          <w:top w:val="single" w:sz="4" w:space="0" w:color="9BBB59"/>
          <w:left w:val="none" w:sz="0" w:space="0" w:color="000000"/>
          <w:bottom w:val="none" w:sz="0" w:space="0" w:color="000000"/>
          <w:right w:val="single" w:sz="4" w:space="0" w:color="9BBB59"/>
        </w:tcBorders>
        <w:shd w:val="clear" w:color="FFFFFF" w:fill="FFFFFF"/>
      </w:tcPr>
    </w:tblStylePr>
    <w:tblStylePr w:type="firstCol">
      <w:pPr>
        <w:snapToGrid/>
        <w:jc w:val="right"/>
      </w:pPr>
      <w:rPr>
        <w:rFonts w:ascii="Arial" w:hAnsi="Arial"/>
        <w:i/>
        <w:color w:val="5A6D34"/>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5A6D34"/>
        <w:sz w:val="22"/>
      </w:rPr>
      <w:tblPr/>
      <w:tcPr>
        <w:tcBorders>
          <w:top w:val="none" w:sz="0" w:space="0" w:color="000000"/>
          <w:left w:val="single" w:sz="4" w:space="0" w:color="9BBB59"/>
          <w:bottom w:val="none" w:sz="0" w:space="0" w:color="000000"/>
          <w:right w:val="none" w:sz="0" w:space="0" w:color="000000"/>
        </w:tcBorders>
        <w:shd w:val="clear" w:color="FFFFFF" w:fill="FFFFFF"/>
      </w:tcPr>
    </w:tblStylePr>
    <w:tblStylePr w:type="band1Vert">
      <w:pPr>
        <w:snapToGrid/>
      </w:pPr>
      <w:tblPr/>
      <w:tcPr>
        <w:shd w:val="clear" w:color="EAF1DD" w:fill="EAF1DD"/>
      </w:tcPr>
    </w:tblStylePr>
    <w:tblStylePr w:type="band2Vert">
      <w:pPr>
        <w:snapToGrid/>
      </w:pPr>
    </w:tblStylePr>
    <w:tblStylePr w:type="band1Horz">
      <w:pPr>
        <w:snapToGrid/>
      </w:pPr>
      <w:rPr>
        <w:rFonts w:ascii="Arial" w:hAnsi="Arial"/>
        <w:color w:val="5A6D34"/>
        <w:sz w:val="22"/>
      </w:rPr>
      <w:tblPr/>
      <w:tcPr>
        <w:shd w:val="clear" w:color="EAF1DD" w:fill="EAF1DD"/>
      </w:tcPr>
    </w:tblStylePr>
    <w:tblStylePr w:type="band2Horz">
      <w:pPr>
        <w:snapToGrid/>
      </w:pPr>
      <w:rPr>
        <w:rFonts w:ascii="Arial" w:hAnsi="Arial"/>
        <w:color w:val="5A6D3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Borders>
        <w:top w:val="nil"/>
        <w:left w:val="nil"/>
        <w:bottom w:val="single" w:sz="4" w:space="0" w:color="B3A2C7"/>
        <w:right w:val="single" w:sz="4" w:space="0" w:color="B3A2C7"/>
        <w:insideH w:val="single" w:sz="4" w:space="0" w:color="B3A2C7"/>
        <w:insideV w:val="single" w:sz="4" w:space="0" w:color="B3A2C7"/>
      </w:tblBorders>
      <w:tblCellMar>
        <w:top w:w="0" w:type="dxa"/>
        <w:left w:w="108" w:type="dxa"/>
        <w:bottom w:w="0" w:type="dxa"/>
        <w:right w:w="108" w:type="dxa"/>
      </w:tblCellMar>
    </w:tblPr>
    <w:tblStylePr w:type="firstRow">
      <w:pPr>
        <w:snapToGrid/>
      </w:pPr>
      <w:rPr>
        <w:rFonts w:ascii="Arial" w:hAnsi="Arial"/>
        <w:b/>
        <w:color w:val="4A3A5E"/>
        <w:sz w:val="22"/>
      </w:rPr>
      <w:tblPr/>
      <w:tcPr>
        <w:tcBorders>
          <w:top w:val="none" w:sz="0" w:space="0" w:color="000000"/>
          <w:left w:val="none" w:sz="0" w:space="0" w:color="000000"/>
          <w:bottom w:val="single" w:sz="4" w:space="0" w:color="B3A2C7"/>
          <w:right w:val="none" w:sz="0" w:space="0" w:color="000000"/>
        </w:tcBorders>
        <w:shd w:val="clear" w:color="FFFFFF" w:fill="FFFFFF"/>
      </w:tcPr>
    </w:tblStylePr>
    <w:tblStylePr w:type="lastRow">
      <w:pPr>
        <w:snapToGrid/>
      </w:pPr>
      <w:rPr>
        <w:rFonts w:ascii="Arial" w:hAnsi="Arial"/>
        <w:b/>
        <w:color w:val="4A3A5E"/>
        <w:sz w:val="22"/>
      </w:rPr>
      <w:tblPr/>
      <w:tcPr>
        <w:tcBorders>
          <w:top w:val="single" w:sz="4" w:space="0" w:color="B3A2C7"/>
          <w:left w:val="none" w:sz="0" w:space="0" w:color="000000"/>
          <w:bottom w:val="none" w:sz="0" w:space="0" w:color="000000"/>
          <w:right w:val="single" w:sz="4" w:space="0" w:color="B3A2C7"/>
        </w:tcBorders>
        <w:shd w:val="clear" w:color="FFFFFF" w:fill="FFFFFF"/>
      </w:tcPr>
    </w:tblStylePr>
    <w:tblStylePr w:type="firstCol">
      <w:pPr>
        <w:snapToGrid/>
        <w:jc w:val="right"/>
      </w:pPr>
      <w:rPr>
        <w:rFonts w:ascii="Arial" w:hAnsi="Arial"/>
        <w:i/>
        <w:color w:val="4A3A5E"/>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4A3A5E"/>
        <w:sz w:val="22"/>
      </w:rPr>
      <w:tblPr/>
      <w:tcPr>
        <w:tcBorders>
          <w:top w:val="none" w:sz="0" w:space="0" w:color="000000"/>
          <w:left w:val="single" w:sz="4" w:space="0" w:color="B3A2C7"/>
          <w:bottom w:val="none" w:sz="0" w:space="0" w:color="000000"/>
          <w:right w:val="none" w:sz="0" w:space="0" w:color="000000"/>
        </w:tcBorders>
        <w:shd w:val="clear" w:color="FFFFFF" w:fill="FFFFFF"/>
      </w:tcPr>
    </w:tblStylePr>
    <w:tblStylePr w:type="band1Vert">
      <w:pPr>
        <w:snapToGrid/>
      </w:pPr>
      <w:tblPr/>
      <w:tcPr>
        <w:shd w:val="clear" w:color="E5DFEC" w:fill="E5DFEC"/>
      </w:tcPr>
    </w:tblStylePr>
    <w:tblStylePr w:type="band2Vert">
      <w:pPr>
        <w:snapToGrid/>
      </w:pPr>
    </w:tblStylePr>
    <w:tblStylePr w:type="band1Horz">
      <w:pPr>
        <w:snapToGrid/>
      </w:pPr>
      <w:rPr>
        <w:rFonts w:ascii="Arial" w:hAnsi="Arial"/>
        <w:color w:val="4A3A5E"/>
        <w:sz w:val="22"/>
      </w:rPr>
      <w:tblPr/>
      <w:tcPr>
        <w:shd w:val="clear" w:color="E5DFEC" w:fill="E5DFEC"/>
      </w:tcPr>
    </w:tblStylePr>
    <w:tblStylePr w:type="band2Horz">
      <w:pPr>
        <w:snapToGrid/>
      </w:pPr>
      <w:rPr>
        <w:rFonts w:ascii="Arial" w:hAnsi="Arial"/>
        <w:color w:val="4A3A5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tblPr>
      <w:tblBorders>
        <w:top w:val="nil"/>
        <w:left w:val="nil"/>
        <w:bottom w:val="single" w:sz="4" w:space="0" w:color="9AD1DF"/>
        <w:right w:val="single" w:sz="4" w:space="0" w:color="9AD1DF"/>
        <w:insideH w:val="single" w:sz="4" w:space="0" w:color="9AD1DF"/>
        <w:insideV w:val="single" w:sz="4" w:space="0" w:color="9AD1DF"/>
      </w:tblBorders>
      <w:tblCellMar>
        <w:top w:w="0" w:type="dxa"/>
        <w:left w:w="108" w:type="dxa"/>
        <w:bottom w:w="0" w:type="dxa"/>
        <w:right w:w="108" w:type="dxa"/>
      </w:tblCellMar>
    </w:tblPr>
    <w:tblStylePr w:type="firstRow">
      <w:pPr>
        <w:snapToGrid/>
      </w:pPr>
      <w:rPr>
        <w:rFonts w:ascii="Arial" w:hAnsi="Arial"/>
        <w:b/>
        <w:color w:val="2B6473"/>
        <w:sz w:val="22"/>
      </w:rPr>
      <w:tblPr/>
      <w:tcPr>
        <w:tcBorders>
          <w:top w:val="none" w:sz="0" w:space="0" w:color="000000"/>
          <w:left w:val="none" w:sz="0" w:space="0" w:color="000000"/>
          <w:bottom w:val="single" w:sz="4" w:space="0" w:color="9AD1DF"/>
          <w:right w:val="none" w:sz="0" w:space="0" w:color="000000"/>
        </w:tcBorders>
        <w:shd w:val="clear" w:color="FFFFFF" w:fill="FFFFFF"/>
      </w:tcPr>
    </w:tblStylePr>
    <w:tblStylePr w:type="lastRow">
      <w:pPr>
        <w:snapToGrid/>
      </w:pPr>
      <w:rPr>
        <w:rFonts w:ascii="Arial" w:hAnsi="Arial"/>
        <w:b/>
        <w:color w:val="2B6473"/>
        <w:sz w:val="22"/>
      </w:rPr>
      <w:tblPr/>
      <w:tcPr>
        <w:tcBorders>
          <w:top w:val="single" w:sz="4" w:space="0" w:color="9AD1DF"/>
          <w:left w:val="none" w:sz="0" w:space="0" w:color="000000"/>
          <w:bottom w:val="none" w:sz="0" w:space="0" w:color="000000"/>
          <w:right w:val="single" w:sz="4" w:space="0" w:color="9AD1DF"/>
        </w:tcBorders>
        <w:shd w:val="clear" w:color="FFFFFF" w:fill="FFFFFF"/>
      </w:tcPr>
    </w:tblStylePr>
    <w:tblStylePr w:type="firstCol">
      <w:pPr>
        <w:snapToGrid/>
        <w:jc w:val="right"/>
      </w:pPr>
      <w:rPr>
        <w:rFonts w:ascii="Arial" w:hAnsi="Arial"/>
        <w:i/>
        <w:color w:val="2B6473"/>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2B6473"/>
        <w:sz w:val="22"/>
      </w:rPr>
      <w:tblPr/>
      <w:tcPr>
        <w:tcBorders>
          <w:top w:val="none" w:sz="0" w:space="0" w:color="000000"/>
          <w:left w:val="single" w:sz="4" w:space="0" w:color="9AD1DF"/>
          <w:bottom w:val="none" w:sz="0" w:space="0" w:color="000000"/>
          <w:right w:val="none" w:sz="0" w:space="0" w:color="000000"/>
        </w:tcBorders>
        <w:shd w:val="clear" w:color="FFFFFF" w:fill="FFFFFF"/>
      </w:tcPr>
    </w:tblStylePr>
    <w:tblStylePr w:type="band1Vert">
      <w:pPr>
        <w:snapToGrid/>
      </w:pPr>
      <w:tblPr/>
      <w:tcPr>
        <w:shd w:val="clear" w:color="DAEEF3" w:fill="DAEEF3"/>
      </w:tcPr>
    </w:tblStylePr>
    <w:tblStylePr w:type="band2Vert">
      <w:pPr>
        <w:snapToGrid/>
      </w:pPr>
    </w:tblStylePr>
    <w:tblStylePr w:type="band1Horz">
      <w:pPr>
        <w:snapToGrid/>
      </w:pPr>
      <w:rPr>
        <w:rFonts w:ascii="Arial" w:hAnsi="Arial"/>
        <w:color w:val="2B6473"/>
        <w:sz w:val="22"/>
      </w:rPr>
      <w:tblPr/>
      <w:tcPr>
        <w:shd w:val="clear" w:color="DAEEF3" w:fill="DAEEF3"/>
      </w:tcPr>
    </w:tblStylePr>
    <w:tblStylePr w:type="band2Horz">
      <w:pPr>
        <w:snapToGrid/>
      </w:pPr>
      <w:rPr>
        <w:rFonts w:ascii="Arial" w:hAnsi="Arial"/>
        <w:color w:val="2B647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Borders>
        <w:top w:val="nil"/>
        <w:left w:val="nil"/>
        <w:bottom w:val="single" w:sz="4" w:space="0" w:color="FBC497"/>
        <w:right w:val="single" w:sz="4" w:space="0" w:color="FBC497"/>
        <w:insideH w:val="single" w:sz="4" w:space="0" w:color="FBC497"/>
        <w:insideV w:val="single" w:sz="4" w:space="0" w:color="FBC497"/>
      </w:tblBorders>
      <w:tblCellMar>
        <w:top w:w="0" w:type="dxa"/>
        <w:left w:w="108" w:type="dxa"/>
        <w:bottom w:w="0" w:type="dxa"/>
        <w:right w:w="108" w:type="dxa"/>
      </w:tblCellMar>
    </w:tblPr>
    <w:tblStylePr w:type="firstRow">
      <w:pPr>
        <w:snapToGrid/>
      </w:pPr>
      <w:rPr>
        <w:rFonts w:ascii="Arial" w:hAnsi="Arial"/>
        <w:b/>
        <w:color w:val="905728"/>
        <w:sz w:val="22"/>
      </w:rPr>
      <w:tblPr/>
      <w:tcPr>
        <w:tcBorders>
          <w:top w:val="none" w:sz="0" w:space="0" w:color="000000"/>
          <w:left w:val="none" w:sz="0" w:space="0" w:color="000000"/>
          <w:bottom w:val="single" w:sz="4" w:space="0" w:color="FBC497"/>
          <w:right w:val="none" w:sz="0" w:space="0" w:color="000000"/>
        </w:tcBorders>
        <w:shd w:val="clear" w:color="FFFFFF" w:fill="FFFFFF"/>
      </w:tcPr>
    </w:tblStylePr>
    <w:tblStylePr w:type="lastRow">
      <w:pPr>
        <w:snapToGrid/>
      </w:pPr>
      <w:rPr>
        <w:rFonts w:ascii="Arial" w:hAnsi="Arial"/>
        <w:b/>
        <w:color w:val="905728"/>
        <w:sz w:val="22"/>
      </w:rPr>
      <w:tblPr/>
      <w:tcPr>
        <w:tcBorders>
          <w:top w:val="single" w:sz="4" w:space="0" w:color="FBC497"/>
          <w:left w:val="none" w:sz="0" w:space="0" w:color="000000"/>
          <w:bottom w:val="none" w:sz="0" w:space="0" w:color="000000"/>
          <w:right w:val="single" w:sz="4" w:space="0" w:color="FBC497"/>
        </w:tcBorders>
        <w:shd w:val="clear" w:color="FFFFFF" w:fill="FFFFFF"/>
      </w:tcPr>
    </w:tblStylePr>
    <w:tblStylePr w:type="firstCol">
      <w:pPr>
        <w:snapToGrid/>
        <w:jc w:val="right"/>
      </w:pPr>
      <w:rPr>
        <w:rFonts w:ascii="Arial" w:hAnsi="Arial"/>
        <w:i/>
        <w:color w:val="905728"/>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905728"/>
        <w:sz w:val="22"/>
      </w:rPr>
      <w:tblPr/>
      <w:tcPr>
        <w:tcBorders>
          <w:top w:val="none" w:sz="0" w:space="0" w:color="000000"/>
          <w:left w:val="single" w:sz="4" w:space="0" w:color="FBC497"/>
          <w:bottom w:val="none" w:sz="0" w:space="0" w:color="000000"/>
          <w:right w:val="none" w:sz="0" w:space="0" w:color="000000"/>
        </w:tcBorders>
        <w:shd w:val="clear" w:color="FFFFFF" w:fill="FFFFFF"/>
      </w:tcPr>
    </w:tblStylePr>
    <w:tblStylePr w:type="band1Vert">
      <w:pPr>
        <w:snapToGrid/>
      </w:pPr>
      <w:tblPr/>
      <w:tcPr>
        <w:shd w:val="clear" w:color="FDE9D9" w:fill="FDE9D9"/>
      </w:tcPr>
    </w:tblStylePr>
    <w:tblStylePr w:type="band2Vert">
      <w:pPr>
        <w:snapToGrid/>
      </w:pPr>
    </w:tblStylePr>
    <w:tblStylePr w:type="band1Horz">
      <w:pPr>
        <w:snapToGrid/>
      </w:pPr>
      <w:rPr>
        <w:rFonts w:ascii="Arial" w:hAnsi="Arial"/>
        <w:color w:val="905728"/>
        <w:sz w:val="22"/>
      </w:rPr>
      <w:tblPr/>
      <w:tcPr>
        <w:shd w:val="clear" w:color="FDE9D9" w:fill="FDE9D9"/>
      </w:tcPr>
    </w:tblStylePr>
    <w:tblStylePr w:type="band2Horz">
      <w:pPr>
        <w:snapToGrid/>
      </w:pPr>
      <w:rPr>
        <w:rFonts w:ascii="Arial" w:hAnsi="Arial"/>
        <w:color w:val="905728"/>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000000"/>
          <w:right w:val="none" w:sz="0" w:space="0" w:color="000000"/>
        </w:tcBorders>
      </w:tcPr>
    </w:tblStylePr>
    <w:tblStylePr w:type="lastRow">
      <w:pPr>
        <w:snapToGrid/>
      </w:pPr>
      <w:rPr>
        <w:b/>
        <w:color w:val="404040"/>
      </w:rPr>
      <w:tblPr/>
      <w:tcPr>
        <w:tcBorders>
          <w:top w:val="single" w:sz="4" w:space="0" w:color="000000"/>
          <w:left w:val="none" w:sz="0" w:space="0" w:color="000000"/>
          <w:bottom w:val="none" w:sz="0" w:space="0" w:color="000000"/>
          <w:right w:val="singl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EBEBE" w:fill="BEBEBE"/>
      </w:tcPr>
    </w:tblStylePr>
    <w:tblStylePr w:type="band2Vert">
      <w:pPr>
        <w:snapToGrid/>
      </w:pPr>
    </w:tblStylePr>
    <w:tblStylePr w:type="band1Horz">
      <w:pPr>
        <w:snapToGrid/>
      </w:pPr>
      <w:tblPr/>
      <w:tcPr>
        <w:shd w:val="clear" w:color="BEBEBE" w:fill="BEBEB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4F81BD"/>
          <w:right w:val="none" w:sz="0" w:space="0" w:color="000000"/>
        </w:tcBorders>
      </w:tcPr>
    </w:tblStylePr>
    <w:tblStylePr w:type="lastRow">
      <w:pPr>
        <w:snapToGrid/>
      </w:pPr>
      <w:rPr>
        <w:b/>
        <w:color w:val="404040"/>
      </w:rPr>
      <w:tblPr/>
      <w:tcPr>
        <w:tcBorders>
          <w:top w:val="single" w:sz="4" w:space="0" w:color="4F81BD"/>
          <w:left w:val="none" w:sz="0" w:space="0" w:color="000000"/>
          <w:bottom w:val="none" w:sz="0" w:space="0" w:color="000000"/>
          <w:right w:val="single" w:sz="4" w:space="0" w:color="4F81BD"/>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2DFEE" w:fill="D2DFEE"/>
      </w:tcPr>
    </w:tblStylePr>
    <w:tblStylePr w:type="band2Vert">
      <w:pPr>
        <w:snapToGrid/>
      </w:pPr>
    </w:tblStylePr>
    <w:tblStylePr w:type="band1Horz">
      <w:pPr>
        <w:snapToGrid/>
      </w:pPr>
      <w:tblPr/>
      <w:tcPr>
        <w:shd w:val="clear" w:color="D2DFEE" w:fill="D2DFE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C0504D"/>
          <w:right w:val="none" w:sz="0" w:space="0" w:color="000000"/>
        </w:tcBorders>
      </w:tcPr>
    </w:tblStylePr>
    <w:tblStylePr w:type="lastRow">
      <w:pPr>
        <w:snapToGrid/>
      </w:pPr>
      <w:rPr>
        <w:b/>
        <w:color w:val="404040"/>
      </w:rPr>
      <w:tblPr/>
      <w:tcPr>
        <w:tcBorders>
          <w:top w:val="single" w:sz="4" w:space="0" w:color="C0504D"/>
          <w:left w:val="none" w:sz="0" w:space="0" w:color="000000"/>
          <w:bottom w:val="none" w:sz="0" w:space="0" w:color="000000"/>
          <w:right w:val="single" w:sz="4" w:space="0" w:color="C0504D"/>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FD3D2" w:fill="EFD3D2"/>
      </w:tcPr>
    </w:tblStylePr>
    <w:tblStylePr w:type="band2Vert">
      <w:pPr>
        <w:snapToGrid/>
      </w:pPr>
    </w:tblStylePr>
    <w:tblStylePr w:type="band1Horz">
      <w:pPr>
        <w:snapToGrid/>
      </w:pPr>
      <w:tblPr/>
      <w:tcPr>
        <w:shd w:val="clear" w:color="EFD3D2" w:fill="EFD3D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9BBB59"/>
          <w:right w:val="none" w:sz="0" w:space="0" w:color="000000"/>
        </w:tcBorders>
      </w:tcPr>
    </w:tblStylePr>
    <w:tblStylePr w:type="lastRow">
      <w:pPr>
        <w:snapToGrid/>
      </w:pPr>
      <w:rPr>
        <w:b/>
        <w:color w:val="404040"/>
      </w:rPr>
      <w:tblPr/>
      <w:tcPr>
        <w:tcBorders>
          <w:top w:val="single" w:sz="4" w:space="0" w:color="9BBB59"/>
          <w:left w:val="none" w:sz="0" w:space="0" w:color="000000"/>
          <w:bottom w:val="none" w:sz="0" w:space="0" w:color="000000"/>
          <w:right w:val="single" w:sz="4" w:space="0" w:color="9BBB59"/>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5EDD5" w:fill="E5EDD5"/>
      </w:tcPr>
    </w:tblStylePr>
    <w:tblStylePr w:type="band2Vert">
      <w:pPr>
        <w:snapToGrid/>
      </w:pPr>
    </w:tblStylePr>
    <w:tblStylePr w:type="band1Horz">
      <w:pPr>
        <w:snapToGrid/>
      </w:pPr>
      <w:tblPr/>
      <w:tcPr>
        <w:shd w:val="clear" w:color="E5EDD5" w:fill="E5ED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8064A2"/>
          <w:right w:val="none" w:sz="0" w:space="0" w:color="000000"/>
        </w:tcBorders>
      </w:tcPr>
    </w:tblStylePr>
    <w:tblStylePr w:type="lastRow">
      <w:pPr>
        <w:snapToGrid/>
      </w:pPr>
      <w:rPr>
        <w:b/>
        <w:color w:val="404040"/>
      </w:rPr>
      <w:tblPr/>
      <w:tcPr>
        <w:tcBorders>
          <w:top w:val="single" w:sz="4" w:space="0" w:color="8064A2"/>
          <w:left w:val="none" w:sz="0" w:space="0" w:color="000000"/>
          <w:bottom w:val="none" w:sz="0" w:space="0" w:color="000000"/>
          <w:right w:val="single" w:sz="4" w:space="0" w:color="8064A2"/>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FD8E7" w:fill="DFD8E7"/>
      </w:tcPr>
    </w:tblStylePr>
    <w:tblStylePr w:type="band2Vert">
      <w:pPr>
        <w:snapToGrid/>
      </w:pPr>
    </w:tblStylePr>
    <w:tblStylePr w:type="band1Horz">
      <w:pPr>
        <w:snapToGrid/>
      </w:pPr>
      <w:tblPr/>
      <w:tcPr>
        <w:shd w:val="clear" w:color="DFD8E7" w:fill="DFD8E7"/>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4BACC6"/>
          <w:right w:val="none" w:sz="0" w:space="0" w:color="000000"/>
        </w:tcBorders>
      </w:tcPr>
    </w:tblStylePr>
    <w:tblStylePr w:type="lastRow">
      <w:pPr>
        <w:snapToGrid/>
      </w:pPr>
      <w:rPr>
        <w:b/>
        <w:color w:val="404040"/>
      </w:rPr>
      <w:tblPr/>
      <w:tcPr>
        <w:tcBorders>
          <w:top w:val="single" w:sz="4" w:space="0" w:color="4BACC6"/>
          <w:left w:val="none" w:sz="0" w:space="0" w:color="000000"/>
          <w:bottom w:val="none" w:sz="0" w:space="0" w:color="000000"/>
          <w:right w:val="single" w:sz="4" w:space="0" w:color="4BACC6"/>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1EAF0" w:fill="D1EAF0"/>
      </w:tcPr>
    </w:tblStylePr>
    <w:tblStylePr w:type="band2Vert">
      <w:pPr>
        <w:snapToGrid/>
      </w:pPr>
    </w:tblStylePr>
    <w:tblStylePr w:type="band1Horz">
      <w:pPr>
        <w:snapToGrid/>
      </w:pPr>
      <w:tblPr/>
      <w:tcPr>
        <w:shd w:val="clear" w:color="D1EAF0" w:fill="D1EA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F79646"/>
          <w:right w:val="none" w:sz="0" w:space="0" w:color="000000"/>
        </w:tcBorders>
      </w:tcPr>
    </w:tblStylePr>
    <w:tblStylePr w:type="lastRow">
      <w:pPr>
        <w:snapToGrid/>
      </w:pPr>
      <w:rPr>
        <w:b/>
        <w:color w:val="404040"/>
      </w:rPr>
      <w:tblPr/>
      <w:tcPr>
        <w:tcBorders>
          <w:top w:val="single" w:sz="4" w:space="0" w:color="F79646"/>
          <w:left w:val="none" w:sz="0" w:space="0" w:color="000000"/>
          <w:bottom w:val="none" w:sz="0" w:space="0" w:color="000000"/>
          <w:right w:val="single" w:sz="4" w:space="0" w:color="F79646"/>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CE4D0" w:fill="FCE4D0"/>
      </w:tcPr>
    </w:tblStylePr>
    <w:tblStylePr w:type="band2Vert">
      <w:pPr>
        <w:snapToGrid/>
      </w:pPr>
    </w:tblStylePr>
    <w:tblStylePr w:type="band1Horz">
      <w:pPr>
        <w:snapToGrid/>
      </w:pPr>
      <w:tblPr/>
      <w:tcPr>
        <w:shd w:val="clear" w:color="FCE4D0" w:fill="FCE4D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tblPr>
      <w:tblBorders>
        <w:top w:val="single" w:sz="4" w:space="0" w:color="707070"/>
        <w:left w:val="nil"/>
        <w:bottom w:val="single" w:sz="4" w:space="0" w:color="707070"/>
        <w:right w:val="nil"/>
        <w:insideH w:val="single" w:sz="4" w:space="0" w:color="707070"/>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707070"/>
          <w:left w:val="none" w:sz="0" w:space="0" w:color="000000"/>
          <w:bottom w:val="single" w:sz="4" w:space="0" w:color="707070"/>
          <w:right w:val="single" w:sz="4" w:space="0" w:color="707070"/>
        </w:tcBorders>
      </w:tcPr>
    </w:tblStylePr>
    <w:tblStylePr w:type="lastRow">
      <w:pPr>
        <w:snapToGrid/>
      </w:pPr>
      <w:rPr>
        <w:rFonts w:ascii="Arial" w:hAnsi="Arial"/>
        <w:b/>
        <w:color w:val="404040"/>
        <w:sz w:val="22"/>
      </w:rPr>
      <w:tblPr/>
      <w:tcPr>
        <w:tcBorders>
          <w:top w:val="single" w:sz="4" w:space="0" w:color="707070"/>
          <w:left w:val="none" w:sz="0" w:space="0" w:color="000000"/>
          <w:bottom w:val="single" w:sz="4" w:space="0" w:color="707070"/>
          <w:right w:val="single" w:sz="4" w:space="0" w:color="70707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EBEBE" w:fill="BEBEBE"/>
      </w:tcPr>
    </w:tblStylePr>
    <w:tblStylePr w:type="band2Vert">
      <w:pPr>
        <w:snapToGrid/>
      </w:pPr>
    </w:tblStylePr>
    <w:tblStylePr w:type="band1Horz">
      <w:pPr>
        <w:snapToGrid/>
      </w:pPr>
      <w:rPr>
        <w:rFonts w:ascii="Arial" w:hAnsi="Arial"/>
        <w:color w:val="404040"/>
        <w:sz w:val="22"/>
      </w:rPr>
      <w:tblPr/>
      <w:tcPr>
        <w:shd w:val="clear" w:color="BEBEBE" w:fill="BEBEB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Borders>
        <w:top w:val="single" w:sz="4" w:space="0" w:color="9CB8DA"/>
        <w:left w:val="nil"/>
        <w:bottom w:val="single" w:sz="4" w:space="0" w:color="9CB8DA"/>
        <w:right w:val="nil"/>
        <w:insideH w:val="single" w:sz="4" w:space="0" w:color="9CB8DA"/>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CB8DA"/>
          <w:left w:val="none" w:sz="0" w:space="0" w:color="000000"/>
          <w:bottom w:val="single" w:sz="4" w:space="0" w:color="9CB8DA"/>
          <w:right w:val="single" w:sz="4" w:space="0" w:color="9CB8DA"/>
        </w:tcBorders>
      </w:tcPr>
    </w:tblStylePr>
    <w:tblStylePr w:type="lastRow">
      <w:pPr>
        <w:snapToGrid/>
      </w:pPr>
      <w:rPr>
        <w:rFonts w:ascii="Arial" w:hAnsi="Arial"/>
        <w:b/>
        <w:color w:val="404040"/>
        <w:sz w:val="22"/>
      </w:rPr>
      <w:tblPr/>
      <w:tcPr>
        <w:tcBorders>
          <w:top w:val="single" w:sz="4" w:space="0" w:color="9CB8DA"/>
          <w:left w:val="none" w:sz="0" w:space="0" w:color="000000"/>
          <w:bottom w:val="single" w:sz="4" w:space="0" w:color="9CB8DA"/>
          <w:right w:val="single" w:sz="4" w:space="0" w:color="9CB8DA"/>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2DFEE" w:fill="D2DFEE"/>
      </w:tcPr>
    </w:tblStylePr>
    <w:tblStylePr w:type="band2Vert">
      <w:pPr>
        <w:snapToGrid/>
      </w:pPr>
    </w:tblStylePr>
    <w:tblStylePr w:type="band1Horz">
      <w:pPr>
        <w:snapToGrid/>
      </w:pPr>
      <w:rPr>
        <w:rFonts w:ascii="Arial" w:hAnsi="Arial"/>
        <w:color w:val="404040"/>
        <w:sz w:val="22"/>
      </w:rPr>
      <w:tblPr/>
      <w:tcPr>
        <w:shd w:val="clear" w:color="D2DFEE" w:fill="D2DFE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Borders>
        <w:top w:val="single" w:sz="4" w:space="0" w:color="DC9D9B"/>
        <w:left w:val="nil"/>
        <w:bottom w:val="single" w:sz="4" w:space="0" w:color="DC9D9B"/>
        <w:right w:val="nil"/>
        <w:insideH w:val="single" w:sz="4" w:space="0" w:color="DC9D9B"/>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DC9D9B"/>
          <w:left w:val="none" w:sz="0" w:space="0" w:color="000000"/>
          <w:bottom w:val="single" w:sz="4" w:space="0" w:color="DC9D9B"/>
          <w:right w:val="single" w:sz="4" w:space="0" w:color="DC9D9B"/>
        </w:tcBorders>
      </w:tcPr>
    </w:tblStylePr>
    <w:tblStylePr w:type="lastRow">
      <w:pPr>
        <w:snapToGrid/>
      </w:pPr>
      <w:rPr>
        <w:rFonts w:ascii="Arial" w:hAnsi="Arial"/>
        <w:b/>
        <w:color w:val="404040"/>
        <w:sz w:val="22"/>
      </w:rPr>
      <w:tblPr/>
      <w:tcPr>
        <w:tcBorders>
          <w:top w:val="single" w:sz="4" w:space="0" w:color="DC9D9B"/>
          <w:left w:val="none" w:sz="0" w:space="0" w:color="000000"/>
          <w:bottom w:val="single" w:sz="4" w:space="0" w:color="DC9D9B"/>
          <w:right w:val="single" w:sz="4" w:space="0" w:color="DC9D9B"/>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FD3D2" w:fill="EFD3D2"/>
      </w:tcPr>
    </w:tblStylePr>
    <w:tblStylePr w:type="band2Vert">
      <w:pPr>
        <w:snapToGrid/>
      </w:pPr>
    </w:tblStylePr>
    <w:tblStylePr w:type="band1Horz">
      <w:pPr>
        <w:snapToGrid/>
      </w:pPr>
      <w:rPr>
        <w:rFonts w:ascii="Arial" w:hAnsi="Arial"/>
        <w:color w:val="404040"/>
        <w:sz w:val="22"/>
      </w:rPr>
      <w:tblPr/>
      <w:tcPr>
        <w:shd w:val="clear" w:color="EFD3D2" w:fill="EFD3D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Borders>
        <w:top w:val="single" w:sz="4" w:space="0" w:color="C7D9A2"/>
        <w:left w:val="nil"/>
        <w:bottom w:val="single" w:sz="4" w:space="0" w:color="C7D9A2"/>
        <w:right w:val="nil"/>
        <w:insideH w:val="single" w:sz="4" w:space="0" w:color="C7D9A2"/>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7D9A2"/>
          <w:left w:val="none" w:sz="0" w:space="0" w:color="000000"/>
          <w:bottom w:val="single" w:sz="4" w:space="0" w:color="C7D9A2"/>
          <w:right w:val="single" w:sz="4" w:space="0" w:color="C7D9A2"/>
        </w:tcBorders>
      </w:tcPr>
    </w:tblStylePr>
    <w:tblStylePr w:type="lastRow">
      <w:pPr>
        <w:snapToGrid/>
      </w:pPr>
      <w:rPr>
        <w:rFonts w:ascii="Arial" w:hAnsi="Arial"/>
        <w:b/>
        <w:color w:val="404040"/>
        <w:sz w:val="22"/>
      </w:rPr>
      <w:tblPr/>
      <w:tcPr>
        <w:tcBorders>
          <w:top w:val="single" w:sz="4" w:space="0" w:color="C7D9A2"/>
          <w:left w:val="none" w:sz="0" w:space="0" w:color="000000"/>
          <w:bottom w:val="single" w:sz="4" w:space="0" w:color="C7D9A2"/>
          <w:right w:val="single" w:sz="4" w:space="0" w:color="C7D9A2"/>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5EDD5" w:fill="E5EDD5"/>
      </w:tcPr>
    </w:tblStylePr>
    <w:tblStylePr w:type="band2Vert">
      <w:pPr>
        <w:snapToGrid/>
      </w:pPr>
    </w:tblStylePr>
    <w:tblStylePr w:type="band1Horz">
      <w:pPr>
        <w:snapToGrid/>
      </w:pPr>
      <w:rPr>
        <w:rFonts w:ascii="Arial" w:hAnsi="Arial"/>
        <w:color w:val="404040"/>
        <w:sz w:val="22"/>
      </w:rPr>
      <w:tblPr/>
      <w:tcPr>
        <w:shd w:val="clear" w:color="E5EDD5" w:fill="E5ED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Borders>
        <w:top w:val="single" w:sz="4" w:space="0" w:color="B8A8CB"/>
        <w:left w:val="nil"/>
        <w:bottom w:val="single" w:sz="4" w:space="0" w:color="B8A8CB"/>
        <w:right w:val="nil"/>
        <w:insideH w:val="single" w:sz="4" w:space="0" w:color="B8A8CB"/>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B8A8CB"/>
          <w:left w:val="none" w:sz="0" w:space="0" w:color="000000"/>
          <w:bottom w:val="single" w:sz="4" w:space="0" w:color="B8A8CB"/>
          <w:right w:val="single" w:sz="4" w:space="0" w:color="B8A8CB"/>
        </w:tcBorders>
      </w:tcPr>
    </w:tblStylePr>
    <w:tblStylePr w:type="lastRow">
      <w:pPr>
        <w:snapToGrid/>
      </w:pPr>
      <w:rPr>
        <w:rFonts w:ascii="Arial" w:hAnsi="Arial"/>
        <w:b/>
        <w:color w:val="404040"/>
        <w:sz w:val="22"/>
      </w:rPr>
      <w:tblPr/>
      <w:tcPr>
        <w:tcBorders>
          <w:top w:val="single" w:sz="4" w:space="0" w:color="B8A8CB"/>
          <w:left w:val="none" w:sz="0" w:space="0" w:color="000000"/>
          <w:bottom w:val="single" w:sz="4" w:space="0" w:color="B8A8CB"/>
          <w:right w:val="single" w:sz="4" w:space="0" w:color="B8A8CB"/>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FD8E7" w:fill="DFD8E7"/>
      </w:tcPr>
    </w:tblStylePr>
    <w:tblStylePr w:type="band2Vert">
      <w:pPr>
        <w:snapToGrid/>
      </w:pPr>
    </w:tblStylePr>
    <w:tblStylePr w:type="band1Horz">
      <w:pPr>
        <w:snapToGrid/>
      </w:pPr>
      <w:rPr>
        <w:rFonts w:ascii="Arial" w:hAnsi="Arial"/>
        <w:color w:val="404040"/>
        <w:sz w:val="22"/>
      </w:rPr>
      <w:tblPr/>
      <w:tcPr>
        <w:shd w:val="clear" w:color="DFD8E7" w:fill="DFD8E7"/>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Borders>
        <w:top w:val="single" w:sz="4" w:space="0" w:color="9AD1DF"/>
        <w:left w:val="nil"/>
        <w:bottom w:val="single" w:sz="4" w:space="0" w:color="9AD1DF"/>
        <w:right w:val="nil"/>
        <w:insideH w:val="single" w:sz="4" w:space="0" w:color="9AD1DF"/>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AD1DF"/>
          <w:left w:val="none" w:sz="0" w:space="0" w:color="000000"/>
          <w:bottom w:val="single" w:sz="4" w:space="0" w:color="9AD1DF"/>
          <w:right w:val="single" w:sz="4" w:space="0" w:color="9AD1DF"/>
        </w:tcBorders>
      </w:tcPr>
    </w:tblStylePr>
    <w:tblStylePr w:type="lastRow">
      <w:pPr>
        <w:snapToGrid/>
      </w:pPr>
      <w:rPr>
        <w:rFonts w:ascii="Arial" w:hAnsi="Arial"/>
        <w:b/>
        <w:color w:val="404040"/>
        <w:sz w:val="22"/>
      </w:rPr>
      <w:tblPr/>
      <w:tcPr>
        <w:tcBorders>
          <w:top w:val="single" w:sz="4" w:space="0" w:color="9AD1DF"/>
          <w:left w:val="none" w:sz="0" w:space="0" w:color="000000"/>
          <w:bottom w:val="single" w:sz="4" w:space="0" w:color="9AD1DF"/>
          <w:right w:val="single" w:sz="4" w:space="0" w:color="9AD1DF"/>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1EAF0" w:fill="D1EAF0"/>
      </w:tcPr>
    </w:tblStylePr>
    <w:tblStylePr w:type="band2Vert">
      <w:pPr>
        <w:snapToGrid/>
      </w:pPr>
    </w:tblStylePr>
    <w:tblStylePr w:type="band1Horz">
      <w:pPr>
        <w:snapToGrid/>
      </w:pPr>
      <w:rPr>
        <w:rFonts w:ascii="Arial" w:hAnsi="Arial"/>
        <w:color w:val="404040"/>
        <w:sz w:val="22"/>
      </w:rPr>
      <w:tblPr/>
      <w:tcPr>
        <w:shd w:val="clear" w:color="D1EAF0" w:fill="D1EA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Borders>
        <w:top w:val="single" w:sz="4" w:space="0" w:color="FBC497"/>
        <w:left w:val="nil"/>
        <w:bottom w:val="single" w:sz="4" w:space="0" w:color="FBC497"/>
        <w:right w:val="nil"/>
        <w:insideH w:val="single" w:sz="4" w:space="0" w:color="FBC497"/>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BC497"/>
          <w:left w:val="none" w:sz="0" w:space="0" w:color="000000"/>
          <w:bottom w:val="single" w:sz="4" w:space="0" w:color="FBC497"/>
          <w:right w:val="single" w:sz="4" w:space="0" w:color="FBC497"/>
        </w:tcBorders>
      </w:tcPr>
    </w:tblStylePr>
    <w:tblStylePr w:type="lastRow">
      <w:pPr>
        <w:snapToGrid/>
      </w:pPr>
      <w:rPr>
        <w:rFonts w:ascii="Arial" w:hAnsi="Arial"/>
        <w:b/>
        <w:color w:val="404040"/>
        <w:sz w:val="22"/>
      </w:rPr>
      <w:tblPr/>
      <w:tcPr>
        <w:tcBorders>
          <w:top w:val="single" w:sz="4" w:space="0" w:color="FBC497"/>
          <w:left w:val="none" w:sz="0" w:space="0" w:color="000000"/>
          <w:bottom w:val="single" w:sz="4" w:space="0" w:color="FBC497"/>
          <w:right w:val="single" w:sz="4" w:space="0" w:color="FBC497"/>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CE4D0" w:fill="FCE4D0"/>
      </w:tcPr>
    </w:tblStylePr>
    <w:tblStylePr w:type="band2Vert">
      <w:pPr>
        <w:snapToGrid/>
      </w:pPr>
    </w:tblStylePr>
    <w:tblStylePr w:type="band1Horz">
      <w:pPr>
        <w:snapToGrid/>
      </w:pPr>
      <w:rPr>
        <w:rFonts w:ascii="Arial" w:hAnsi="Arial"/>
        <w:color w:val="404040"/>
        <w:sz w:val="22"/>
      </w:rPr>
      <w:tblPr/>
      <w:tcPr>
        <w:shd w:val="clear" w:color="FCE4D0" w:fill="FCE4D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tblPr>
      <w:tblBorders>
        <w:top w:val="single" w:sz="4" w:space="0" w:color="000000"/>
        <w:left w:val="single" w:sz="4" w:space="0" w:color="000000"/>
        <w:bottom w:val="single" w:sz="4" w:space="0" w:color="000000"/>
        <w:right w:val="single" w:sz="4" w:space="0" w:color="000000"/>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cBorders>
      </w:tcPr>
    </w:tblStylePr>
    <w:tblStylePr w:type="band2Vert">
      <w:pPr>
        <w:snapToGrid/>
      </w:pPr>
    </w:tblStylePr>
    <w:tblStylePr w:type="band1Horz">
      <w:pPr>
        <w:snapToGrid/>
      </w:pPr>
      <w:rPr>
        <w:rFonts w:ascii="Arial" w:hAnsi="Arial"/>
        <w:color w:val="404040"/>
        <w:sz w:val="22"/>
      </w:rPr>
      <w:tblPr/>
      <w:tcPr>
        <w:tcBorders>
          <w:top w:val="single" w:sz="4" w:space="0" w:color="000000"/>
          <w:bottom w:val="single" w:sz="4" w:space="0" w:color="000000"/>
          <w:right w:val="single" w:sz="4" w:space="0" w:color="00000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Borders>
        <w:top w:val="single" w:sz="4" w:space="0" w:color="4F81BD"/>
        <w:left w:val="single" w:sz="4" w:space="0" w:color="4F81BD"/>
        <w:bottom w:val="single" w:sz="4" w:space="0" w:color="4F81BD"/>
        <w:right w:val="single" w:sz="4" w:space="0" w:color="4F81BD"/>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F81BD" w:fill="4F81BD"/>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cBorders>
      </w:tcPr>
    </w:tblStylePr>
    <w:tblStylePr w:type="band2Vert">
      <w:pPr>
        <w:snapToGrid/>
      </w:pPr>
    </w:tblStylePr>
    <w:tblStylePr w:type="band1Horz">
      <w:pPr>
        <w:snapToGrid/>
      </w:pPr>
      <w:rPr>
        <w:rFonts w:ascii="Arial" w:hAnsi="Arial"/>
        <w:color w:val="404040"/>
        <w:sz w:val="22"/>
      </w:rPr>
      <w:tblPr/>
      <w:tcPr>
        <w:tcBorders>
          <w:top w:val="single" w:sz="4" w:space="0" w:color="4F81BD"/>
          <w:bottom w:val="single" w:sz="4" w:space="0" w:color="4F81BD"/>
          <w:right w:val="single" w:sz="4" w:space="0" w:color="4F81BD"/>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Borders>
        <w:top w:val="single" w:sz="4" w:space="0" w:color="DA9896"/>
        <w:left w:val="single" w:sz="4" w:space="0" w:color="DA9896"/>
        <w:bottom w:val="single" w:sz="4" w:space="0" w:color="DA9896"/>
        <w:right w:val="single" w:sz="4" w:space="0" w:color="DA9896"/>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D99795" w:fill="D9979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A9896"/>
        </w:tcBorders>
      </w:tcPr>
    </w:tblStylePr>
    <w:tblStylePr w:type="band2Vert">
      <w:pPr>
        <w:snapToGrid/>
      </w:pPr>
    </w:tblStylePr>
    <w:tblStylePr w:type="band1Horz">
      <w:pPr>
        <w:snapToGrid/>
      </w:pPr>
      <w:rPr>
        <w:rFonts w:ascii="Arial" w:hAnsi="Arial"/>
        <w:color w:val="404040"/>
        <w:sz w:val="22"/>
      </w:rPr>
      <w:tblPr/>
      <w:tcPr>
        <w:tcBorders>
          <w:top w:val="single" w:sz="4" w:space="0" w:color="DA9896"/>
          <w:bottom w:val="single" w:sz="4" w:space="0" w:color="DA9896"/>
          <w:right w:val="single" w:sz="4" w:space="0" w:color="DA989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Borders>
        <w:top w:val="single" w:sz="4" w:space="0" w:color="C3D69B"/>
        <w:left w:val="single" w:sz="4" w:space="0" w:color="C3D69B"/>
        <w:bottom w:val="single" w:sz="4" w:space="0" w:color="C3D69B"/>
        <w:right w:val="single" w:sz="4" w:space="0" w:color="C3D69B"/>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C3D69C" w:fill="C3D69C"/>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cBorders>
      </w:tcPr>
    </w:tblStylePr>
    <w:tblStylePr w:type="band2Vert">
      <w:pPr>
        <w:snapToGrid/>
      </w:pPr>
    </w:tblStylePr>
    <w:tblStylePr w:type="band1Horz">
      <w:pPr>
        <w:snapToGrid/>
      </w:pPr>
      <w:rPr>
        <w:rFonts w:ascii="Arial" w:hAnsi="Arial"/>
        <w:color w:val="404040"/>
        <w:sz w:val="22"/>
      </w:rPr>
      <w:tblPr/>
      <w:tcPr>
        <w:tcBorders>
          <w:top w:val="single" w:sz="4" w:space="0" w:color="C3D69B"/>
          <w:bottom w:val="single" w:sz="4" w:space="0" w:color="C3D69B"/>
          <w:right w:val="single" w:sz="4" w:space="0" w:color="C3D69B"/>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Borders>
        <w:top w:val="single" w:sz="4" w:space="0" w:color="B3A2C7"/>
        <w:left w:val="single" w:sz="4" w:space="0" w:color="B3A2C7"/>
        <w:bottom w:val="single" w:sz="4" w:space="0" w:color="B3A2C7"/>
        <w:right w:val="single" w:sz="4" w:space="0" w:color="B3A2C7"/>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B2A1C6" w:fill="B2A1C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3A2C7"/>
        </w:tcBorders>
      </w:tcPr>
    </w:tblStylePr>
    <w:tblStylePr w:type="band2Vert">
      <w:pPr>
        <w:snapToGrid/>
      </w:pPr>
    </w:tblStylePr>
    <w:tblStylePr w:type="band1Horz">
      <w:pPr>
        <w:snapToGrid/>
      </w:pPr>
      <w:rPr>
        <w:rFonts w:ascii="Arial" w:hAnsi="Arial"/>
        <w:color w:val="404040"/>
        <w:sz w:val="22"/>
      </w:rPr>
      <w:tblPr/>
      <w:tcPr>
        <w:tcBorders>
          <w:top w:val="single" w:sz="4" w:space="0" w:color="B3A2C7"/>
          <w:bottom w:val="single" w:sz="4" w:space="0" w:color="B3A2C7"/>
          <w:right w:val="single" w:sz="4" w:space="0" w:color="B3A2C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Borders>
        <w:top w:val="single" w:sz="4" w:space="0" w:color="93CDDD"/>
        <w:left w:val="single" w:sz="4" w:space="0" w:color="93CDDD"/>
        <w:bottom w:val="single" w:sz="4" w:space="0" w:color="93CDDD"/>
        <w:right w:val="single" w:sz="4" w:space="0" w:color="93CDDD"/>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92CCDC" w:fill="92CCDC"/>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3CDDD"/>
        </w:tcBorders>
      </w:tcPr>
    </w:tblStylePr>
    <w:tblStylePr w:type="band2Vert">
      <w:pPr>
        <w:snapToGrid/>
      </w:pPr>
    </w:tblStylePr>
    <w:tblStylePr w:type="band1Horz">
      <w:pPr>
        <w:snapToGrid/>
      </w:pPr>
      <w:rPr>
        <w:rFonts w:ascii="Arial" w:hAnsi="Arial"/>
        <w:color w:val="404040"/>
        <w:sz w:val="22"/>
      </w:rPr>
      <w:tblPr/>
      <w:tcPr>
        <w:tcBorders>
          <w:top w:val="single" w:sz="4" w:space="0" w:color="93CDDD"/>
          <w:bottom w:val="single" w:sz="4" w:space="0" w:color="93CDDD"/>
          <w:right w:val="single" w:sz="4" w:space="0" w:color="93CDDD"/>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Borders>
        <w:top w:val="single" w:sz="4" w:space="0" w:color="FAC090"/>
        <w:left w:val="single" w:sz="4" w:space="0" w:color="FAC090"/>
        <w:bottom w:val="single" w:sz="4" w:space="0" w:color="FAC090"/>
        <w:right w:val="single" w:sz="4" w:space="0" w:color="FAC090"/>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AC090" w:fill="FAC09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cBorders>
      </w:tcPr>
    </w:tblStylePr>
    <w:tblStylePr w:type="band2Vert">
      <w:pPr>
        <w:snapToGrid/>
      </w:pPr>
    </w:tblStylePr>
    <w:tblStylePr w:type="band1Horz">
      <w:pPr>
        <w:snapToGrid/>
      </w:pPr>
      <w:rPr>
        <w:rFonts w:ascii="Arial" w:hAnsi="Arial"/>
        <w:color w:val="404040"/>
        <w:sz w:val="22"/>
      </w:rPr>
      <w:tblPr/>
      <w:tcPr>
        <w:tcBorders>
          <w:top w:val="single" w:sz="4" w:space="0" w:color="FAC090"/>
          <w:bottom w:val="single" w:sz="4" w:space="0" w:color="FAC090"/>
          <w:right w:val="single" w:sz="4" w:space="0" w:color="FAC09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EBEBE" w:fill="BEBEBE"/>
      </w:tcPr>
    </w:tblStylePr>
    <w:tblStylePr w:type="band2Vert">
      <w:pPr>
        <w:snapToGrid/>
      </w:pPr>
    </w:tblStylePr>
    <w:tblStylePr w:type="band1Horz">
      <w:pPr>
        <w:snapToGrid/>
      </w:pPr>
      <w:rPr>
        <w:rFonts w:ascii="Arial" w:hAnsi="Arial"/>
        <w:color w:val="404040"/>
        <w:sz w:val="22"/>
      </w:rPr>
      <w:tblPr/>
      <w:tcPr>
        <w:shd w:val="clear" w:color="BEBEBE" w:fill="BEBEB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Borders>
        <w:top w:val="single" w:sz="4" w:space="0" w:color="9CB8DA"/>
        <w:left w:val="single" w:sz="4" w:space="0" w:color="9CB8DA"/>
        <w:bottom w:val="single" w:sz="4" w:space="0" w:color="9CB8DA"/>
        <w:right w:val="single" w:sz="4" w:space="0" w:color="9CB8DA"/>
        <w:insideH w:val="single" w:sz="4" w:space="0" w:color="9CB8DA"/>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F81BD" w:fill="4F81BD"/>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2DFEE" w:fill="D2DFEE"/>
      </w:tcPr>
    </w:tblStylePr>
    <w:tblStylePr w:type="band2Vert">
      <w:pPr>
        <w:snapToGrid/>
      </w:pPr>
    </w:tblStylePr>
    <w:tblStylePr w:type="band1Horz">
      <w:pPr>
        <w:snapToGrid/>
      </w:pPr>
      <w:rPr>
        <w:rFonts w:ascii="Arial" w:hAnsi="Arial"/>
        <w:color w:val="404040"/>
        <w:sz w:val="22"/>
      </w:rPr>
      <w:tblPr/>
      <w:tcPr>
        <w:shd w:val="clear" w:color="D2DFEE" w:fill="D2DFE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Borders>
        <w:top w:val="single" w:sz="4" w:space="0" w:color="DC9D9B"/>
        <w:left w:val="single" w:sz="4" w:space="0" w:color="DC9D9B"/>
        <w:bottom w:val="single" w:sz="4" w:space="0" w:color="DC9D9B"/>
        <w:right w:val="single" w:sz="4" w:space="0" w:color="DC9D9B"/>
        <w:insideH w:val="single" w:sz="4" w:space="0" w:color="DC9D9B"/>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C0504D" w:fill="C0504D"/>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FD3D2" w:fill="EFD3D2"/>
      </w:tcPr>
    </w:tblStylePr>
    <w:tblStylePr w:type="band2Vert">
      <w:pPr>
        <w:snapToGrid/>
      </w:pPr>
    </w:tblStylePr>
    <w:tblStylePr w:type="band1Horz">
      <w:pPr>
        <w:snapToGrid/>
      </w:pPr>
      <w:rPr>
        <w:rFonts w:ascii="Arial" w:hAnsi="Arial"/>
        <w:color w:val="404040"/>
        <w:sz w:val="22"/>
      </w:rPr>
      <w:tblPr/>
      <w:tcPr>
        <w:shd w:val="clear" w:color="EFD3D2" w:fill="EFD3D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Borders>
        <w:top w:val="single" w:sz="4" w:space="0" w:color="C7D9A2"/>
        <w:left w:val="single" w:sz="4" w:space="0" w:color="C7D9A2"/>
        <w:bottom w:val="single" w:sz="4" w:space="0" w:color="C7D9A2"/>
        <w:right w:val="single" w:sz="4" w:space="0" w:color="C7D9A2"/>
        <w:insideH w:val="single" w:sz="4" w:space="0" w:color="C7D9A2"/>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9BBB59" w:fill="9BBB59"/>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EDD5" w:fill="E5EDD5"/>
      </w:tcPr>
    </w:tblStylePr>
    <w:tblStylePr w:type="band2Vert">
      <w:pPr>
        <w:snapToGrid/>
      </w:pPr>
    </w:tblStylePr>
    <w:tblStylePr w:type="band1Horz">
      <w:pPr>
        <w:snapToGrid/>
      </w:pPr>
      <w:rPr>
        <w:rFonts w:ascii="Arial" w:hAnsi="Arial"/>
        <w:color w:val="404040"/>
        <w:sz w:val="22"/>
      </w:rPr>
      <w:tblPr/>
      <w:tcPr>
        <w:shd w:val="clear" w:color="E5EDD5" w:fill="E5ED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Borders>
        <w:top w:val="single" w:sz="4" w:space="0" w:color="B8A8CB"/>
        <w:left w:val="single" w:sz="4" w:space="0" w:color="B8A8CB"/>
        <w:bottom w:val="single" w:sz="4" w:space="0" w:color="B8A8CB"/>
        <w:right w:val="single" w:sz="4" w:space="0" w:color="B8A8CB"/>
        <w:insideH w:val="single" w:sz="4" w:space="0" w:color="B8A8CB"/>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8064A2" w:fill="8064A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FD8E7" w:fill="DFD8E7"/>
      </w:tcPr>
    </w:tblStylePr>
    <w:tblStylePr w:type="band2Vert">
      <w:pPr>
        <w:snapToGrid/>
      </w:pPr>
    </w:tblStylePr>
    <w:tblStylePr w:type="band1Horz">
      <w:pPr>
        <w:snapToGrid/>
      </w:pPr>
      <w:rPr>
        <w:rFonts w:ascii="Arial" w:hAnsi="Arial"/>
        <w:color w:val="404040"/>
        <w:sz w:val="22"/>
      </w:rPr>
      <w:tblPr/>
      <w:tcPr>
        <w:shd w:val="clear" w:color="DFD8E7" w:fill="DFD8E7"/>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Borders>
        <w:top w:val="single" w:sz="4" w:space="0" w:color="9AD1DF"/>
        <w:left w:val="single" w:sz="4" w:space="0" w:color="9AD1DF"/>
        <w:bottom w:val="single" w:sz="4" w:space="0" w:color="9AD1DF"/>
        <w:right w:val="single" w:sz="4" w:space="0" w:color="9AD1DF"/>
        <w:insideH w:val="single" w:sz="4" w:space="0" w:color="9AD1DF"/>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BACC6" w:fill="4BACC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1EAF0" w:fill="D1EAF0"/>
      </w:tcPr>
    </w:tblStylePr>
    <w:tblStylePr w:type="band2Vert">
      <w:pPr>
        <w:snapToGrid/>
      </w:pPr>
    </w:tblStylePr>
    <w:tblStylePr w:type="band1Horz">
      <w:pPr>
        <w:snapToGrid/>
      </w:pPr>
      <w:rPr>
        <w:rFonts w:ascii="Arial" w:hAnsi="Arial"/>
        <w:color w:val="404040"/>
        <w:sz w:val="22"/>
      </w:rPr>
      <w:tblPr/>
      <w:tcPr>
        <w:shd w:val="clear" w:color="D1EAF0" w:fill="D1EA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Borders>
        <w:top w:val="single" w:sz="4" w:space="0" w:color="FBC497"/>
        <w:left w:val="single" w:sz="4" w:space="0" w:color="FBC497"/>
        <w:bottom w:val="single" w:sz="4" w:space="0" w:color="FBC497"/>
        <w:right w:val="single" w:sz="4" w:space="0" w:color="FBC497"/>
        <w:insideH w:val="single" w:sz="4" w:space="0" w:color="FBC497"/>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79646" w:fill="F7964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CE4D0" w:fill="FCE4D0"/>
      </w:tcPr>
    </w:tblStylePr>
    <w:tblStylePr w:type="band2Vert">
      <w:pPr>
        <w:snapToGrid/>
      </w:pPr>
    </w:tblStylePr>
    <w:tblStylePr w:type="band1Horz">
      <w:pPr>
        <w:snapToGrid/>
      </w:pPr>
      <w:rPr>
        <w:rFonts w:ascii="Arial" w:hAnsi="Arial"/>
        <w:color w:val="404040"/>
        <w:sz w:val="22"/>
      </w:rPr>
      <w:tblPr/>
      <w:tcPr>
        <w:shd w:val="clear" w:color="FCE4D0" w:fill="FCE4D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tblPr>
      <w:tblBorders>
        <w:top w:val="single" w:sz="32" w:space="0" w:color="808080"/>
        <w:left w:val="single" w:sz="32" w:space="0" w:color="808080"/>
        <w:bottom w:val="single" w:sz="32" w:space="0" w:color="808080"/>
        <w:right w:val="single" w:sz="32" w:space="0" w:color="808080"/>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808080"/>
          <w:bottom w:val="single" w:sz="12" w:space="0" w:color="FFFFFF"/>
          <w:right w:val="single" w:sz="32" w:space="0" w:color="808080"/>
        </w:tcBorders>
        <w:shd w:val="clear" w:color="7E7E7E" w:fill="7E7E7E"/>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808080"/>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7E7E7E" w:fill="7E7E7E"/>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7E7E7E" w:fill="7E7E7E"/>
      </w:tcPr>
    </w:tblStylePr>
    <w:tblStylePr w:type="band2Horz">
      <w:pPr>
        <w:snapToGrid/>
      </w:pPr>
      <w:tblPr/>
      <w:tcPr>
        <w:tcBorders>
          <w:top w:val="single" w:sz="4" w:space="0" w:color="FFFFFF"/>
          <w:bottom w:val="single" w:sz="4" w:space="0" w:color="FFFFFF"/>
          <w:right w:val="single" w:sz="4" w:space="0" w:color="FFFFFF"/>
        </w:tcBorders>
        <w:shd w:val="clear" w:color="7E7E7E" w:fill="7E7E7E"/>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Borders>
        <w:top w:val="single" w:sz="32" w:space="0" w:color="4F81BD"/>
        <w:left w:val="single" w:sz="32" w:space="0" w:color="4F81BD"/>
        <w:bottom w:val="single" w:sz="32" w:space="0" w:color="4F81BD"/>
        <w:right w:val="single" w:sz="32" w:space="0" w:color="4F81BD"/>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4F81BD"/>
          <w:bottom w:val="single" w:sz="12" w:space="0" w:color="FFFFFF"/>
          <w:right w:val="single" w:sz="32" w:space="0" w:color="4F81BD"/>
        </w:tcBorders>
        <w:shd w:val="clear" w:color="4F81BD" w:fill="4F81BD"/>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4F81BD"/>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4F81BD" w:fill="4F81BD"/>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4F81BD" w:fill="4F81BD"/>
      </w:tcPr>
    </w:tblStylePr>
    <w:tblStylePr w:type="band2Horz">
      <w:pPr>
        <w:snapToGrid/>
      </w:pPr>
      <w:tblPr/>
      <w:tcPr>
        <w:tcBorders>
          <w:top w:val="single" w:sz="4" w:space="0" w:color="FFFFFF"/>
          <w:bottom w:val="single" w:sz="4" w:space="0" w:color="FFFFFF"/>
          <w:right w:val="single" w:sz="4" w:space="0" w:color="FFFFFF"/>
        </w:tcBorders>
        <w:shd w:val="clear" w:color="4F81BD" w:fill="4F81B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Borders>
        <w:top w:val="single" w:sz="32" w:space="0" w:color="DA9896"/>
        <w:left w:val="single" w:sz="32" w:space="0" w:color="DA9896"/>
        <w:bottom w:val="single" w:sz="32" w:space="0" w:color="DA9896"/>
        <w:right w:val="single" w:sz="32" w:space="0" w:color="DA9896"/>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DA9896"/>
          <w:bottom w:val="single" w:sz="12" w:space="0" w:color="FFFFFF"/>
          <w:right w:val="single" w:sz="32" w:space="0" w:color="DA9896"/>
        </w:tcBorders>
        <w:shd w:val="clear" w:color="D99795" w:fill="D99795"/>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DA9896"/>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D99795" w:fill="D99795"/>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D99795" w:fill="D99795"/>
      </w:tcPr>
    </w:tblStylePr>
    <w:tblStylePr w:type="band2Horz">
      <w:pPr>
        <w:snapToGrid/>
      </w:pPr>
      <w:tblPr/>
      <w:tcPr>
        <w:tcBorders>
          <w:top w:val="single" w:sz="4" w:space="0" w:color="FFFFFF"/>
          <w:bottom w:val="single" w:sz="4" w:space="0" w:color="FFFFFF"/>
          <w:right w:val="single" w:sz="4" w:space="0" w:color="FFFFFF"/>
        </w:tcBorders>
        <w:shd w:val="clear" w:color="D99795" w:fill="D99795"/>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Borders>
        <w:top w:val="single" w:sz="32" w:space="0" w:color="C3D69B"/>
        <w:left w:val="single" w:sz="32" w:space="0" w:color="C3D69B"/>
        <w:bottom w:val="single" w:sz="32" w:space="0" w:color="C3D69B"/>
        <w:right w:val="single" w:sz="32" w:space="0" w:color="C3D69B"/>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C3D69B"/>
          <w:bottom w:val="single" w:sz="12" w:space="0" w:color="FFFFFF"/>
          <w:right w:val="single" w:sz="32" w:space="0" w:color="C3D69B"/>
        </w:tcBorders>
        <w:shd w:val="clear" w:color="C3D69C" w:fill="C3D69C"/>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C3D69B"/>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C3D69C" w:fill="C3D69C"/>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C3D69C" w:fill="C3D69C"/>
      </w:tcPr>
    </w:tblStylePr>
    <w:tblStylePr w:type="band2Horz">
      <w:pPr>
        <w:snapToGrid/>
      </w:pPr>
      <w:tblPr/>
      <w:tcPr>
        <w:tcBorders>
          <w:top w:val="single" w:sz="4" w:space="0" w:color="FFFFFF"/>
          <w:bottom w:val="single" w:sz="4" w:space="0" w:color="FFFFFF"/>
          <w:right w:val="single" w:sz="4" w:space="0" w:color="FFFFFF"/>
        </w:tcBorders>
        <w:shd w:val="clear" w:color="C3D69C" w:fill="C3D69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Borders>
        <w:top w:val="single" w:sz="32" w:space="0" w:color="B3A2C7"/>
        <w:left w:val="single" w:sz="32" w:space="0" w:color="B3A2C7"/>
        <w:bottom w:val="single" w:sz="32" w:space="0" w:color="B3A2C7"/>
        <w:right w:val="single" w:sz="32" w:space="0" w:color="B3A2C7"/>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B3A2C7"/>
          <w:bottom w:val="single" w:sz="12" w:space="0" w:color="FFFFFF"/>
          <w:right w:val="single" w:sz="32" w:space="0" w:color="B3A2C7"/>
        </w:tcBorders>
        <w:shd w:val="clear" w:color="B2A1C6" w:fill="B2A1C6"/>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B3A2C7"/>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B2A1C6" w:fill="B2A1C6"/>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B2A1C6" w:fill="B2A1C6"/>
      </w:tcPr>
    </w:tblStylePr>
    <w:tblStylePr w:type="band2Horz">
      <w:pPr>
        <w:snapToGrid/>
      </w:pPr>
      <w:tblPr/>
      <w:tcPr>
        <w:tcBorders>
          <w:top w:val="single" w:sz="4" w:space="0" w:color="FFFFFF"/>
          <w:bottom w:val="single" w:sz="4" w:space="0" w:color="FFFFFF"/>
          <w:right w:val="single" w:sz="4" w:space="0" w:color="FFFFFF"/>
        </w:tcBorders>
        <w:shd w:val="clear" w:color="B2A1C6" w:fill="B2A1C6"/>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tblPr>
      <w:tblBorders>
        <w:top w:val="single" w:sz="32" w:space="0" w:color="93CDDD"/>
        <w:left w:val="single" w:sz="32" w:space="0" w:color="93CDDD"/>
        <w:bottom w:val="single" w:sz="32" w:space="0" w:color="93CDDD"/>
        <w:right w:val="single" w:sz="32" w:space="0" w:color="93CDDD"/>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93CDDD"/>
          <w:bottom w:val="single" w:sz="12" w:space="0" w:color="FFFFFF"/>
          <w:right w:val="single" w:sz="32" w:space="0" w:color="93CDDD"/>
        </w:tcBorders>
        <w:shd w:val="clear" w:color="92CCDC" w:fill="92CCDC"/>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93CDDD"/>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92CCDC" w:fill="92CCDC"/>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92CCDC" w:fill="92CCDC"/>
      </w:tcPr>
    </w:tblStylePr>
    <w:tblStylePr w:type="band2Horz">
      <w:pPr>
        <w:snapToGrid/>
      </w:pPr>
      <w:tblPr/>
      <w:tcPr>
        <w:tcBorders>
          <w:top w:val="single" w:sz="4" w:space="0" w:color="FFFFFF"/>
          <w:bottom w:val="single" w:sz="4" w:space="0" w:color="FFFFFF"/>
          <w:right w:val="single" w:sz="4" w:space="0" w:color="FFFFFF"/>
        </w:tcBorders>
        <w:shd w:val="clear" w:color="92CCDC" w:fill="92CC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tblPr>
      <w:tblBorders>
        <w:top w:val="single" w:sz="32" w:space="0" w:color="FAC090"/>
        <w:left w:val="single" w:sz="32" w:space="0" w:color="FAC090"/>
        <w:bottom w:val="single" w:sz="32" w:space="0" w:color="FAC090"/>
        <w:right w:val="single" w:sz="32" w:space="0" w:color="FAC090"/>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FAC090"/>
          <w:bottom w:val="single" w:sz="12" w:space="0" w:color="FFFFFF"/>
          <w:right w:val="single" w:sz="32" w:space="0" w:color="FAC090"/>
        </w:tcBorders>
        <w:shd w:val="clear" w:color="FAC090" w:fill="FAC090"/>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FAC090"/>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FAC090" w:fill="FAC090"/>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FAC090" w:fill="FAC090"/>
      </w:tcPr>
    </w:tblStylePr>
    <w:tblStylePr w:type="band2Horz">
      <w:pPr>
        <w:snapToGrid/>
      </w:pPr>
      <w:tblPr/>
      <w:tcPr>
        <w:tcBorders>
          <w:top w:val="single" w:sz="4" w:space="0" w:color="FFFFFF"/>
          <w:bottom w:val="single" w:sz="4" w:space="0" w:color="FFFFFF"/>
          <w:right w:val="single" w:sz="4" w:space="0" w:color="FFFFFF"/>
        </w:tcBorders>
        <w:shd w:val="clear" w:color="FAC090" w:fill="FAC09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tblPr>
      <w:tblBorders>
        <w:top w:val="single" w:sz="4" w:space="0" w:color="808080"/>
        <w:left w:val="nil"/>
        <w:bottom w:val="single" w:sz="4" w:space="0" w:color="808080"/>
        <w:right w:val="nil"/>
        <w:insideH w:val="nil"/>
        <w:insideV w:val="nil"/>
      </w:tblBorders>
      <w:tblCellMar>
        <w:top w:w="0" w:type="dxa"/>
        <w:left w:w="108" w:type="dxa"/>
        <w:bottom w:w="0" w:type="dxa"/>
        <w:right w:w="108" w:type="dxa"/>
      </w:tblCellMar>
    </w:tblPr>
    <w:tblStylePr w:type="firstRow">
      <w:pPr>
        <w:snapToGrid/>
      </w:pPr>
      <w:rPr>
        <w:b/>
        <w:color w:val="000000"/>
      </w:rPr>
      <w:tblPr/>
      <w:tcPr>
        <w:tcBorders>
          <w:bottom w:val="single" w:sz="4" w:space="0" w:color="808080"/>
        </w:tcBorders>
      </w:tcPr>
    </w:tblStylePr>
    <w:tblStylePr w:type="lastRow">
      <w:pPr>
        <w:snapToGrid/>
      </w:pPr>
      <w:rPr>
        <w:b/>
        <w:color w:val="000000"/>
      </w:rPr>
      <w:tblPr/>
      <w:tcPr>
        <w:tcBorders>
          <w:top w:val="single" w:sz="4" w:space="0" w:color="808080"/>
          <w:right w:val="single" w:sz="4" w:space="0" w:color="808080"/>
        </w:tcBorders>
      </w:tcPr>
    </w:tblStylePr>
    <w:tblStylePr w:type="firstCol">
      <w:pPr>
        <w:snapToGrid/>
      </w:pPr>
      <w:rPr>
        <w:b/>
        <w:color w:val="000000"/>
      </w:rPr>
    </w:tblStylePr>
    <w:tblStylePr w:type="lastCol">
      <w:pPr>
        <w:snapToGrid/>
      </w:pPr>
      <w:rPr>
        <w:b/>
        <w:color w:val="000000"/>
      </w:rPr>
    </w:tblStylePr>
    <w:tblStylePr w:type="band1Vert">
      <w:pPr>
        <w:snapToGrid/>
      </w:pPr>
      <w:tblPr/>
      <w:tcPr>
        <w:shd w:val="clear" w:color="BEBEBE" w:fill="BEBEBE"/>
      </w:tcPr>
    </w:tblStylePr>
    <w:tblStylePr w:type="band2Vert">
      <w:pPr>
        <w:snapToGrid/>
      </w:pPr>
    </w:tblStylePr>
    <w:tblStylePr w:type="band1Horz">
      <w:pPr>
        <w:snapToGrid/>
      </w:pPr>
      <w:rPr>
        <w:rFonts w:ascii="Arial" w:hAnsi="Arial"/>
        <w:color w:val="000000"/>
        <w:sz w:val="22"/>
      </w:rPr>
      <w:tblPr/>
      <w:tcPr>
        <w:shd w:val="clear" w:color="BEBEBE" w:fill="BEBEBE"/>
      </w:tcPr>
    </w:tblStylePr>
    <w:tblStylePr w:type="band2Horz">
      <w:pPr>
        <w:snapToGrid/>
      </w:pPr>
      <w:rPr>
        <w:rFonts w:ascii="Arial" w:hAnsi="Arial"/>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tblPr>
      <w:tblBorders>
        <w:top w:val="single" w:sz="4" w:space="0" w:color="4F81BD"/>
        <w:left w:val="nil"/>
        <w:bottom w:val="single" w:sz="4" w:space="0" w:color="4F81BD"/>
        <w:right w:val="nil"/>
        <w:insideH w:val="nil"/>
        <w:insideV w:val="nil"/>
      </w:tblBorders>
      <w:tblCellMar>
        <w:top w:w="0" w:type="dxa"/>
        <w:left w:w="108" w:type="dxa"/>
        <w:bottom w:w="0" w:type="dxa"/>
        <w:right w:w="108" w:type="dxa"/>
      </w:tblCellMar>
    </w:tblPr>
    <w:tblStylePr w:type="firstRow">
      <w:pPr>
        <w:snapToGrid/>
      </w:pPr>
      <w:rPr>
        <w:b/>
        <w:color w:val="2E4B6E"/>
      </w:rPr>
      <w:tblPr/>
      <w:tcPr>
        <w:tcBorders>
          <w:bottom w:val="single" w:sz="4" w:space="0" w:color="4F81BD"/>
        </w:tcBorders>
      </w:tcPr>
    </w:tblStylePr>
    <w:tblStylePr w:type="lastRow">
      <w:pPr>
        <w:snapToGrid/>
      </w:pPr>
      <w:rPr>
        <w:b/>
        <w:color w:val="2E4B6E"/>
      </w:rPr>
      <w:tblPr/>
      <w:tcPr>
        <w:tcBorders>
          <w:top w:val="single" w:sz="4" w:space="0" w:color="4F81BD"/>
          <w:right w:val="single" w:sz="4" w:space="0" w:color="4F81BD"/>
        </w:tcBorders>
      </w:tcPr>
    </w:tblStylePr>
    <w:tblStylePr w:type="firstCol">
      <w:pPr>
        <w:snapToGrid/>
      </w:pPr>
      <w:rPr>
        <w:b/>
        <w:color w:val="2E4B6E"/>
      </w:rPr>
    </w:tblStylePr>
    <w:tblStylePr w:type="lastCol">
      <w:pPr>
        <w:snapToGrid/>
      </w:pPr>
      <w:rPr>
        <w:b/>
        <w:color w:val="2E4B6E"/>
      </w:rPr>
    </w:tblStylePr>
    <w:tblStylePr w:type="band1Vert">
      <w:pPr>
        <w:snapToGrid/>
      </w:pPr>
      <w:tblPr/>
      <w:tcPr>
        <w:shd w:val="clear" w:color="D2DFEE" w:fill="D2DFEE"/>
      </w:tcPr>
    </w:tblStylePr>
    <w:tblStylePr w:type="band2Vert">
      <w:pPr>
        <w:snapToGrid/>
      </w:pPr>
    </w:tblStylePr>
    <w:tblStylePr w:type="band1Horz">
      <w:pPr>
        <w:snapToGrid/>
      </w:pPr>
      <w:rPr>
        <w:rFonts w:ascii="Arial" w:hAnsi="Arial"/>
        <w:color w:val="2E4B6E"/>
        <w:sz w:val="22"/>
      </w:rPr>
      <w:tblPr/>
      <w:tcPr>
        <w:shd w:val="clear" w:color="D2DFEE" w:fill="D2DFEE"/>
      </w:tcPr>
    </w:tblStylePr>
    <w:tblStylePr w:type="band2Horz">
      <w:pPr>
        <w:snapToGrid/>
      </w:pPr>
      <w:rPr>
        <w:rFonts w:ascii="Arial" w:hAnsi="Arial"/>
        <w:color w:val="2E4B6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tblPr>
      <w:tblBorders>
        <w:top w:val="single" w:sz="4" w:space="0" w:color="DA9896"/>
        <w:left w:val="nil"/>
        <w:bottom w:val="single" w:sz="4" w:space="0" w:color="DA9896"/>
        <w:right w:val="nil"/>
        <w:insideH w:val="nil"/>
        <w:insideV w:val="nil"/>
      </w:tblBorders>
      <w:tblCellMar>
        <w:top w:w="0" w:type="dxa"/>
        <w:left w:w="108" w:type="dxa"/>
        <w:bottom w:w="0" w:type="dxa"/>
        <w:right w:w="108" w:type="dxa"/>
      </w:tblCellMar>
    </w:tblPr>
    <w:tblStylePr w:type="firstRow">
      <w:pPr>
        <w:snapToGrid/>
      </w:pPr>
      <w:rPr>
        <w:b/>
        <w:color w:val="702E2C"/>
      </w:rPr>
      <w:tblPr/>
      <w:tcPr>
        <w:tcBorders>
          <w:bottom w:val="single" w:sz="4" w:space="0" w:color="DA9896"/>
        </w:tcBorders>
      </w:tcPr>
    </w:tblStylePr>
    <w:tblStylePr w:type="lastRow">
      <w:pPr>
        <w:snapToGrid/>
      </w:pPr>
      <w:rPr>
        <w:b/>
        <w:color w:val="702E2C"/>
      </w:rPr>
      <w:tblPr/>
      <w:tcPr>
        <w:tcBorders>
          <w:top w:val="single" w:sz="4" w:space="0" w:color="DA9896"/>
          <w:right w:val="single" w:sz="4" w:space="0" w:color="DA9896"/>
        </w:tcBorders>
      </w:tcPr>
    </w:tblStylePr>
    <w:tblStylePr w:type="firstCol">
      <w:pPr>
        <w:snapToGrid/>
      </w:pPr>
      <w:rPr>
        <w:b/>
        <w:color w:val="702E2C"/>
      </w:rPr>
    </w:tblStylePr>
    <w:tblStylePr w:type="lastCol">
      <w:pPr>
        <w:snapToGrid/>
      </w:pPr>
      <w:rPr>
        <w:b/>
        <w:color w:val="702E2C"/>
      </w:rPr>
    </w:tblStylePr>
    <w:tblStylePr w:type="band1Vert">
      <w:pPr>
        <w:snapToGrid/>
      </w:pPr>
      <w:tblPr/>
      <w:tcPr>
        <w:shd w:val="clear" w:color="EFD3D2" w:fill="EFD3D2"/>
      </w:tcPr>
    </w:tblStylePr>
    <w:tblStylePr w:type="band2Vert">
      <w:pPr>
        <w:snapToGrid/>
      </w:pPr>
    </w:tblStylePr>
    <w:tblStylePr w:type="band1Horz">
      <w:pPr>
        <w:snapToGrid/>
      </w:pPr>
      <w:rPr>
        <w:rFonts w:ascii="Arial" w:hAnsi="Arial"/>
        <w:color w:val="702E2C"/>
        <w:sz w:val="22"/>
      </w:rPr>
      <w:tblPr/>
      <w:tcPr>
        <w:shd w:val="clear" w:color="EFD3D2" w:fill="EFD3D2"/>
      </w:tcPr>
    </w:tblStylePr>
    <w:tblStylePr w:type="band2Horz">
      <w:pPr>
        <w:snapToGrid/>
      </w:pPr>
      <w:rPr>
        <w:rFonts w:ascii="Arial" w:hAnsi="Arial"/>
        <w:color w:val="702E2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tblPr>
      <w:tblBorders>
        <w:top w:val="single" w:sz="4" w:space="0" w:color="C3D69B"/>
        <w:left w:val="nil"/>
        <w:bottom w:val="single" w:sz="4" w:space="0" w:color="C3D69B"/>
        <w:right w:val="nil"/>
        <w:insideH w:val="nil"/>
        <w:insideV w:val="nil"/>
      </w:tblBorders>
      <w:tblCellMar>
        <w:top w:w="0" w:type="dxa"/>
        <w:left w:w="108" w:type="dxa"/>
        <w:bottom w:w="0" w:type="dxa"/>
        <w:right w:w="108" w:type="dxa"/>
      </w:tblCellMar>
    </w:tblPr>
    <w:tblStylePr w:type="firstRow">
      <w:pPr>
        <w:snapToGrid/>
      </w:pPr>
      <w:rPr>
        <w:b/>
        <w:color w:val="5A6D34"/>
      </w:rPr>
      <w:tblPr/>
      <w:tcPr>
        <w:tcBorders>
          <w:bottom w:val="single" w:sz="4" w:space="0" w:color="C3D69B"/>
        </w:tcBorders>
      </w:tcPr>
    </w:tblStylePr>
    <w:tblStylePr w:type="lastRow">
      <w:pPr>
        <w:snapToGrid/>
      </w:pPr>
      <w:rPr>
        <w:b/>
        <w:color w:val="5A6D34"/>
      </w:rPr>
      <w:tblPr/>
      <w:tcPr>
        <w:tcBorders>
          <w:top w:val="single" w:sz="4" w:space="0" w:color="C3D69B"/>
          <w:right w:val="single" w:sz="4" w:space="0" w:color="C3D69B"/>
        </w:tcBorders>
      </w:tcPr>
    </w:tblStylePr>
    <w:tblStylePr w:type="firstCol">
      <w:pPr>
        <w:snapToGrid/>
      </w:pPr>
      <w:rPr>
        <w:b/>
        <w:color w:val="5A6D34"/>
      </w:rPr>
    </w:tblStylePr>
    <w:tblStylePr w:type="lastCol">
      <w:pPr>
        <w:snapToGrid/>
      </w:pPr>
      <w:rPr>
        <w:b/>
        <w:color w:val="5A6D34"/>
      </w:rPr>
    </w:tblStylePr>
    <w:tblStylePr w:type="band1Vert">
      <w:pPr>
        <w:snapToGrid/>
      </w:pPr>
      <w:tblPr/>
      <w:tcPr>
        <w:shd w:val="clear" w:color="E5EDD5" w:fill="E5EDD5"/>
      </w:tcPr>
    </w:tblStylePr>
    <w:tblStylePr w:type="band2Vert">
      <w:pPr>
        <w:snapToGrid/>
      </w:pPr>
    </w:tblStylePr>
    <w:tblStylePr w:type="band1Horz">
      <w:pPr>
        <w:snapToGrid/>
      </w:pPr>
      <w:rPr>
        <w:rFonts w:ascii="Arial" w:hAnsi="Arial"/>
        <w:color w:val="5A6D34"/>
        <w:sz w:val="22"/>
      </w:rPr>
      <w:tblPr/>
      <w:tcPr>
        <w:shd w:val="clear" w:color="E5EDD5" w:fill="E5EDD5"/>
      </w:tcPr>
    </w:tblStylePr>
    <w:tblStylePr w:type="band2Horz">
      <w:pPr>
        <w:snapToGrid/>
      </w:pPr>
      <w:rPr>
        <w:rFonts w:ascii="Arial" w:hAnsi="Arial"/>
        <w:color w:val="5A6D3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tblPr>
      <w:tblBorders>
        <w:top w:val="single" w:sz="4" w:space="0" w:color="B3A2C7"/>
        <w:left w:val="nil"/>
        <w:bottom w:val="single" w:sz="4" w:space="0" w:color="B3A2C7"/>
        <w:right w:val="nil"/>
        <w:insideH w:val="nil"/>
        <w:insideV w:val="nil"/>
      </w:tblBorders>
      <w:tblCellMar>
        <w:top w:w="0" w:type="dxa"/>
        <w:left w:w="108" w:type="dxa"/>
        <w:bottom w:w="0" w:type="dxa"/>
        <w:right w:w="108" w:type="dxa"/>
      </w:tblCellMar>
    </w:tblPr>
    <w:tblStylePr w:type="firstRow">
      <w:pPr>
        <w:snapToGrid/>
      </w:pPr>
      <w:rPr>
        <w:b/>
        <w:color w:val="4A3A5E"/>
      </w:rPr>
      <w:tblPr/>
      <w:tcPr>
        <w:tcBorders>
          <w:bottom w:val="single" w:sz="4" w:space="0" w:color="B3A2C7"/>
        </w:tcBorders>
      </w:tcPr>
    </w:tblStylePr>
    <w:tblStylePr w:type="lastRow">
      <w:pPr>
        <w:snapToGrid/>
      </w:pPr>
      <w:rPr>
        <w:b/>
        <w:color w:val="4A3A5E"/>
      </w:rPr>
      <w:tblPr/>
      <w:tcPr>
        <w:tcBorders>
          <w:top w:val="single" w:sz="4" w:space="0" w:color="B3A2C7"/>
          <w:right w:val="single" w:sz="4" w:space="0" w:color="B3A2C7"/>
        </w:tcBorders>
      </w:tcPr>
    </w:tblStylePr>
    <w:tblStylePr w:type="firstCol">
      <w:pPr>
        <w:snapToGrid/>
      </w:pPr>
      <w:rPr>
        <w:b/>
        <w:color w:val="4A3A5E"/>
      </w:rPr>
    </w:tblStylePr>
    <w:tblStylePr w:type="lastCol">
      <w:pPr>
        <w:snapToGrid/>
      </w:pPr>
      <w:rPr>
        <w:b/>
        <w:color w:val="4A3A5E"/>
      </w:rPr>
    </w:tblStylePr>
    <w:tblStylePr w:type="band1Vert">
      <w:pPr>
        <w:snapToGrid/>
      </w:pPr>
      <w:tblPr/>
      <w:tcPr>
        <w:shd w:val="clear" w:color="DFD8E7" w:fill="DFD8E7"/>
      </w:tcPr>
    </w:tblStylePr>
    <w:tblStylePr w:type="band2Vert">
      <w:pPr>
        <w:snapToGrid/>
      </w:pPr>
    </w:tblStylePr>
    <w:tblStylePr w:type="band1Horz">
      <w:pPr>
        <w:snapToGrid/>
      </w:pPr>
      <w:rPr>
        <w:rFonts w:ascii="Arial" w:hAnsi="Arial"/>
        <w:color w:val="4A3A5E"/>
        <w:sz w:val="22"/>
      </w:rPr>
      <w:tblPr/>
      <w:tcPr>
        <w:shd w:val="clear" w:color="DFD8E7" w:fill="DFD8E7"/>
      </w:tcPr>
    </w:tblStylePr>
    <w:tblStylePr w:type="band2Horz">
      <w:pPr>
        <w:snapToGrid/>
      </w:pPr>
      <w:rPr>
        <w:rFonts w:ascii="Arial" w:hAnsi="Arial"/>
        <w:color w:val="4A3A5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tblPr>
      <w:tblBorders>
        <w:top w:val="single" w:sz="4" w:space="0" w:color="93CDDD"/>
        <w:left w:val="nil"/>
        <w:bottom w:val="single" w:sz="4" w:space="0" w:color="93CDDD"/>
        <w:right w:val="nil"/>
        <w:insideH w:val="nil"/>
        <w:insideV w:val="nil"/>
      </w:tblBorders>
      <w:tblCellMar>
        <w:top w:w="0" w:type="dxa"/>
        <w:left w:w="108" w:type="dxa"/>
        <w:bottom w:w="0" w:type="dxa"/>
        <w:right w:w="108" w:type="dxa"/>
      </w:tblCellMar>
    </w:tblPr>
    <w:tblStylePr w:type="firstRow">
      <w:pPr>
        <w:snapToGrid/>
      </w:pPr>
      <w:rPr>
        <w:b/>
        <w:color w:val="2B6473"/>
      </w:rPr>
      <w:tblPr/>
      <w:tcPr>
        <w:tcBorders>
          <w:bottom w:val="single" w:sz="4" w:space="0" w:color="93CDDD"/>
        </w:tcBorders>
      </w:tcPr>
    </w:tblStylePr>
    <w:tblStylePr w:type="lastRow">
      <w:pPr>
        <w:snapToGrid/>
      </w:pPr>
      <w:rPr>
        <w:b/>
        <w:color w:val="2B6473"/>
      </w:rPr>
      <w:tblPr/>
      <w:tcPr>
        <w:tcBorders>
          <w:top w:val="single" w:sz="4" w:space="0" w:color="93CDDD"/>
          <w:right w:val="single" w:sz="4" w:space="0" w:color="93CDDD"/>
        </w:tcBorders>
      </w:tcPr>
    </w:tblStylePr>
    <w:tblStylePr w:type="firstCol">
      <w:pPr>
        <w:snapToGrid/>
      </w:pPr>
      <w:rPr>
        <w:b/>
        <w:color w:val="2B6473"/>
      </w:rPr>
    </w:tblStylePr>
    <w:tblStylePr w:type="lastCol">
      <w:pPr>
        <w:snapToGrid/>
      </w:pPr>
      <w:rPr>
        <w:b/>
        <w:color w:val="2B6473"/>
      </w:rPr>
    </w:tblStylePr>
    <w:tblStylePr w:type="band1Vert">
      <w:pPr>
        <w:snapToGrid/>
      </w:pPr>
      <w:tblPr/>
      <w:tcPr>
        <w:shd w:val="clear" w:color="D1EAF0" w:fill="D1EAF0"/>
      </w:tcPr>
    </w:tblStylePr>
    <w:tblStylePr w:type="band2Vert">
      <w:pPr>
        <w:snapToGrid/>
      </w:pPr>
    </w:tblStylePr>
    <w:tblStylePr w:type="band1Horz">
      <w:pPr>
        <w:snapToGrid/>
      </w:pPr>
      <w:rPr>
        <w:rFonts w:ascii="Arial" w:hAnsi="Arial"/>
        <w:color w:val="2B6473"/>
        <w:sz w:val="22"/>
      </w:rPr>
      <w:tblPr/>
      <w:tcPr>
        <w:shd w:val="clear" w:color="D1EAF0" w:fill="D1EAF0"/>
      </w:tcPr>
    </w:tblStylePr>
    <w:tblStylePr w:type="band2Horz">
      <w:pPr>
        <w:snapToGrid/>
      </w:pPr>
      <w:rPr>
        <w:rFonts w:ascii="Arial" w:hAnsi="Arial"/>
        <w:color w:val="2B647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tblPr>
      <w:tblBorders>
        <w:top w:val="single" w:sz="4" w:space="0" w:color="FAC090"/>
        <w:left w:val="nil"/>
        <w:bottom w:val="single" w:sz="4" w:space="0" w:color="FAC090"/>
        <w:right w:val="nil"/>
        <w:insideH w:val="nil"/>
        <w:insideV w:val="nil"/>
      </w:tblBorders>
      <w:tblCellMar>
        <w:top w:w="0" w:type="dxa"/>
        <w:left w:w="108" w:type="dxa"/>
        <w:bottom w:w="0" w:type="dxa"/>
        <w:right w:w="108" w:type="dxa"/>
      </w:tblCellMar>
    </w:tblPr>
    <w:tblStylePr w:type="firstRow">
      <w:pPr>
        <w:snapToGrid/>
      </w:pPr>
      <w:rPr>
        <w:b/>
        <w:color w:val="905728"/>
      </w:rPr>
      <w:tblPr/>
      <w:tcPr>
        <w:tcBorders>
          <w:bottom w:val="single" w:sz="4" w:space="0" w:color="FAC090"/>
        </w:tcBorders>
      </w:tcPr>
    </w:tblStylePr>
    <w:tblStylePr w:type="lastRow">
      <w:pPr>
        <w:snapToGrid/>
      </w:pPr>
      <w:rPr>
        <w:b/>
        <w:color w:val="905728"/>
      </w:rPr>
      <w:tblPr/>
      <w:tcPr>
        <w:tcBorders>
          <w:top w:val="single" w:sz="4" w:space="0" w:color="FAC090"/>
          <w:right w:val="single" w:sz="4" w:space="0" w:color="FAC090"/>
        </w:tcBorders>
      </w:tcPr>
    </w:tblStylePr>
    <w:tblStylePr w:type="firstCol">
      <w:pPr>
        <w:snapToGrid/>
      </w:pPr>
      <w:rPr>
        <w:b/>
        <w:color w:val="905728"/>
      </w:rPr>
    </w:tblStylePr>
    <w:tblStylePr w:type="lastCol">
      <w:pPr>
        <w:snapToGrid/>
      </w:pPr>
      <w:rPr>
        <w:b/>
        <w:color w:val="905728"/>
      </w:rPr>
    </w:tblStylePr>
    <w:tblStylePr w:type="band1Vert">
      <w:pPr>
        <w:snapToGrid/>
      </w:pPr>
      <w:tblPr/>
      <w:tcPr>
        <w:shd w:val="clear" w:color="FCE4D0" w:fill="FCE4D0"/>
      </w:tcPr>
    </w:tblStylePr>
    <w:tblStylePr w:type="band2Vert">
      <w:pPr>
        <w:snapToGrid/>
      </w:pPr>
    </w:tblStylePr>
    <w:tblStylePr w:type="band1Horz">
      <w:pPr>
        <w:snapToGrid/>
      </w:pPr>
      <w:rPr>
        <w:rFonts w:ascii="Arial" w:hAnsi="Arial"/>
        <w:color w:val="905728"/>
        <w:sz w:val="22"/>
      </w:rPr>
      <w:tblPr/>
      <w:tcPr>
        <w:shd w:val="clear" w:color="FCE4D0" w:fill="FCE4D0"/>
      </w:tcPr>
    </w:tblStylePr>
    <w:tblStylePr w:type="band2Horz">
      <w:pPr>
        <w:snapToGrid/>
      </w:pPr>
      <w:rPr>
        <w:rFonts w:ascii="Arial" w:hAnsi="Arial"/>
        <w:color w:val="905728"/>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tblPr>
      <w:tblBorders>
        <w:top w:val="nil"/>
        <w:left w:val="nil"/>
        <w:bottom w:val="nil"/>
        <w:right w:val="single" w:sz="4" w:space="0" w:color="808080"/>
        <w:insideH w:val="nil"/>
        <w:insideV w:val="nil"/>
      </w:tblBorders>
      <w:tblCellMar>
        <w:top w:w="0" w:type="dxa"/>
        <w:left w:w="108" w:type="dxa"/>
        <w:bottom w:w="0" w:type="dxa"/>
        <w:right w:w="108" w:type="dxa"/>
      </w:tblCellMar>
    </w:tblPr>
    <w:tblStylePr w:type="firstRow">
      <w:pPr>
        <w:snapToGrid/>
      </w:pPr>
      <w:rPr>
        <w:rFonts w:ascii="Arial" w:hAnsi="Arial"/>
        <w:i/>
        <w:color w:val="000000"/>
        <w:sz w:val="22"/>
      </w:rPr>
      <w:tblPr/>
      <w:tcPr>
        <w:tcBorders>
          <w:top w:val="none" w:sz="0" w:space="0" w:color="000000"/>
          <w:left w:val="none" w:sz="0" w:space="0" w:color="000000"/>
          <w:bottom w:val="single" w:sz="4" w:space="0" w:color="808080"/>
          <w:right w:val="none" w:sz="0" w:space="0" w:color="000000"/>
        </w:tcBorders>
        <w:shd w:val="clear" w:color="FFFFFF" w:fill="FFFFFF"/>
      </w:tcPr>
    </w:tblStylePr>
    <w:tblStylePr w:type="lastRow">
      <w:pPr>
        <w:snapToGrid/>
      </w:pPr>
      <w:rPr>
        <w:rFonts w:ascii="Arial" w:hAnsi="Arial"/>
        <w:i/>
        <w:color w:val="000000"/>
        <w:sz w:val="22"/>
      </w:rPr>
      <w:tblPr/>
      <w:tcPr>
        <w:tcBorders>
          <w:top w:val="single" w:sz="4" w:space="0" w:color="808080"/>
          <w:left w:val="none" w:sz="0" w:space="0" w:color="000000"/>
          <w:bottom w:val="none" w:sz="0" w:space="0" w:color="000000"/>
          <w:right w:val="single" w:sz="4" w:space="0" w:color="808080"/>
        </w:tcBorders>
        <w:shd w:val="clear" w:color="FFFFFF" w:fill="FFFFFF"/>
      </w:tcPr>
    </w:tblStylePr>
    <w:tblStylePr w:type="firstCol">
      <w:pPr>
        <w:snapToGrid/>
        <w:jc w:val="right"/>
      </w:pPr>
      <w:rPr>
        <w:rFonts w:ascii="Arial" w:hAnsi="Arial"/>
        <w:i/>
        <w:color w:val="000000"/>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000000"/>
        <w:sz w:val="22"/>
      </w:rPr>
      <w:tblPr/>
      <w:tcPr>
        <w:tcBorders>
          <w:top w:val="none" w:sz="0" w:space="0" w:color="000000"/>
          <w:left w:val="single" w:sz="4" w:space="0" w:color="808080"/>
          <w:bottom w:val="none" w:sz="0" w:space="0" w:color="000000"/>
          <w:right w:val="none" w:sz="0" w:space="0" w:color="000000"/>
        </w:tcBorders>
        <w:shd w:val="clear" w:color="FFFFFF" w:fill="FFFFFF"/>
      </w:tcPr>
    </w:tblStylePr>
    <w:tblStylePr w:type="band1Vert">
      <w:pPr>
        <w:snapToGrid/>
      </w:pPr>
      <w:tblPr/>
      <w:tcPr>
        <w:shd w:val="clear" w:color="BEBEBE" w:fill="BEBEBE"/>
      </w:tcPr>
    </w:tblStylePr>
    <w:tblStylePr w:type="band2Vert">
      <w:pPr>
        <w:snapToGrid/>
      </w:pPr>
    </w:tblStylePr>
    <w:tblStylePr w:type="band1Horz">
      <w:pPr>
        <w:snapToGrid/>
      </w:pPr>
      <w:rPr>
        <w:rFonts w:ascii="Arial" w:hAnsi="Arial"/>
        <w:color w:val="000000"/>
        <w:sz w:val="22"/>
      </w:rPr>
      <w:tblPr/>
      <w:tcPr>
        <w:shd w:val="clear" w:color="BEBEBE" w:fill="BEBEBE"/>
      </w:tcPr>
    </w:tblStylePr>
    <w:tblStylePr w:type="band2Horz">
      <w:pPr>
        <w:snapToGrid/>
      </w:pPr>
      <w:rPr>
        <w:rFonts w:ascii="Arial" w:hAnsi="Arial"/>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Borders>
        <w:top w:val="nil"/>
        <w:left w:val="nil"/>
        <w:bottom w:val="nil"/>
        <w:right w:val="single" w:sz="4" w:space="0" w:color="4F81BD"/>
        <w:insideH w:val="nil"/>
        <w:insideV w:val="nil"/>
      </w:tblBorders>
      <w:tblCellMar>
        <w:top w:w="0" w:type="dxa"/>
        <w:left w:w="108" w:type="dxa"/>
        <w:bottom w:w="0" w:type="dxa"/>
        <w:right w:w="108" w:type="dxa"/>
      </w:tblCellMar>
    </w:tblPr>
    <w:tblStylePr w:type="firstRow">
      <w:pPr>
        <w:snapToGrid/>
      </w:pPr>
      <w:rPr>
        <w:rFonts w:ascii="Arial" w:hAnsi="Arial"/>
        <w:i/>
        <w:color w:val="2E4B6E"/>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pPr>
        <w:snapToGrid/>
      </w:pPr>
      <w:rPr>
        <w:rFonts w:ascii="Arial" w:hAnsi="Arial"/>
        <w:i/>
        <w:color w:val="2E4B6E"/>
        <w:sz w:val="22"/>
      </w:rPr>
      <w:tblPr/>
      <w:tcPr>
        <w:tcBorders>
          <w:top w:val="single" w:sz="4" w:space="0" w:color="4F81BD"/>
          <w:left w:val="none" w:sz="0" w:space="0" w:color="000000"/>
          <w:bottom w:val="none" w:sz="0" w:space="0" w:color="000000"/>
          <w:right w:val="single" w:sz="4" w:space="0" w:color="4F81BD"/>
        </w:tcBorders>
        <w:shd w:val="clear" w:color="FFFFFF" w:fill="FFFFFF"/>
      </w:tcPr>
    </w:tblStylePr>
    <w:tblStylePr w:type="firstCol">
      <w:pPr>
        <w:snapToGrid/>
        <w:jc w:val="right"/>
      </w:pPr>
      <w:rPr>
        <w:rFonts w:ascii="Arial" w:hAnsi="Arial"/>
        <w:i/>
        <w:color w:val="2E4B6E"/>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2E4B6E"/>
        <w:sz w:val="22"/>
      </w:rPr>
      <w:tblPr/>
      <w:tcPr>
        <w:tcBorders>
          <w:top w:val="none" w:sz="0" w:space="0" w:color="000000"/>
          <w:left w:val="single" w:sz="4" w:space="0" w:color="4F81BD"/>
          <w:bottom w:val="none" w:sz="0" w:space="0" w:color="000000"/>
          <w:right w:val="none" w:sz="0" w:space="0" w:color="000000"/>
        </w:tcBorders>
        <w:shd w:val="clear" w:color="FFFFFF" w:fill="FFFFFF"/>
      </w:tcPr>
    </w:tblStylePr>
    <w:tblStylePr w:type="band1Vert">
      <w:pPr>
        <w:snapToGrid/>
      </w:pPr>
      <w:tblPr/>
      <w:tcPr>
        <w:shd w:val="clear" w:color="D2DFEE" w:fill="D2DFEE"/>
      </w:tcPr>
    </w:tblStylePr>
    <w:tblStylePr w:type="band2Vert">
      <w:pPr>
        <w:snapToGrid/>
      </w:pPr>
    </w:tblStylePr>
    <w:tblStylePr w:type="band1Horz">
      <w:pPr>
        <w:snapToGrid/>
      </w:pPr>
      <w:rPr>
        <w:rFonts w:ascii="Arial" w:hAnsi="Arial"/>
        <w:color w:val="2E4B6E"/>
        <w:sz w:val="22"/>
      </w:rPr>
      <w:tblPr/>
      <w:tcPr>
        <w:shd w:val="clear" w:color="D2DFEE" w:fill="D2DFEE"/>
      </w:tcPr>
    </w:tblStylePr>
    <w:tblStylePr w:type="band2Horz">
      <w:pPr>
        <w:snapToGrid/>
      </w:pPr>
      <w:rPr>
        <w:rFonts w:ascii="Arial" w:hAnsi="Arial"/>
        <w:color w:val="2E4B6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tblPr>
      <w:tblBorders>
        <w:top w:val="nil"/>
        <w:left w:val="nil"/>
        <w:bottom w:val="nil"/>
        <w:right w:val="single" w:sz="4" w:space="0" w:color="DA9896"/>
        <w:insideH w:val="nil"/>
        <w:insideV w:val="nil"/>
      </w:tblBorders>
      <w:tblCellMar>
        <w:top w:w="0" w:type="dxa"/>
        <w:left w:w="108" w:type="dxa"/>
        <w:bottom w:w="0" w:type="dxa"/>
        <w:right w:w="108" w:type="dxa"/>
      </w:tblCellMar>
    </w:tblPr>
    <w:tblStylePr w:type="firstRow">
      <w:pPr>
        <w:snapToGrid/>
      </w:pPr>
      <w:rPr>
        <w:rFonts w:ascii="Arial" w:hAnsi="Arial"/>
        <w:i/>
        <w:color w:val="702E2C"/>
        <w:sz w:val="22"/>
      </w:rPr>
      <w:tblPr/>
      <w:tcPr>
        <w:tcBorders>
          <w:top w:val="none" w:sz="0" w:space="0" w:color="000000"/>
          <w:left w:val="none" w:sz="0" w:space="0" w:color="000000"/>
          <w:bottom w:val="single" w:sz="4" w:space="0" w:color="DA9896"/>
          <w:right w:val="none" w:sz="0" w:space="0" w:color="000000"/>
        </w:tcBorders>
        <w:shd w:val="clear" w:color="FFFFFF" w:fill="FFFFFF"/>
      </w:tcPr>
    </w:tblStylePr>
    <w:tblStylePr w:type="lastRow">
      <w:pPr>
        <w:snapToGrid/>
      </w:pPr>
      <w:rPr>
        <w:rFonts w:ascii="Arial" w:hAnsi="Arial"/>
        <w:i/>
        <w:color w:val="702E2C"/>
        <w:sz w:val="22"/>
      </w:rPr>
      <w:tblPr/>
      <w:tcPr>
        <w:tcBorders>
          <w:top w:val="single" w:sz="4" w:space="0" w:color="DA9896"/>
          <w:left w:val="none" w:sz="0" w:space="0" w:color="000000"/>
          <w:bottom w:val="none" w:sz="0" w:space="0" w:color="000000"/>
          <w:right w:val="single" w:sz="4" w:space="0" w:color="DA9896"/>
        </w:tcBorders>
        <w:shd w:val="clear" w:color="FFFFFF" w:fill="FFFFFF"/>
      </w:tcPr>
    </w:tblStylePr>
    <w:tblStylePr w:type="firstCol">
      <w:pPr>
        <w:snapToGrid/>
        <w:jc w:val="right"/>
      </w:pPr>
      <w:rPr>
        <w:rFonts w:ascii="Arial" w:hAnsi="Arial"/>
        <w:i/>
        <w:color w:val="702E2C"/>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702E2C"/>
        <w:sz w:val="22"/>
      </w:rPr>
      <w:tblPr/>
      <w:tcPr>
        <w:tcBorders>
          <w:top w:val="none" w:sz="0" w:space="0" w:color="000000"/>
          <w:left w:val="single" w:sz="4" w:space="0" w:color="DA9896"/>
          <w:bottom w:val="none" w:sz="0" w:space="0" w:color="000000"/>
          <w:right w:val="none" w:sz="0" w:space="0" w:color="000000"/>
        </w:tcBorders>
        <w:shd w:val="clear" w:color="FFFFFF" w:fill="FFFFFF"/>
      </w:tcPr>
    </w:tblStylePr>
    <w:tblStylePr w:type="band1Vert">
      <w:pPr>
        <w:snapToGrid/>
      </w:pPr>
      <w:tblPr/>
      <w:tcPr>
        <w:shd w:val="clear" w:color="EFD3D2" w:fill="EFD3D2"/>
      </w:tcPr>
    </w:tblStylePr>
    <w:tblStylePr w:type="band2Vert">
      <w:pPr>
        <w:snapToGrid/>
      </w:pPr>
    </w:tblStylePr>
    <w:tblStylePr w:type="band1Horz">
      <w:pPr>
        <w:snapToGrid/>
      </w:pPr>
      <w:rPr>
        <w:rFonts w:ascii="Arial" w:hAnsi="Arial"/>
        <w:color w:val="702E2C"/>
        <w:sz w:val="22"/>
      </w:rPr>
      <w:tblPr/>
      <w:tcPr>
        <w:shd w:val="clear" w:color="EFD3D2" w:fill="EFD3D2"/>
      </w:tcPr>
    </w:tblStylePr>
    <w:tblStylePr w:type="band2Horz">
      <w:pPr>
        <w:snapToGrid/>
      </w:pPr>
      <w:rPr>
        <w:rFonts w:ascii="Arial" w:hAnsi="Arial"/>
        <w:color w:val="702E2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tblPr>
      <w:tblBorders>
        <w:top w:val="nil"/>
        <w:left w:val="nil"/>
        <w:bottom w:val="nil"/>
        <w:right w:val="single" w:sz="4" w:space="0" w:color="C3D69B"/>
        <w:insideH w:val="nil"/>
        <w:insideV w:val="nil"/>
      </w:tblBorders>
      <w:tblCellMar>
        <w:top w:w="0" w:type="dxa"/>
        <w:left w:w="108" w:type="dxa"/>
        <w:bottom w:w="0" w:type="dxa"/>
        <w:right w:w="108" w:type="dxa"/>
      </w:tblCellMar>
    </w:tblPr>
    <w:tblStylePr w:type="firstRow">
      <w:pPr>
        <w:snapToGrid/>
      </w:pPr>
      <w:rPr>
        <w:rFonts w:ascii="Arial" w:hAnsi="Arial"/>
        <w:i/>
        <w:color w:val="5A6D34"/>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pPr>
        <w:snapToGrid/>
      </w:pPr>
      <w:rPr>
        <w:rFonts w:ascii="Arial" w:hAnsi="Arial"/>
        <w:i/>
        <w:color w:val="5A6D34"/>
        <w:sz w:val="22"/>
      </w:rPr>
      <w:tblPr/>
      <w:tcPr>
        <w:tcBorders>
          <w:top w:val="single" w:sz="4" w:space="0" w:color="C3D69B"/>
          <w:left w:val="none" w:sz="0" w:space="0" w:color="000000"/>
          <w:bottom w:val="none" w:sz="0" w:space="0" w:color="000000"/>
          <w:right w:val="single" w:sz="4" w:space="0" w:color="C3D69B"/>
        </w:tcBorders>
        <w:shd w:val="clear" w:color="FFFFFF" w:fill="FFFFFF"/>
      </w:tcPr>
    </w:tblStylePr>
    <w:tblStylePr w:type="firstCol">
      <w:pPr>
        <w:snapToGrid/>
        <w:jc w:val="right"/>
      </w:pPr>
      <w:rPr>
        <w:rFonts w:ascii="Arial" w:hAnsi="Arial"/>
        <w:i/>
        <w:color w:val="5A6D34"/>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5A6D34"/>
        <w:sz w:val="22"/>
      </w:rPr>
      <w:tblPr/>
      <w:tcPr>
        <w:tcBorders>
          <w:top w:val="none" w:sz="0" w:space="0" w:color="000000"/>
          <w:left w:val="single" w:sz="4" w:space="0" w:color="C3D69B"/>
          <w:bottom w:val="none" w:sz="0" w:space="0" w:color="000000"/>
          <w:right w:val="none" w:sz="0" w:space="0" w:color="000000"/>
        </w:tcBorders>
        <w:shd w:val="clear" w:color="FFFFFF" w:fill="FFFFFF"/>
      </w:tcPr>
    </w:tblStylePr>
    <w:tblStylePr w:type="band1Vert">
      <w:pPr>
        <w:snapToGrid/>
      </w:pPr>
      <w:tblPr/>
      <w:tcPr>
        <w:shd w:val="clear" w:color="E5EDD5" w:fill="E5EDD5"/>
      </w:tcPr>
    </w:tblStylePr>
    <w:tblStylePr w:type="band2Vert">
      <w:pPr>
        <w:snapToGrid/>
      </w:pPr>
    </w:tblStylePr>
    <w:tblStylePr w:type="band1Horz">
      <w:pPr>
        <w:snapToGrid/>
      </w:pPr>
      <w:rPr>
        <w:rFonts w:ascii="Arial" w:hAnsi="Arial"/>
        <w:color w:val="5A6D34"/>
        <w:sz w:val="22"/>
      </w:rPr>
      <w:tblPr/>
      <w:tcPr>
        <w:shd w:val="clear" w:color="E5EDD5" w:fill="E5EDD5"/>
      </w:tcPr>
    </w:tblStylePr>
    <w:tblStylePr w:type="band2Horz">
      <w:pPr>
        <w:snapToGrid/>
      </w:pPr>
      <w:rPr>
        <w:rFonts w:ascii="Arial" w:hAnsi="Arial"/>
        <w:color w:val="5A6D3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tblPr>
      <w:tblBorders>
        <w:top w:val="nil"/>
        <w:left w:val="nil"/>
        <w:bottom w:val="nil"/>
        <w:right w:val="single" w:sz="4" w:space="0" w:color="B3A2C7"/>
        <w:insideH w:val="nil"/>
        <w:insideV w:val="nil"/>
      </w:tblBorders>
      <w:tblCellMar>
        <w:top w:w="0" w:type="dxa"/>
        <w:left w:w="108" w:type="dxa"/>
        <w:bottom w:w="0" w:type="dxa"/>
        <w:right w:w="108" w:type="dxa"/>
      </w:tblCellMar>
    </w:tblPr>
    <w:tblStylePr w:type="firstRow">
      <w:pPr>
        <w:snapToGrid/>
      </w:pPr>
      <w:rPr>
        <w:rFonts w:ascii="Arial" w:hAnsi="Arial"/>
        <w:i/>
        <w:color w:val="4A3A5E"/>
        <w:sz w:val="22"/>
      </w:rPr>
      <w:tblPr/>
      <w:tcPr>
        <w:tcBorders>
          <w:top w:val="none" w:sz="0" w:space="0" w:color="000000"/>
          <w:left w:val="none" w:sz="0" w:space="0" w:color="000000"/>
          <w:bottom w:val="single" w:sz="4" w:space="0" w:color="B3A2C7"/>
          <w:right w:val="none" w:sz="0" w:space="0" w:color="000000"/>
        </w:tcBorders>
        <w:shd w:val="clear" w:color="FFFFFF" w:fill="FFFFFF"/>
      </w:tcPr>
    </w:tblStylePr>
    <w:tblStylePr w:type="lastRow">
      <w:pPr>
        <w:snapToGrid/>
      </w:pPr>
      <w:rPr>
        <w:rFonts w:ascii="Arial" w:hAnsi="Arial"/>
        <w:i/>
        <w:color w:val="4A3A5E"/>
        <w:sz w:val="22"/>
      </w:rPr>
      <w:tblPr/>
      <w:tcPr>
        <w:tcBorders>
          <w:top w:val="single" w:sz="4" w:space="0" w:color="B3A2C7"/>
          <w:left w:val="none" w:sz="0" w:space="0" w:color="000000"/>
          <w:bottom w:val="none" w:sz="0" w:space="0" w:color="000000"/>
          <w:right w:val="single" w:sz="4" w:space="0" w:color="B3A2C7"/>
        </w:tcBorders>
        <w:shd w:val="clear" w:color="FFFFFF" w:fill="FFFFFF"/>
      </w:tcPr>
    </w:tblStylePr>
    <w:tblStylePr w:type="firstCol">
      <w:pPr>
        <w:snapToGrid/>
        <w:jc w:val="right"/>
      </w:pPr>
      <w:rPr>
        <w:rFonts w:ascii="Arial" w:hAnsi="Arial"/>
        <w:i/>
        <w:color w:val="4A3A5E"/>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4A3A5E"/>
        <w:sz w:val="22"/>
      </w:rPr>
      <w:tblPr/>
      <w:tcPr>
        <w:tcBorders>
          <w:top w:val="none" w:sz="0" w:space="0" w:color="000000"/>
          <w:left w:val="single" w:sz="4" w:space="0" w:color="B3A2C7"/>
          <w:bottom w:val="none" w:sz="0" w:space="0" w:color="000000"/>
          <w:right w:val="none" w:sz="0" w:space="0" w:color="000000"/>
        </w:tcBorders>
        <w:shd w:val="clear" w:color="FFFFFF" w:fill="FFFFFF"/>
      </w:tcPr>
    </w:tblStylePr>
    <w:tblStylePr w:type="band1Vert">
      <w:pPr>
        <w:snapToGrid/>
      </w:pPr>
      <w:tblPr/>
      <w:tcPr>
        <w:shd w:val="clear" w:color="DFD8E7" w:fill="DFD8E7"/>
      </w:tcPr>
    </w:tblStylePr>
    <w:tblStylePr w:type="band2Vert">
      <w:pPr>
        <w:snapToGrid/>
      </w:pPr>
    </w:tblStylePr>
    <w:tblStylePr w:type="band1Horz">
      <w:pPr>
        <w:snapToGrid/>
      </w:pPr>
      <w:rPr>
        <w:rFonts w:ascii="Arial" w:hAnsi="Arial"/>
        <w:color w:val="4A3A5E"/>
        <w:sz w:val="22"/>
      </w:rPr>
      <w:tblPr/>
      <w:tcPr>
        <w:shd w:val="clear" w:color="DFD8E7" w:fill="DFD8E7"/>
      </w:tcPr>
    </w:tblStylePr>
    <w:tblStylePr w:type="band2Horz">
      <w:pPr>
        <w:snapToGrid/>
      </w:pPr>
      <w:rPr>
        <w:rFonts w:ascii="Arial" w:hAnsi="Arial"/>
        <w:color w:val="4A3A5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tblPr>
      <w:tblBorders>
        <w:top w:val="nil"/>
        <w:left w:val="nil"/>
        <w:bottom w:val="nil"/>
        <w:right w:val="single" w:sz="4" w:space="0" w:color="93CDDD"/>
        <w:insideH w:val="nil"/>
        <w:insideV w:val="nil"/>
      </w:tblBorders>
      <w:tblCellMar>
        <w:top w:w="0" w:type="dxa"/>
        <w:left w:w="108" w:type="dxa"/>
        <w:bottom w:w="0" w:type="dxa"/>
        <w:right w:w="108" w:type="dxa"/>
      </w:tblCellMar>
    </w:tblPr>
    <w:tblStylePr w:type="firstRow">
      <w:pPr>
        <w:snapToGrid/>
      </w:pPr>
      <w:rPr>
        <w:rFonts w:ascii="Arial" w:hAnsi="Arial"/>
        <w:i/>
        <w:color w:val="2B6473"/>
        <w:sz w:val="22"/>
      </w:rPr>
      <w:tblPr/>
      <w:tcPr>
        <w:tcBorders>
          <w:top w:val="none" w:sz="0" w:space="0" w:color="000000"/>
          <w:left w:val="none" w:sz="0" w:space="0" w:color="000000"/>
          <w:bottom w:val="single" w:sz="4" w:space="0" w:color="93CDDD"/>
          <w:right w:val="none" w:sz="0" w:space="0" w:color="000000"/>
        </w:tcBorders>
        <w:shd w:val="clear" w:color="FFFFFF" w:fill="FFFFFF"/>
      </w:tcPr>
    </w:tblStylePr>
    <w:tblStylePr w:type="lastRow">
      <w:pPr>
        <w:snapToGrid/>
      </w:pPr>
      <w:rPr>
        <w:rFonts w:ascii="Arial" w:hAnsi="Arial"/>
        <w:i/>
        <w:color w:val="2B6473"/>
        <w:sz w:val="22"/>
      </w:rPr>
      <w:tblPr/>
      <w:tcPr>
        <w:tcBorders>
          <w:top w:val="single" w:sz="4" w:space="0" w:color="93CDDD"/>
          <w:left w:val="none" w:sz="0" w:space="0" w:color="000000"/>
          <w:bottom w:val="none" w:sz="0" w:space="0" w:color="000000"/>
          <w:right w:val="single" w:sz="4" w:space="0" w:color="93CDDD"/>
        </w:tcBorders>
        <w:shd w:val="clear" w:color="FFFFFF" w:fill="FFFFFF"/>
      </w:tcPr>
    </w:tblStylePr>
    <w:tblStylePr w:type="firstCol">
      <w:pPr>
        <w:snapToGrid/>
        <w:jc w:val="right"/>
      </w:pPr>
      <w:rPr>
        <w:rFonts w:ascii="Arial" w:hAnsi="Arial"/>
        <w:i/>
        <w:color w:val="2B6473"/>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2B6473"/>
        <w:sz w:val="22"/>
      </w:rPr>
      <w:tblPr/>
      <w:tcPr>
        <w:tcBorders>
          <w:top w:val="none" w:sz="0" w:space="0" w:color="000000"/>
          <w:left w:val="single" w:sz="4" w:space="0" w:color="93CDDD"/>
          <w:bottom w:val="none" w:sz="0" w:space="0" w:color="000000"/>
          <w:right w:val="none" w:sz="0" w:space="0" w:color="000000"/>
        </w:tcBorders>
        <w:shd w:val="clear" w:color="FFFFFF" w:fill="FFFFFF"/>
      </w:tcPr>
    </w:tblStylePr>
    <w:tblStylePr w:type="band1Vert">
      <w:pPr>
        <w:snapToGrid/>
      </w:pPr>
      <w:tblPr/>
      <w:tcPr>
        <w:shd w:val="clear" w:color="D1EAF0" w:fill="D1EAF0"/>
      </w:tcPr>
    </w:tblStylePr>
    <w:tblStylePr w:type="band2Vert">
      <w:pPr>
        <w:snapToGrid/>
      </w:pPr>
    </w:tblStylePr>
    <w:tblStylePr w:type="band1Horz">
      <w:pPr>
        <w:snapToGrid/>
      </w:pPr>
      <w:rPr>
        <w:rFonts w:ascii="Arial" w:hAnsi="Arial"/>
        <w:color w:val="2B6473"/>
        <w:sz w:val="22"/>
      </w:rPr>
      <w:tblPr/>
      <w:tcPr>
        <w:shd w:val="clear" w:color="D1EAF0" w:fill="D1EAF0"/>
      </w:tcPr>
    </w:tblStylePr>
    <w:tblStylePr w:type="band2Horz">
      <w:pPr>
        <w:snapToGrid/>
      </w:pPr>
      <w:rPr>
        <w:rFonts w:ascii="Arial" w:hAnsi="Arial"/>
        <w:color w:val="2B647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Borders>
        <w:top w:val="nil"/>
        <w:left w:val="nil"/>
        <w:bottom w:val="nil"/>
        <w:right w:val="single" w:sz="4" w:space="0" w:color="FAC090"/>
        <w:insideH w:val="nil"/>
        <w:insideV w:val="nil"/>
      </w:tblBorders>
      <w:tblCellMar>
        <w:top w:w="0" w:type="dxa"/>
        <w:left w:w="108" w:type="dxa"/>
        <w:bottom w:w="0" w:type="dxa"/>
        <w:right w:w="108" w:type="dxa"/>
      </w:tblCellMar>
    </w:tblPr>
    <w:tblStylePr w:type="firstRow">
      <w:pPr>
        <w:snapToGrid/>
      </w:pPr>
      <w:rPr>
        <w:rFonts w:ascii="Arial" w:hAnsi="Arial"/>
        <w:i/>
        <w:color w:val="905728"/>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pPr>
        <w:snapToGrid/>
      </w:pPr>
      <w:rPr>
        <w:rFonts w:ascii="Arial" w:hAnsi="Arial"/>
        <w:i/>
        <w:color w:val="905728"/>
        <w:sz w:val="22"/>
      </w:rPr>
      <w:tblPr/>
      <w:tcPr>
        <w:tcBorders>
          <w:top w:val="single" w:sz="4" w:space="0" w:color="FAC090"/>
          <w:left w:val="none" w:sz="0" w:space="0" w:color="000000"/>
          <w:bottom w:val="none" w:sz="0" w:space="0" w:color="000000"/>
          <w:right w:val="single" w:sz="4" w:space="0" w:color="FAC090"/>
        </w:tcBorders>
        <w:shd w:val="clear" w:color="FFFFFF" w:fill="FFFFFF"/>
      </w:tcPr>
    </w:tblStylePr>
    <w:tblStylePr w:type="firstCol">
      <w:pPr>
        <w:snapToGrid/>
        <w:jc w:val="right"/>
      </w:pPr>
      <w:rPr>
        <w:rFonts w:ascii="Arial" w:hAnsi="Arial"/>
        <w:i/>
        <w:color w:val="905728"/>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905728"/>
        <w:sz w:val="22"/>
      </w:rPr>
      <w:tblPr/>
      <w:tcPr>
        <w:tcBorders>
          <w:top w:val="none" w:sz="0" w:space="0" w:color="000000"/>
          <w:left w:val="single" w:sz="4" w:space="0" w:color="FAC090"/>
          <w:bottom w:val="none" w:sz="0" w:space="0" w:color="000000"/>
          <w:right w:val="none" w:sz="0" w:space="0" w:color="000000"/>
        </w:tcBorders>
        <w:shd w:val="clear" w:color="FFFFFF" w:fill="FFFFFF"/>
      </w:tcPr>
    </w:tblStylePr>
    <w:tblStylePr w:type="band1Vert">
      <w:pPr>
        <w:snapToGrid/>
      </w:pPr>
      <w:tblPr/>
      <w:tcPr>
        <w:shd w:val="clear" w:color="FCE4D0" w:fill="FCE4D0"/>
      </w:tcPr>
    </w:tblStylePr>
    <w:tblStylePr w:type="band2Vert">
      <w:pPr>
        <w:snapToGrid/>
      </w:pPr>
    </w:tblStylePr>
    <w:tblStylePr w:type="band1Horz">
      <w:pPr>
        <w:snapToGrid/>
      </w:pPr>
      <w:rPr>
        <w:rFonts w:ascii="Arial" w:hAnsi="Arial"/>
        <w:color w:val="905728"/>
        <w:sz w:val="22"/>
      </w:rPr>
      <w:tblPr/>
      <w:tcPr>
        <w:shd w:val="clear" w:color="FCE4D0" w:fill="FCE4D0"/>
      </w:tcPr>
    </w:tblStylePr>
    <w:tblStylePr w:type="band2Horz">
      <w:pPr>
        <w:snapToGrid/>
      </w:pPr>
      <w:rPr>
        <w:rFonts w:ascii="Arial" w:hAnsi="Arial"/>
        <w:color w:val="905728"/>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7E7E7E" w:fill="7E7E7E"/>
      </w:tcPr>
    </w:tblStylePr>
    <w:tblStylePr w:type="lastRow">
      <w:pPr>
        <w:snapToGrid/>
      </w:pPr>
      <w:rPr>
        <w:rFonts w:ascii="Arial" w:hAnsi="Arial"/>
        <w:color w:val="F2F2F2"/>
        <w:sz w:val="22"/>
      </w:rPr>
      <w:tblPr/>
      <w:tcPr>
        <w:shd w:val="clear" w:color="7E7E7E" w:fill="7E7E7E"/>
      </w:tcPr>
    </w:tblStylePr>
    <w:tblStylePr w:type="firstCol">
      <w:pPr>
        <w:snapToGrid/>
      </w:pPr>
      <w:rPr>
        <w:rFonts w:ascii="Arial" w:hAnsi="Arial"/>
        <w:color w:val="F2F2F2"/>
        <w:sz w:val="22"/>
      </w:rPr>
      <w:tblPr/>
      <w:tcPr>
        <w:shd w:val="clear" w:color="7E7E7E" w:fill="7E7E7E"/>
      </w:tcPr>
    </w:tblStylePr>
    <w:tblStylePr w:type="lastCol">
      <w:pPr>
        <w:snapToGrid/>
      </w:pPr>
      <w:rPr>
        <w:rFonts w:ascii="Arial" w:hAnsi="Arial"/>
        <w:color w:val="F2F2F2"/>
        <w:sz w:val="22"/>
      </w:rPr>
      <w:tblPr/>
      <w:tcPr>
        <w:shd w:val="clear" w:color="7E7E7E" w:fill="7E7E7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1F1F1" w:fill="F1F1F1"/>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1F1F1" w:fill="F1F1F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5D8BC2" w:fill="5D8BC2"/>
      </w:tcPr>
    </w:tblStylePr>
    <w:tblStylePr w:type="lastRow">
      <w:pPr>
        <w:snapToGrid/>
      </w:pPr>
      <w:rPr>
        <w:rFonts w:ascii="Arial" w:hAnsi="Arial"/>
        <w:color w:val="F2F2F2"/>
        <w:sz w:val="22"/>
      </w:rPr>
      <w:tblPr/>
      <w:tcPr>
        <w:shd w:val="clear" w:color="5D8BC2" w:fill="5D8BC2"/>
      </w:tcPr>
    </w:tblStylePr>
    <w:tblStylePr w:type="firstCol">
      <w:pPr>
        <w:snapToGrid/>
      </w:pPr>
      <w:rPr>
        <w:rFonts w:ascii="Arial" w:hAnsi="Arial"/>
        <w:color w:val="F2F2F2"/>
        <w:sz w:val="22"/>
      </w:rPr>
      <w:tblPr/>
      <w:tcPr>
        <w:shd w:val="clear" w:color="5D8BC2" w:fill="5D8BC2"/>
      </w:tcPr>
    </w:tblStylePr>
    <w:tblStylePr w:type="lastCol">
      <w:pPr>
        <w:snapToGrid/>
      </w:pPr>
      <w:rPr>
        <w:rFonts w:ascii="Arial" w:hAnsi="Arial"/>
        <w:color w:val="F2F2F2"/>
        <w:sz w:val="22"/>
      </w:rPr>
      <w:tblPr/>
      <w:tcPr>
        <w:shd w:val="clear" w:color="5D8BC2" w:fill="5D8BC2"/>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7D7EA" w:fill="C7D7EA"/>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7D7EA" w:fill="C7D7E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D99795" w:fill="D99795"/>
      </w:tcPr>
    </w:tblStylePr>
    <w:tblStylePr w:type="lastRow">
      <w:pPr>
        <w:snapToGrid/>
      </w:pPr>
      <w:rPr>
        <w:rFonts w:ascii="Arial" w:hAnsi="Arial"/>
        <w:color w:val="F2F2F2"/>
        <w:sz w:val="22"/>
      </w:rPr>
      <w:tblPr/>
      <w:tcPr>
        <w:shd w:val="clear" w:color="D99795" w:fill="D99795"/>
      </w:tcPr>
    </w:tblStylePr>
    <w:tblStylePr w:type="firstCol">
      <w:pPr>
        <w:snapToGrid/>
      </w:pPr>
      <w:rPr>
        <w:rFonts w:ascii="Arial" w:hAnsi="Arial"/>
        <w:color w:val="F2F2F2"/>
        <w:sz w:val="22"/>
      </w:rPr>
      <w:tblPr/>
      <w:tcPr>
        <w:shd w:val="clear" w:color="D99795" w:fill="D99795"/>
      </w:tcPr>
    </w:tblStylePr>
    <w:tblStylePr w:type="lastCol">
      <w:pPr>
        <w:snapToGrid/>
      </w:pPr>
      <w:rPr>
        <w:rFonts w:ascii="Arial" w:hAnsi="Arial"/>
        <w:color w:val="F2F2F2"/>
        <w:sz w:val="22"/>
      </w:rPr>
      <w:tblPr/>
      <w:tcPr>
        <w:shd w:val="clear" w:color="D99795" w:fill="D9979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DCDC" w:fill="F2DCD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DCDC" w:fill="F2DC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9BBB59" w:fill="9BBB59"/>
      </w:tcPr>
    </w:tblStylePr>
    <w:tblStylePr w:type="lastRow">
      <w:pPr>
        <w:snapToGrid/>
      </w:pPr>
      <w:rPr>
        <w:rFonts w:ascii="Arial" w:hAnsi="Arial"/>
        <w:color w:val="F2F2F2"/>
        <w:sz w:val="22"/>
      </w:rPr>
      <w:tblPr/>
      <w:tcPr>
        <w:shd w:val="clear" w:color="9BBB59" w:fill="9BBB59"/>
      </w:tcPr>
    </w:tblStylePr>
    <w:tblStylePr w:type="firstCol">
      <w:pPr>
        <w:snapToGrid/>
      </w:pPr>
      <w:rPr>
        <w:rFonts w:ascii="Arial" w:hAnsi="Arial"/>
        <w:color w:val="F2F2F2"/>
        <w:sz w:val="22"/>
      </w:rPr>
      <w:tblPr/>
      <w:tcPr>
        <w:shd w:val="clear" w:color="9BBB59" w:fill="9BBB59"/>
      </w:tcPr>
    </w:tblStylePr>
    <w:tblStylePr w:type="lastCol">
      <w:pPr>
        <w:snapToGrid/>
      </w:pPr>
      <w:rPr>
        <w:rFonts w:ascii="Arial" w:hAnsi="Arial"/>
        <w:color w:val="F2F2F2"/>
        <w:sz w:val="22"/>
      </w:rPr>
      <w:tblPr/>
      <w:tcPr>
        <w:shd w:val="clear" w:color="9BBB59" w:fill="9BBB59"/>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AF1DD" w:fill="EAF1D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AF1DD" w:fill="EAF1D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B2A1C6" w:fill="B2A1C6"/>
      </w:tcPr>
    </w:tblStylePr>
    <w:tblStylePr w:type="lastRow">
      <w:pPr>
        <w:snapToGrid/>
      </w:pPr>
      <w:rPr>
        <w:rFonts w:ascii="Arial" w:hAnsi="Arial"/>
        <w:color w:val="F2F2F2"/>
        <w:sz w:val="22"/>
      </w:rPr>
      <w:tblPr/>
      <w:tcPr>
        <w:shd w:val="clear" w:color="B2A1C6" w:fill="B2A1C6"/>
      </w:tcPr>
    </w:tblStylePr>
    <w:tblStylePr w:type="firstCol">
      <w:pPr>
        <w:snapToGrid/>
      </w:pPr>
      <w:rPr>
        <w:rFonts w:ascii="Arial" w:hAnsi="Arial"/>
        <w:color w:val="F2F2F2"/>
        <w:sz w:val="22"/>
      </w:rPr>
      <w:tblPr/>
      <w:tcPr>
        <w:shd w:val="clear" w:color="B2A1C6" w:fill="B2A1C6"/>
      </w:tcPr>
    </w:tblStylePr>
    <w:tblStylePr w:type="lastCol">
      <w:pPr>
        <w:snapToGrid/>
      </w:pPr>
      <w:rPr>
        <w:rFonts w:ascii="Arial" w:hAnsi="Arial"/>
        <w:color w:val="F2F2F2"/>
        <w:sz w:val="22"/>
      </w:rPr>
      <w:tblPr/>
      <w:tcPr>
        <w:shd w:val="clear" w:color="B2A1C6" w:fill="B2A1C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5DFEC" w:fill="E5DFE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5DFEC" w:fill="E5DF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4BACC6" w:fill="4BACC6"/>
      </w:tcPr>
    </w:tblStylePr>
    <w:tblStylePr w:type="lastRow">
      <w:pPr>
        <w:snapToGrid/>
      </w:pPr>
      <w:rPr>
        <w:rFonts w:ascii="Arial" w:hAnsi="Arial"/>
        <w:color w:val="F2F2F2"/>
        <w:sz w:val="22"/>
      </w:rPr>
      <w:tblPr/>
      <w:tcPr>
        <w:shd w:val="clear" w:color="4BACC6" w:fill="4BACC6"/>
      </w:tcPr>
    </w:tblStylePr>
    <w:tblStylePr w:type="firstCol">
      <w:pPr>
        <w:snapToGrid/>
      </w:pPr>
      <w:rPr>
        <w:rFonts w:ascii="Arial" w:hAnsi="Arial"/>
        <w:color w:val="F2F2F2"/>
        <w:sz w:val="22"/>
      </w:rPr>
      <w:tblPr/>
      <w:tcPr>
        <w:shd w:val="clear" w:color="4BACC6" w:fill="4BACC6"/>
      </w:tcPr>
    </w:tblStylePr>
    <w:tblStylePr w:type="lastCol">
      <w:pPr>
        <w:snapToGrid/>
      </w:pPr>
      <w:rPr>
        <w:rFonts w:ascii="Arial" w:hAnsi="Arial"/>
        <w:color w:val="F2F2F2"/>
        <w:sz w:val="22"/>
      </w:rPr>
      <w:tblPr/>
      <w:tcPr>
        <w:shd w:val="clear" w:color="4BACC6" w:fill="4BACC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AEEF3" w:fill="DAEEF3"/>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AEEF3" w:fill="DAEEF3"/>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F79646" w:fill="F79646"/>
      </w:tcPr>
    </w:tblStylePr>
    <w:tblStylePr w:type="lastRow">
      <w:pPr>
        <w:snapToGrid/>
      </w:pPr>
      <w:rPr>
        <w:rFonts w:ascii="Arial" w:hAnsi="Arial"/>
        <w:color w:val="F2F2F2"/>
        <w:sz w:val="22"/>
      </w:rPr>
      <w:tblPr/>
      <w:tcPr>
        <w:shd w:val="clear" w:color="F79646" w:fill="F79646"/>
      </w:tcPr>
    </w:tblStylePr>
    <w:tblStylePr w:type="firstCol">
      <w:pPr>
        <w:snapToGrid/>
      </w:pPr>
      <w:rPr>
        <w:rFonts w:ascii="Arial" w:hAnsi="Arial"/>
        <w:color w:val="F2F2F2"/>
        <w:sz w:val="22"/>
      </w:rPr>
      <w:tblPr/>
      <w:tcPr>
        <w:shd w:val="clear" w:color="F79646" w:fill="F79646"/>
      </w:tcPr>
    </w:tblStylePr>
    <w:tblStylePr w:type="lastCol">
      <w:pPr>
        <w:snapToGrid/>
      </w:pPr>
      <w:rPr>
        <w:rFonts w:ascii="Arial" w:hAnsi="Arial"/>
        <w:color w:val="F2F2F2"/>
        <w:sz w:val="22"/>
      </w:rPr>
      <w:tblPr/>
      <w:tcPr>
        <w:shd w:val="clear" w:color="F79646" w:fill="F7964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DE9D9" w:fill="FDE9D9"/>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DE9D9" w:fill="FDE9D9"/>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pPr>
        <w:snapToGrid/>
      </w:pPr>
      <w:rPr>
        <w:rFonts w:ascii="Arial" w:hAnsi="Arial"/>
        <w:color w:val="F2F2F2"/>
        <w:sz w:val="22"/>
      </w:rPr>
      <w:tblPr/>
      <w:tcPr>
        <w:shd w:val="clear" w:color="7E7E7E" w:fill="7E7E7E"/>
      </w:tcPr>
    </w:tblStylePr>
    <w:tblStylePr w:type="lastRow">
      <w:pPr>
        <w:snapToGrid/>
      </w:pPr>
      <w:rPr>
        <w:rFonts w:ascii="Arial" w:hAnsi="Arial"/>
        <w:color w:val="F2F2F2"/>
        <w:sz w:val="22"/>
      </w:rPr>
      <w:tblPr/>
      <w:tcPr>
        <w:shd w:val="clear" w:color="7E7E7E" w:fill="7E7E7E"/>
      </w:tcPr>
    </w:tblStylePr>
    <w:tblStylePr w:type="firstCol">
      <w:pPr>
        <w:snapToGrid/>
      </w:pPr>
      <w:rPr>
        <w:rFonts w:ascii="Arial" w:hAnsi="Arial"/>
        <w:color w:val="F2F2F2"/>
        <w:sz w:val="22"/>
      </w:rPr>
      <w:tblPr/>
      <w:tcPr>
        <w:shd w:val="clear" w:color="7E7E7E" w:fill="7E7E7E"/>
      </w:tcPr>
    </w:tblStylePr>
    <w:tblStylePr w:type="lastCol">
      <w:pPr>
        <w:snapToGrid/>
      </w:pPr>
      <w:rPr>
        <w:rFonts w:ascii="Arial" w:hAnsi="Arial"/>
        <w:color w:val="F2F2F2"/>
        <w:sz w:val="22"/>
      </w:rPr>
      <w:tblPr/>
      <w:tcPr>
        <w:shd w:val="clear" w:color="7E7E7E" w:fill="7E7E7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1F1F1" w:fill="F1F1F1"/>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1F1F1" w:fill="F1F1F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rPr>
    <w:tblPr>
      <w:tblBorders>
        <w:top w:val="single" w:sz="4" w:space="0" w:color="2A4B71"/>
        <w:left w:val="single" w:sz="4" w:space="0" w:color="2A4B71"/>
        <w:bottom w:val="single" w:sz="4" w:space="0" w:color="2A4B71"/>
        <w:right w:val="single" w:sz="4" w:space="0" w:color="2A4B71"/>
        <w:insideH w:val="single" w:sz="4" w:space="0" w:color="2A4B71"/>
        <w:insideV w:val="single" w:sz="4" w:space="0" w:color="2A4B71"/>
      </w:tblBorders>
      <w:tblCellMar>
        <w:top w:w="0" w:type="dxa"/>
        <w:left w:w="108" w:type="dxa"/>
        <w:bottom w:w="0" w:type="dxa"/>
        <w:right w:w="108" w:type="dxa"/>
      </w:tblCellMar>
    </w:tblPr>
    <w:tblStylePr w:type="firstRow">
      <w:pPr>
        <w:snapToGrid/>
      </w:pPr>
      <w:rPr>
        <w:rFonts w:ascii="Arial" w:hAnsi="Arial"/>
        <w:color w:val="F2F2F2"/>
        <w:sz w:val="22"/>
      </w:rPr>
      <w:tblPr/>
      <w:tcPr>
        <w:shd w:val="clear" w:color="5D8BC2" w:fill="5D8BC2"/>
      </w:tcPr>
    </w:tblStylePr>
    <w:tblStylePr w:type="lastRow">
      <w:pPr>
        <w:snapToGrid/>
      </w:pPr>
      <w:rPr>
        <w:rFonts w:ascii="Arial" w:hAnsi="Arial"/>
        <w:color w:val="F2F2F2"/>
        <w:sz w:val="22"/>
      </w:rPr>
      <w:tblPr/>
      <w:tcPr>
        <w:shd w:val="clear" w:color="5D8BC2" w:fill="5D8BC2"/>
      </w:tcPr>
    </w:tblStylePr>
    <w:tblStylePr w:type="firstCol">
      <w:pPr>
        <w:snapToGrid/>
      </w:pPr>
      <w:rPr>
        <w:rFonts w:ascii="Arial" w:hAnsi="Arial"/>
        <w:color w:val="F2F2F2"/>
        <w:sz w:val="22"/>
      </w:rPr>
      <w:tblPr/>
      <w:tcPr>
        <w:shd w:val="clear" w:color="5D8BC2" w:fill="5D8BC2"/>
      </w:tcPr>
    </w:tblStylePr>
    <w:tblStylePr w:type="lastCol">
      <w:pPr>
        <w:snapToGrid/>
      </w:pPr>
      <w:rPr>
        <w:rFonts w:ascii="Arial" w:hAnsi="Arial"/>
        <w:color w:val="F2F2F2"/>
        <w:sz w:val="22"/>
      </w:rPr>
      <w:tblPr/>
      <w:tcPr>
        <w:shd w:val="clear" w:color="5D8BC2" w:fill="5D8BC2"/>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7D7EA" w:fill="C7D7EA"/>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7D7EA" w:fill="C7D7E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rPr>
    <w:tblPr>
      <w:tblBorders>
        <w:top w:val="single" w:sz="4" w:space="0" w:color="732B29"/>
        <w:left w:val="single" w:sz="4" w:space="0" w:color="732B29"/>
        <w:bottom w:val="single" w:sz="4" w:space="0" w:color="732B29"/>
        <w:right w:val="single" w:sz="4" w:space="0" w:color="732B29"/>
        <w:insideH w:val="single" w:sz="4" w:space="0" w:color="732B29"/>
        <w:insideV w:val="single" w:sz="4" w:space="0" w:color="732B29"/>
      </w:tblBorders>
      <w:tblCellMar>
        <w:top w:w="0" w:type="dxa"/>
        <w:left w:w="108" w:type="dxa"/>
        <w:bottom w:w="0" w:type="dxa"/>
        <w:right w:w="108" w:type="dxa"/>
      </w:tblCellMar>
    </w:tblPr>
    <w:tblStylePr w:type="firstRow">
      <w:pPr>
        <w:snapToGrid/>
      </w:pPr>
      <w:rPr>
        <w:rFonts w:ascii="Arial" w:hAnsi="Arial"/>
        <w:color w:val="F2F2F2"/>
        <w:sz w:val="22"/>
      </w:rPr>
      <w:tblPr/>
      <w:tcPr>
        <w:shd w:val="clear" w:color="D99795" w:fill="D99795"/>
      </w:tcPr>
    </w:tblStylePr>
    <w:tblStylePr w:type="lastRow">
      <w:pPr>
        <w:snapToGrid/>
      </w:pPr>
      <w:rPr>
        <w:rFonts w:ascii="Arial" w:hAnsi="Arial"/>
        <w:color w:val="F2F2F2"/>
        <w:sz w:val="22"/>
      </w:rPr>
      <w:tblPr/>
      <w:tcPr>
        <w:shd w:val="clear" w:color="D99795" w:fill="D99795"/>
      </w:tcPr>
    </w:tblStylePr>
    <w:tblStylePr w:type="firstCol">
      <w:pPr>
        <w:snapToGrid/>
      </w:pPr>
      <w:rPr>
        <w:rFonts w:ascii="Arial" w:hAnsi="Arial"/>
        <w:color w:val="F2F2F2"/>
        <w:sz w:val="22"/>
      </w:rPr>
      <w:tblPr/>
      <w:tcPr>
        <w:shd w:val="clear" w:color="D99795" w:fill="D99795"/>
      </w:tcPr>
    </w:tblStylePr>
    <w:tblStylePr w:type="lastCol">
      <w:pPr>
        <w:snapToGrid/>
      </w:pPr>
      <w:rPr>
        <w:rFonts w:ascii="Arial" w:hAnsi="Arial"/>
        <w:color w:val="F2F2F2"/>
        <w:sz w:val="22"/>
      </w:rPr>
      <w:tblPr/>
      <w:tcPr>
        <w:shd w:val="clear" w:color="D99795" w:fill="D9979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DCDC" w:fill="F2DCD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DCDC" w:fill="F2DC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Pr>
      <w:color w:val="404040"/>
    </w:rPr>
    <w:tblPr>
      <w:tblBorders>
        <w:top w:val="single" w:sz="4" w:space="0" w:color="5C722F"/>
        <w:left w:val="single" w:sz="4" w:space="0" w:color="5C722F"/>
        <w:bottom w:val="single" w:sz="4" w:space="0" w:color="5C722F"/>
        <w:right w:val="single" w:sz="4" w:space="0" w:color="5C722F"/>
        <w:insideH w:val="single" w:sz="4" w:space="0" w:color="5C722F"/>
        <w:insideV w:val="single" w:sz="4" w:space="0" w:color="5C722F"/>
      </w:tblBorders>
      <w:tblCellMar>
        <w:top w:w="0" w:type="dxa"/>
        <w:left w:w="108" w:type="dxa"/>
        <w:bottom w:w="0" w:type="dxa"/>
        <w:right w:w="108" w:type="dxa"/>
      </w:tblCellMar>
    </w:tblPr>
    <w:tblStylePr w:type="firstRow">
      <w:pPr>
        <w:snapToGrid/>
      </w:pPr>
      <w:rPr>
        <w:rFonts w:ascii="Arial" w:hAnsi="Arial"/>
        <w:color w:val="F2F2F2"/>
        <w:sz w:val="22"/>
      </w:rPr>
      <w:tblPr/>
      <w:tcPr>
        <w:shd w:val="clear" w:color="9BBB59" w:fill="9BBB59"/>
      </w:tcPr>
    </w:tblStylePr>
    <w:tblStylePr w:type="lastRow">
      <w:pPr>
        <w:snapToGrid/>
      </w:pPr>
      <w:rPr>
        <w:rFonts w:ascii="Arial" w:hAnsi="Arial"/>
        <w:color w:val="F2F2F2"/>
        <w:sz w:val="22"/>
      </w:rPr>
      <w:tblPr/>
      <w:tcPr>
        <w:shd w:val="clear" w:color="9BBB59" w:fill="9BBB59"/>
      </w:tcPr>
    </w:tblStylePr>
    <w:tblStylePr w:type="firstCol">
      <w:pPr>
        <w:snapToGrid/>
      </w:pPr>
      <w:rPr>
        <w:rFonts w:ascii="Arial" w:hAnsi="Arial"/>
        <w:color w:val="F2F2F2"/>
        <w:sz w:val="22"/>
      </w:rPr>
      <w:tblPr/>
      <w:tcPr>
        <w:shd w:val="clear" w:color="9BBB59" w:fill="9BBB59"/>
      </w:tcPr>
    </w:tblStylePr>
    <w:tblStylePr w:type="lastCol">
      <w:pPr>
        <w:snapToGrid/>
      </w:pPr>
      <w:rPr>
        <w:rFonts w:ascii="Arial" w:hAnsi="Arial"/>
        <w:color w:val="F2F2F2"/>
        <w:sz w:val="22"/>
      </w:rPr>
      <w:tblPr/>
      <w:tcPr>
        <w:shd w:val="clear" w:color="9BBB59" w:fill="9BBB59"/>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AF1DD" w:fill="EAF1D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AF1DD" w:fill="EAF1D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pPr>
        <w:snapToGrid/>
      </w:pPr>
      <w:rPr>
        <w:rFonts w:ascii="Arial" w:hAnsi="Arial"/>
        <w:color w:val="F2F2F2"/>
        <w:sz w:val="22"/>
      </w:rPr>
      <w:tblPr/>
      <w:tcPr>
        <w:shd w:val="clear" w:color="B2A1C6" w:fill="B2A1C6"/>
      </w:tcPr>
    </w:tblStylePr>
    <w:tblStylePr w:type="lastRow">
      <w:pPr>
        <w:snapToGrid/>
      </w:pPr>
      <w:rPr>
        <w:rFonts w:ascii="Arial" w:hAnsi="Arial"/>
        <w:color w:val="F2F2F2"/>
        <w:sz w:val="22"/>
      </w:rPr>
      <w:tblPr/>
      <w:tcPr>
        <w:shd w:val="clear" w:color="B2A1C6" w:fill="B2A1C6"/>
      </w:tcPr>
    </w:tblStylePr>
    <w:tblStylePr w:type="firstCol">
      <w:pPr>
        <w:snapToGrid/>
      </w:pPr>
      <w:rPr>
        <w:rFonts w:ascii="Arial" w:hAnsi="Arial"/>
        <w:color w:val="F2F2F2"/>
        <w:sz w:val="22"/>
      </w:rPr>
      <w:tblPr/>
      <w:tcPr>
        <w:shd w:val="clear" w:color="B2A1C6" w:fill="B2A1C6"/>
      </w:tcPr>
    </w:tblStylePr>
    <w:tblStylePr w:type="lastCol">
      <w:pPr>
        <w:snapToGrid/>
      </w:pPr>
      <w:rPr>
        <w:rFonts w:ascii="Arial" w:hAnsi="Arial"/>
        <w:color w:val="F2F2F2"/>
        <w:sz w:val="22"/>
      </w:rPr>
      <w:tblPr/>
      <w:tcPr>
        <w:shd w:val="clear" w:color="B2A1C6" w:fill="B2A1C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5DFEC" w:fill="E5DFE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5DFEC" w:fill="E5DF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rPr>
    <w:tblPr>
      <w:tblBorders>
        <w:top w:val="single" w:sz="4" w:space="0" w:color="266778"/>
        <w:left w:val="single" w:sz="4" w:space="0" w:color="266778"/>
        <w:bottom w:val="single" w:sz="4" w:space="0" w:color="266778"/>
        <w:right w:val="single" w:sz="4" w:space="0" w:color="266778"/>
        <w:insideH w:val="single" w:sz="4" w:space="0" w:color="266778"/>
        <w:insideV w:val="single" w:sz="4" w:space="0" w:color="266778"/>
      </w:tblBorders>
      <w:tblCellMar>
        <w:top w:w="0" w:type="dxa"/>
        <w:left w:w="108" w:type="dxa"/>
        <w:bottom w:w="0" w:type="dxa"/>
        <w:right w:w="108" w:type="dxa"/>
      </w:tblCellMar>
    </w:tblPr>
    <w:tblStylePr w:type="firstRow">
      <w:pPr>
        <w:snapToGrid/>
      </w:pPr>
      <w:rPr>
        <w:rFonts w:ascii="Arial" w:hAnsi="Arial"/>
        <w:color w:val="F2F2F2"/>
        <w:sz w:val="22"/>
      </w:rPr>
      <w:tblPr/>
      <w:tcPr>
        <w:shd w:val="clear" w:color="4BACC6" w:fill="4BACC6"/>
      </w:tcPr>
    </w:tblStylePr>
    <w:tblStylePr w:type="lastRow">
      <w:pPr>
        <w:snapToGrid/>
      </w:pPr>
      <w:rPr>
        <w:rFonts w:ascii="Arial" w:hAnsi="Arial"/>
        <w:color w:val="F2F2F2"/>
        <w:sz w:val="22"/>
      </w:rPr>
      <w:tblPr/>
      <w:tcPr>
        <w:shd w:val="clear" w:color="4BACC6" w:fill="4BACC6"/>
      </w:tcPr>
    </w:tblStylePr>
    <w:tblStylePr w:type="firstCol">
      <w:pPr>
        <w:snapToGrid/>
      </w:pPr>
      <w:rPr>
        <w:rFonts w:ascii="Arial" w:hAnsi="Arial"/>
        <w:color w:val="F2F2F2"/>
        <w:sz w:val="22"/>
      </w:rPr>
      <w:tblPr/>
      <w:tcPr>
        <w:shd w:val="clear" w:color="4BACC6" w:fill="4BACC6"/>
      </w:tcPr>
    </w:tblStylePr>
    <w:tblStylePr w:type="lastCol">
      <w:pPr>
        <w:snapToGrid/>
      </w:pPr>
      <w:rPr>
        <w:rFonts w:ascii="Arial" w:hAnsi="Arial"/>
        <w:color w:val="F2F2F2"/>
        <w:sz w:val="22"/>
      </w:rPr>
      <w:tblPr/>
      <w:tcPr>
        <w:shd w:val="clear" w:color="4BACC6" w:fill="4BACC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AEEF3" w:fill="DAEEF3"/>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AEEF3" w:fill="DAEEF3"/>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rPr>
    <w:tblPr>
      <w:tblBorders>
        <w:top w:val="single" w:sz="4" w:space="0" w:color="B05408"/>
        <w:left w:val="single" w:sz="4" w:space="0" w:color="B05408"/>
        <w:bottom w:val="single" w:sz="4" w:space="0" w:color="B05408"/>
        <w:right w:val="single" w:sz="4" w:space="0" w:color="B05408"/>
        <w:insideH w:val="single" w:sz="4" w:space="0" w:color="B05408"/>
        <w:insideV w:val="single" w:sz="4" w:space="0" w:color="B05408"/>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79646" w:fill="F79646"/>
      </w:tcPr>
    </w:tblStylePr>
    <w:tblStylePr w:type="lastRow">
      <w:pPr>
        <w:snapToGrid/>
      </w:pPr>
      <w:rPr>
        <w:rFonts w:ascii="Arial" w:hAnsi="Arial"/>
        <w:color w:val="F2F2F2"/>
        <w:sz w:val="22"/>
      </w:rPr>
      <w:tblPr/>
      <w:tcPr>
        <w:shd w:val="clear" w:color="F79646" w:fill="F79646"/>
      </w:tcPr>
    </w:tblStylePr>
    <w:tblStylePr w:type="firstCol">
      <w:pPr>
        <w:snapToGrid/>
      </w:pPr>
      <w:rPr>
        <w:rFonts w:ascii="Arial" w:hAnsi="Arial"/>
        <w:color w:val="F2F2F2"/>
        <w:sz w:val="22"/>
      </w:rPr>
      <w:tblPr/>
      <w:tcPr>
        <w:shd w:val="clear" w:color="F79646" w:fill="F79646"/>
      </w:tcPr>
    </w:tblStylePr>
    <w:tblStylePr w:type="lastCol">
      <w:pPr>
        <w:snapToGrid/>
      </w:pPr>
      <w:rPr>
        <w:rFonts w:ascii="Arial" w:hAnsi="Arial"/>
        <w:color w:val="F2F2F2"/>
        <w:sz w:val="22"/>
      </w:rPr>
      <w:tblPr/>
      <w:tcPr>
        <w:shd w:val="clear" w:color="F79646" w:fill="F7964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DE9D9" w:fill="FDE9D9"/>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DE9D9" w:fill="FDE9D9"/>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808080"/>
        </w:tcBorders>
      </w:tcPr>
    </w:tblStylePr>
    <w:tblStylePr w:type="lastRow">
      <w:pPr>
        <w:snapToGrid/>
      </w:pPr>
      <w:rPr>
        <w:rFonts w:ascii="Arial" w:hAnsi="Arial"/>
        <w:color w:val="404040"/>
        <w:sz w:val="22"/>
      </w:rPr>
      <w:tblPr/>
      <w:tcPr>
        <w:tcBorders>
          <w:top w:val="single" w:sz="12" w:space="0" w:color="808080"/>
          <w:right w:val="single" w:sz="12" w:space="0" w:color="8080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080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Borders>
        <w:top w:val="single" w:sz="4" w:space="0" w:color="B9CDE5"/>
        <w:left w:val="single" w:sz="4" w:space="0" w:color="B9CDE5"/>
        <w:bottom w:val="single" w:sz="4" w:space="0" w:color="B9CDE5"/>
        <w:right w:val="single" w:sz="4" w:space="0" w:color="B9CDE5"/>
        <w:insideH w:val="single" w:sz="4" w:space="0" w:color="B9CDE5"/>
        <w:insideV w:val="single" w:sz="4" w:space="0" w:color="B9CDE5"/>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4F81BD"/>
        </w:tcBorders>
      </w:tcPr>
    </w:tblStylePr>
    <w:tblStylePr w:type="lastRow">
      <w:pPr>
        <w:snapToGrid/>
      </w:pPr>
      <w:rPr>
        <w:rFonts w:ascii="Arial" w:hAnsi="Arial"/>
        <w:color w:val="404040"/>
        <w:sz w:val="22"/>
      </w:rPr>
      <w:tblPr/>
      <w:tcPr>
        <w:tcBorders>
          <w:top w:val="single" w:sz="12" w:space="0" w:color="4F81BD"/>
          <w:right w:val="single" w:sz="12" w:space="0" w:color="4F81BD"/>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9CDE5"/>
          <w:left w:val="single" w:sz="4" w:space="0" w:color="B9CDE5"/>
          <w:bottom w:val="single" w:sz="4" w:space="0" w:color="B9CDE5"/>
          <w:right w:val="single" w:sz="4" w:space="0" w:color="B9CDE5"/>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Borders>
        <w:top w:val="single" w:sz="4" w:space="0" w:color="E6B9B8"/>
        <w:left w:val="single" w:sz="4" w:space="0" w:color="E6B9B8"/>
        <w:bottom w:val="single" w:sz="4" w:space="0" w:color="E6B9B8"/>
        <w:right w:val="single" w:sz="4" w:space="0" w:color="E6B9B8"/>
        <w:insideH w:val="single" w:sz="4" w:space="0" w:color="E6B9B8"/>
        <w:insideV w:val="single" w:sz="4" w:space="0" w:color="E6B9B8"/>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DA9896"/>
        </w:tcBorders>
      </w:tcPr>
    </w:tblStylePr>
    <w:tblStylePr w:type="lastRow">
      <w:pPr>
        <w:snapToGrid/>
      </w:pPr>
      <w:rPr>
        <w:rFonts w:ascii="Arial" w:hAnsi="Arial"/>
        <w:color w:val="404040"/>
        <w:sz w:val="22"/>
      </w:rPr>
      <w:tblPr/>
      <w:tcPr>
        <w:tcBorders>
          <w:top w:val="single" w:sz="12" w:space="0" w:color="DA9896"/>
          <w:right w:val="single" w:sz="12" w:space="0" w:color="DA9896"/>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A9896"/>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6B9B8"/>
          <w:left w:val="single" w:sz="4" w:space="0" w:color="E6B9B8"/>
          <w:bottom w:val="single" w:sz="4" w:space="0" w:color="E6B9B8"/>
          <w:right w:val="single" w:sz="4" w:space="0" w:color="E6B9B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Borders>
        <w:top w:val="single" w:sz="4" w:space="0" w:color="D7E4BD"/>
        <w:left w:val="single" w:sz="4" w:space="0" w:color="D7E4BD"/>
        <w:bottom w:val="single" w:sz="4" w:space="0" w:color="D7E4BD"/>
        <w:right w:val="single" w:sz="4" w:space="0" w:color="D7E4BD"/>
        <w:insideH w:val="single" w:sz="4" w:space="0" w:color="D7E4BD"/>
        <w:insideV w:val="single" w:sz="4" w:space="0" w:color="D7E4BD"/>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3D69B"/>
        </w:tcBorders>
      </w:tcPr>
    </w:tblStylePr>
    <w:tblStylePr w:type="lastRow">
      <w:pPr>
        <w:snapToGrid/>
      </w:pPr>
      <w:rPr>
        <w:rFonts w:ascii="Arial" w:hAnsi="Arial"/>
        <w:color w:val="404040"/>
        <w:sz w:val="22"/>
      </w:rPr>
      <w:tblPr/>
      <w:tcPr>
        <w:tcBorders>
          <w:top w:val="single" w:sz="12" w:space="0" w:color="C3D69B"/>
          <w:right w:val="single" w:sz="12" w:space="0" w:color="C3D69B"/>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7E4BD"/>
          <w:left w:val="single" w:sz="4" w:space="0" w:color="D7E4BD"/>
          <w:bottom w:val="single" w:sz="4" w:space="0" w:color="D7E4BD"/>
          <w:right w:val="single" w:sz="4" w:space="0" w:color="D7E4BD"/>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Borders>
        <w:top w:val="single" w:sz="4" w:space="0" w:color="CCC1DA"/>
        <w:left w:val="single" w:sz="4" w:space="0" w:color="CCC1DA"/>
        <w:bottom w:val="single" w:sz="4" w:space="0" w:color="CCC1DA"/>
        <w:right w:val="single" w:sz="4" w:space="0" w:color="CCC1DA"/>
        <w:insideH w:val="single" w:sz="4" w:space="0" w:color="CCC1DA"/>
        <w:insideV w:val="single" w:sz="4" w:space="0" w:color="CCC1DA"/>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B3A2C7"/>
        </w:tcBorders>
      </w:tcPr>
    </w:tblStylePr>
    <w:tblStylePr w:type="lastRow">
      <w:pPr>
        <w:snapToGrid/>
      </w:pPr>
      <w:rPr>
        <w:rFonts w:ascii="Arial" w:hAnsi="Arial"/>
        <w:color w:val="404040"/>
        <w:sz w:val="22"/>
      </w:rPr>
      <w:tblPr/>
      <w:tcPr>
        <w:tcBorders>
          <w:top w:val="single" w:sz="12" w:space="0" w:color="B3A2C7"/>
          <w:right w:val="single" w:sz="12" w:space="0" w:color="B3A2C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3A2C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CC1DA"/>
          <w:left w:val="single" w:sz="4" w:space="0" w:color="CCC1DA"/>
          <w:bottom w:val="single" w:sz="4" w:space="0" w:color="CCC1DA"/>
          <w:right w:val="single" w:sz="4" w:space="0" w:color="CCC1D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Borders>
        <w:top w:val="single" w:sz="4" w:space="0" w:color="B7DEE8"/>
        <w:left w:val="single" w:sz="4" w:space="0" w:color="B7DEE8"/>
        <w:bottom w:val="single" w:sz="4" w:space="0" w:color="B7DEE8"/>
        <w:right w:val="single" w:sz="4" w:space="0" w:color="B7DEE8"/>
        <w:insideH w:val="single" w:sz="4" w:space="0" w:color="B7DEE8"/>
        <w:insideV w:val="single" w:sz="4" w:space="0" w:color="B7DEE8"/>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93CDDD"/>
        </w:tcBorders>
      </w:tcPr>
    </w:tblStylePr>
    <w:tblStylePr w:type="lastRow">
      <w:pPr>
        <w:snapToGrid/>
      </w:pPr>
      <w:rPr>
        <w:rFonts w:ascii="Arial" w:hAnsi="Arial"/>
        <w:color w:val="404040"/>
        <w:sz w:val="22"/>
      </w:rPr>
      <w:tblPr/>
      <w:tcPr>
        <w:tcBorders>
          <w:top w:val="single" w:sz="12" w:space="0" w:color="93CDDD"/>
          <w:right w:val="single" w:sz="12" w:space="0" w:color="93CDDD"/>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3CDDD"/>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DEE8"/>
          <w:left w:val="single" w:sz="4" w:space="0" w:color="B7DEE8"/>
          <w:bottom w:val="single" w:sz="4" w:space="0" w:color="B7DEE8"/>
          <w:right w:val="single" w:sz="4" w:space="0" w:color="B7DEE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tblPr>
      <w:tblBorders>
        <w:top w:val="single" w:sz="4" w:space="0" w:color="FCD5B5"/>
        <w:left w:val="single" w:sz="4" w:space="0" w:color="FCD5B5"/>
        <w:bottom w:val="single" w:sz="4" w:space="0" w:color="FCD5B5"/>
        <w:right w:val="single" w:sz="4" w:space="0" w:color="FCD5B5"/>
        <w:insideH w:val="single" w:sz="4" w:space="0" w:color="FCD5B5"/>
        <w:insideV w:val="single" w:sz="4" w:space="0" w:color="FCD5B5"/>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AC090"/>
        </w:tcBorders>
      </w:tcPr>
    </w:tblStylePr>
    <w:tblStylePr w:type="lastRow">
      <w:pPr>
        <w:snapToGrid/>
      </w:pPr>
      <w:rPr>
        <w:rFonts w:ascii="Arial" w:hAnsi="Arial"/>
        <w:color w:val="404040"/>
        <w:sz w:val="22"/>
      </w:rPr>
      <w:tblPr/>
      <w:tcPr>
        <w:tcBorders>
          <w:top w:val="single" w:sz="12" w:space="0" w:color="FAC090"/>
          <w:right w:val="single" w:sz="12" w:space="0" w:color="FAC09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CD5B5"/>
          <w:left w:val="single" w:sz="4" w:space="0" w:color="FCD5B5"/>
          <w:bottom w:val="single" w:sz="4" w:space="0" w:color="FCD5B5"/>
          <w:right w:val="single" w:sz="4" w:space="0" w:color="FCD5B5"/>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Char4">
    <w:name w:val="脚注文本 Char"/>
    <w:link w:val="ab"/>
    <w:uiPriority w:val="99"/>
    <w:rPr>
      <w:sz w:val="18"/>
    </w:rPr>
  </w:style>
  <w:style w:type="paragraph" w:styleId="TOC">
    <w:name w:val="TOC Heading"/>
    <w:basedOn w:val="a"/>
    <w:uiPriority w:val="39"/>
    <w:qFormat/>
    <w:rPr>
      <w:sz w:val="22"/>
    </w:rPr>
  </w:style>
  <w:style w:type="character" w:customStyle="1" w:styleId="Char2">
    <w:name w:val="页眉 Char"/>
    <w:link w:val="a9"/>
    <w:uiPriority w:val="99"/>
    <w:rPr>
      <w:rFonts w:cs="Times New Roman"/>
      <w:sz w:val="18"/>
      <w:szCs w:val="18"/>
    </w:rPr>
  </w:style>
  <w:style w:type="character" w:customStyle="1" w:styleId="Char1">
    <w:name w:val="页脚 Char"/>
    <w:link w:val="a8"/>
    <w:uiPriority w:val="99"/>
    <w:rPr>
      <w:rFonts w:cs="Times New Roman"/>
      <w:sz w:val="18"/>
      <w:szCs w:val="18"/>
    </w:rPr>
  </w:style>
  <w:style w:type="character" w:customStyle="1" w:styleId="Char0">
    <w:name w:val="批注框文本 Char"/>
    <w:link w:val="a7"/>
    <w:uiPriority w:val="99"/>
    <w:semiHidden/>
    <w:rPr>
      <w:rFonts w:cs="Times New Roman"/>
      <w:sz w:val="18"/>
      <w:szCs w:val="18"/>
    </w:rPr>
  </w:style>
  <w:style w:type="character" w:customStyle="1" w:styleId="a5">
    <w:name w:val="批注文字 字符"/>
    <w:link w:val="annotationtext"/>
    <w:uiPriority w:val="99"/>
    <w:semiHidden/>
    <w:rPr>
      <w:rFonts w:cs="Times New Roman"/>
      <w:sz w:val="22"/>
      <w:szCs w:val="22"/>
    </w:rPr>
  </w:style>
  <w:style w:type="character" w:customStyle="1" w:styleId="ae">
    <w:name w:val="批注主题 字符"/>
    <w:link w:val="annotationsubject"/>
    <w:uiPriority w:val="99"/>
    <w:semiHidden/>
    <w:rPr>
      <w:rFonts w:cs="Times New Roman"/>
      <w:b/>
      <w:bCs/>
      <w:sz w:val="22"/>
      <w:szCs w:val="22"/>
    </w:rPr>
  </w:style>
  <w:style w:type="paragraph" w:customStyle="1" w:styleId="11">
    <w:name w:val="修订1"/>
    <w:hidden/>
    <w:uiPriority w:val="99"/>
    <w:semiHidden/>
    <w:rPr>
      <w:rFonts w:hint="default"/>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1249</Words>
  <Characters>7125</Characters>
  <Application>Microsoft Office Word</Application>
  <DocSecurity>4</DocSecurity>
  <Lines>59</Lines>
  <Paragraphs>16</Paragraphs>
  <ScaleCrop>false</ScaleCrop>
  <Company>CNSTOCK</Company>
  <LinksUpToDate>false</LinksUpToDate>
  <CharactersWithSpaces>8358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dc:creator>
  <cp:keywords/>
  <cp:lastModifiedBy>ZHONGM</cp:lastModifiedBy>
  <cp:revision>2</cp:revision>
  <dcterms:created xsi:type="dcterms:W3CDTF">2025-11-26T16:01:00Z</dcterms:created>
  <dcterms:modified xsi:type="dcterms:W3CDTF">2025-11-26T16:01:00Z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A5346483162A4817AFAFE6A37949806C_12</vt:lpwstr>
  </property>
  <property fmtid="{D5CDD505-2E9C-101B-9397-08002B2CF9AE}" pid="4" name="KSOTemplateDocerSaveRecord">
    <vt:lpwstr>eyJoZGlkIjoiNDA0MDkyZjY0ZjYzOGE3NmQ4MGYxMTgwYTU3YTZkYTMiLCJ1c2VySWQiOiIxMDI2NTUxOTU2In0=</vt:lpwstr>
  </property>
</Properties>
</file>