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F1C" w:rsidRDefault="00B91E63">
      <w:pPr>
        <w:pStyle w:val="11"/>
        <w:overflowPunct w:val="0"/>
        <w:autoSpaceDE w:val="0"/>
        <w:autoSpaceDN w:val="0"/>
        <w:adjustRightInd w:val="0"/>
        <w:snapToGrid w:val="0"/>
        <w:spacing w:line="360" w:lineRule="auto"/>
        <w:ind w:left="0"/>
        <w:jc w:val="center"/>
        <w:rPr>
          <w:rFonts w:cs="黑体"/>
          <w:b w:val="0"/>
          <w:bCs w:val="0"/>
          <w:snapToGrid w:val="0"/>
          <w:sz w:val="36"/>
          <w:szCs w:val="36"/>
          <w:lang w:eastAsia="zh-CN"/>
        </w:rPr>
      </w:pPr>
      <w:r>
        <w:rPr>
          <w:rFonts w:cs="黑体" w:hint="eastAsia"/>
          <w:snapToGrid w:val="0"/>
          <w:sz w:val="36"/>
          <w:szCs w:val="36"/>
          <w:lang w:eastAsia="zh-CN"/>
        </w:rPr>
        <w:t>关于中加医疗创新混合型发起式证券投资基金可能触发基金合同终止情形的提示性公告</w:t>
      </w:r>
    </w:p>
    <w:p w:rsidR="007B3F1C" w:rsidRDefault="007B3F1C">
      <w:pPr>
        <w:spacing w:line="360" w:lineRule="auto"/>
        <w:jc w:val="both"/>
        <w:rPr>
          <w:rFonts w:ascii="宋体" w:hAnsi="宋体" w:cs="黑体"/>
          <w:b/>
          <w:bCs/>
          <w:sz w:val="24"/>
          <w:szCs w:val="24"/>
          <w:lang w:eastAsia="zh-CN"/>
        </w:rPr>
      </w:pPr>
    </w:p>
    <w:p w:rsidR="007B3F1C" w:rsidRDefault="00B91E63">
      <w:pPr>
        <w:pStyle w:val="a5"/>
        <w:overflowPunct w:val="0"/>
        <w:autoSpaceDE w:val="0"/>
        <w:autoSpaceDN w:val="0"/>
        <w:adjustRightInd w:val="0"/>
        <w:snapToGrid w:val="0"/>
        <w:spacing w:before="0" w:line="360" w:lineRule="auto"/>
        <w:ind w:left="0" w:firstLineChars="200" w:firstLine="480"/>
        <w:jc w:val="both"/>
        <w:rPr>
          <w:lang w:eastAsia="zh-CN"/>
        </w:rPr>
      </w:pPr>
      <w:r>
        <w:rPr>
          <w:lang w:eastAsia="zh-CN"/>
        </w:rPr>
        <w:t>根据《中华人民共和国证券投资基金法》《公开募集证券投资基金运作管理办法》</w:t>
      </w:r>
      <w:r>
        <w:rPr>
          <w:rFonts w:hint="eastAsia"/>
          <w:lang w:eastAsia="zh-CN"/>
        </w:rPr>
        <w:t>的有关规定和</w:t>
      </w:r>
      <w:r>
        <w:rPr>
          <w:lang w:eastAsia="zh-CN"/>
        </w:rPr>
        <w:t>《</w:t>
      </w:r>
      <w:r>
        <w:rPr>
          <w:rFonts w:hint="eastAsia"/>
          <w:lang w:eastAsia="zh-CN"/>
        </w:rPr>
        <w:t>中加医疗创新混合型发起式证券投资基金</w:t>
      </w:r>
      <w:r>
        <w:rPr>
          <w:lang w:eastAsia="zh-CN"/>
        </w:rPr>
        <w:t>基金合同》（以下简称</w:t>
      </w:r>
      <w:r>
        <w:rPr>
          <w:rFonts w:hint="eastAsia"/>
          <w:lang w:eastAsia="zh-CN"/>
        </w:rPr>
        <w:t>“《</w:t>
      </w:r>
      <w:r>
        <w:rPr>
          <w:lang w:eastAsia="zh-CN"/>
        </w:rPr>
        <w:t>基金合同</w:t>
      </w:r>
      <w:r>
        <w:rPr>
          <w:rFonts w:hint="eastAsia"/>
          <w:lang w:eastAsia="zh-CN"/>
        </w:rPr>
        <w:t>》”或</w:t>
      </w:r>
      <w:r>
        <w:rPr>
          <w:lang w:eastAsia="zh-CN"/>
        </w:rPr>
        <w:t>“</w:t>
      </w:r>
      <w:r>
        <w:rPr>
          <w:lang w:eastAsia="zh-CN"/>
        </w:rPr>
        <w:t>基金合同</w:t>
      </w:r>
      <w:r>
        <w:rPr>
          <w:lang w:eastAsia="zh-CN"/>
        </w:rPr>
        <w:t>”</w:t>
      </w:r>
      <w:r>
        <w:rPr>
          <w:lang w:eastAsia="zh-CN"/>
        </w:rPr>
        <w:t>）的有关</w:t>
      </w:r>
      <w:r>
        <w:rPr>
          <w:rFonts w:hint="eastAsia"/>
          <w:lang w:eastAsia="zh-CN"/>
        </w:rPr>
        <w:t>约</w:t>
      </w:r>
      <w:r>
        <w:rPr>
          <w:lang w:eastAsia="zh-CN"/>
        </w:rPr>
        <w:t>定，</w:t>
      </w:r>
      <w:r>
        <w:rPr>
          <w:rFonts w:hint="eastAsia"/>
          <w:lang w:eastAsia="zh-CN"/>
        </w:rPr>
        <w:t>中加医疗创新混合型发起式证券投资基金</w:t>
      </w:r>
      <w:r>
        <w:rPr>
          <w:lang w:eastAsia="zh-CN"/>
        </w:rPr>
        <w:t>（以下简称</w:t>
      </w:r>
      <w:r>
        <w:rPr>
          <w:lang w:eastAsia="zh-CN"/>
        </w:rPr>
        <w:t>“</w:t>
      </w:r>
      <w:r>
        <w:rPr>
          <w:lang w:eastAsia="zh-CN"/>
        </w:rPr>
        <w:t>本基金</w:t>
      </w:r>
      <w:r>
        <w:rPr>
          <w:lang w:eastAsia="zh-CN"/>
        </w:rPr>
        <w:t>”</w:t>
      </w:r>
      <w:r>
        <w:rPr>
          <w:lang w:eastAsia="zh-CN"/>
        </w:rPr>
        <w:t>）可能触发基金合同终止情形</w:t>
      </w:r>
      <w:r>
        <w:rPr>
          <w:lang w:eastAsia="zh-CN"/>
        </w:rPr>
        <w:t>,</w:t>
      </w:r>
      <w:r>
        <w:rPr>
          <w:lang w:eastAsia="zh-CN"/>
        </w:rPr>
        <w:t>现将相关事项提示公告如下：</w:t>
      </w:r>
    </w:p>
    <w:p w:rsidR="007B3F1C" w:rsidRDefault="00B91E63">
      <w:pPr>
        <w:pStyle w:val="a5"/>
        <w:overflowPunct w:val="0"/>
        <w:autoSpaceDE w:val="0"/>
        <w:autoSpaceDN w:val="0"/>
        <w:adjustRightInd w:val="0"/>
        <w:snapToGrid w:val="0"/>
        <w:spacing w:before="0" w:line="360" w:lineRule="auto"/>
        <w:ind w:left="0" w:firstLineChars="200" w:firstLine="480"/>
        <w:jc w:val="both"/>
        <w:rPr>
          <w:lang w:eastAsia="zh-CN"/>
        </w:rPr>
      </w:pPr>
      <w:r>
        <w:rPr>
          <w:lang w:eastAsia="zh-CN"/>
        </w:rPr>
        <w:t>一、本基金基本信息</w:t>
      </w:r>
      <w:r>
        <w:rPr>
          <w:lang w:eastAsia="zh-CN"/>
        </w:rPr>
        <w:t xml:space="preserve"> </w:t>
      </w:r>
    </w:p>
    <w:p w:rsidR="007B3F1C" w:rsidRDefault="00B91E63">
      <w:pPr>
        <w:pStyle w:val="a5"/>
        <w:overflowPunct w:val="0"/>
        <w:autoSpaceDE w:val="0"/>
        <w:autoSpaceDN w:val="0"/>
        <w:adjustRightInd w:val="0"/>
        <w:snapToGrid w:val="0"/>
        <w:spacing w:before="0" w:line="360" w:lineRule="auto"/>
        <w:ind w:left="0" w:firstLineChars="200" w:firstLine="480"/>
        <w:jc w:val="both"/>
        <w:rPr>
          <w:lang w:eastAsia="zh-CN"/>
        </w:rPr>
      </w:pPr>
      <w:r>
        <w:rPr>
          <w:lang w:eastAsia="zh-CN"/>
        </w:rPr>
        <w:t>基金名称：</w:t>
      </w:r>
      <w:r>
        <w:rPr>
          <w:rFonts w:hint="eastAsia"/>
          <w:lang w:eastAsia="zh-CN"/>
        </w:rPr>
        <w:t>中加医疗创新混合型发起式证券投资基金</w:t>
      </w:r>
    </w:p>
    <w:p w:rsidR="007B3F1C" w:rsidRDefault="00B91E63">
      <w:pPr>
        <w:pStyle w:val="a5"/>
        <w:overflowPunct w:val="0"/>
        <w:autoSpaceDE w:val="0"/>
        <w:autoSpaceDN w:val="0"/>
        <w:adjustRightInd w:val="0"/>
        <w:snapToGrid w:val="0"/>
        <w:spacing w:before="0" w:line="360" w:lineRule="auto"/>
        <w:ind w:left="0" w:firstLineChars="200" w:firstLine="480"/>
        <w:jc w:val="both"/>
        <w:rPr>
          <w:lang w:eastAsia="zh-CN"/>
        </w:rPr>
      </w:pPr>
      <w:r>
        <w:rPr>
          <w:lang w:eastAsia="zh-CN"/>
        </w:rPr>
        <w:t>基金简称：</w:t>
      </w:r>
      <w:r>
        <w:rPr>
          <w:rFonts w:hint="eastAsia"/>
          <w:lang w:eastAsia="zh-CN"/>
        </w:rPr>
        <w:t>中加医疗创新混合发起式</w:t>
      </w:r>
    </w:p>
    <w:p w:rsidR="007B3F1C" w:rsidRDefault="00B91E63">
      <w:pPr>
        <w:pStyle w:val="a5"/>
        <w:overflowPunct w:val="0"/>
        <w:autoSpaceDE w:val="0"/>
        <w:autoSpaceDN w:val="0"/>
        <w:adjustRightInd w:val="0"/>
        <w:snapToGrid w:val="0"/>
        <w:spacing w:before="0" w:line="360" w:lineRule="auto"/>
        <w:ind w:left="0" w:firstLineChars="200" w:firstLine="480"/>
        <w:jc w:val="both"/>
        <w:rPr>
          <w:lang w:eastAsia="zh-CN"/>
        </w:rPr>
      </w:pPr>
      <w:r>
        <w:rPr>
          <w:lang w:eastAsia="zh-CN"/>
        </w:rPr>
        <w:t>基金代码：</w:t>
      </w:r>
      <w:r>
        <w:rPr>
          <w:rFonts w:hint="eastAsia"/>
          <w:lang w:eastAsia="zh-CN"/>
        </w:rPr>
        <w:t>A</w:t>
      </w:r>
      <w:r>
        <w:rPr>
          <w:rFonts w:hint="eastAsia"/>
          <w:lang w:eastAsia="zh-CN"/>
        </w:rPr>
        <w:t>类</w:t>
      </w:r>
      <w:r>
        <w:rPr>
          <w:rFonts w:hint="eastAsia"/>
          <w:lang w:eastAsia="zh-CN"/>
        </w:rPr>
        <w:t>016756</w:t>
      </w:r>
      <w:r>
        <w:rPr>
          <w:rFonts w:hint="eastAsia"/>
          <w:lang w:eastAsia="zh-CN"/>
        </w:rPr>
        <w:t>；</w:t>
      </w:r>
      <w:r>
        <w:rPr>
          <w:rFonts w:hint="eastAsia"/>
          <w:lang w:eastAsia="zh-CN"/>
        </w:rPr>
        <w:t>C</w:t>
      </w:r>
      <w:r>
        <w:rPr>
          <w:rFonts w:hint="eastAsia"/>
          <w:lang w:eastAsia="zh-CN"/>
        </w:rPr>
        <w:t>类</w:t>
      </w:r>
      <w:r>
        <w:rPr>
          <w:rFonts w:hint="eastAsia"/>
          <w:lang w:eastAsia="zh-CN"/>
        </w:rPr>
        <w:t>016757</w:t>
      </w:r>
    </w:p>
    <w:p w:rsidR="007B3F1C" w:rsidRDefault="00B91E63">
      <w:pPr>
        <w:pStyle w:val="a5"/>
        <w:overflowPunct w:val="0"/>
        <w:autoSpaceDE w:val="0"/>
        <w:autoSpaceDN w:val="0"/>
        <w:adjustRightInd w:val="0"/>
        <w:snapToGrid w:val="0"/>
        <w:spacing w:before="0" w:line="360" w:lineRule="auto"/>
        <w:ind w:left="0" w:firstLineChars="200" w:firstLine="480"/>
        <w:jc w:val="both"/>
        <w:rPr>
          <w:lang w:eastAsia="zh-CN"/>
        </w:rPr>
      </w:pPr>
      <w:r>
        <w:rPr>
          <w:rFonts w:hint="eastAsia"/>
          <w:lang w:eastAsia="zh-CN"/>
        </w:rPr>
        <w:t>基金运作方式：契约型开放式</w:t>
      </w:r>
      <w:bookmarkStart w:id="0" w:name="_GoBack"/>
      <w:bookmarkEnd w:id="0"/>
    </w:p>
    <w:p w:rsidR="007B3F1C" w:rsidRDefault="00B91E63">
      <w:pPr>
        <w:pStyle w:val="a5"/>
        <w:overflowPunct w:val="0"/>
        <w:autoSpaceDE w:val="0"/>
        <w:autoSpaceDN w:val="0"/>
        <w:adjustRightInd w:val="0"/>
        <w:snapToGrid w:val="0"/>
        <w:spacing w:before="0" w:line="360" w:lineRule="auto"/>
        <w:ind w:left="0" w:firstLineChars="200" w:firstLine="480"/>
        <w:jc w:val="both"/>
        <w:rPr>
          <w:lang w:eastAsia="zh-CN"/>
        </w:rPr>
      </w:pPr>
      <w:r>
        <w:rPr>
          <w:lang w:eastAsia="zh-CN"/>
        </w:rPr>
        <w:t>基金合同生效日：</w:t>
      </w:r>
      <w:r>
        <w:rPr>
          <w:rFonts w:hint="eastAsia"/>
          <w:lang w:eastAsia="zh-CN"/>
        </w:rPr>
        <w:t>202</w:t>
      </w:r>
      <w:r>
        <w:rPr>
          <w:rFonts w:hint="eastAsia"/>
          <w:lang w:eastAsia="zh-CN"/>
        </w:rPr>
        <w:t>2</w:t>
      </w:r>
      <w:r>
        <w:rPr>
          <w:rFonts w:hint="eastAsia"/>
          <w:lang w:eastAsia="zh-CN"/>
        </w:rPr>
        <w:t>年</w:t>
      </w:r>
      <w:r>
        <w:rPr>
          <w:rFonts w:hint="eastAsia"/>
          <w:lang w:eastAsia="zh-CN"/>
        </w:rPr>
        <w:t>11</w:t>
      </w:r>
      <w:r>
        <w:rPr>
          <w:rFonts w:hint="eastAsia"/>
          <w:lang w:eastAsia="zh-CN"/>
        </w:rPr>
        <w:t>月</w:t>
      </w:r>
      <w:r>
        <w:rPr>
          <w:rFonts w:hint="eastAsia"/>
          <w:lang w:eastAsia="zh-CN"/>
        </w:rPr>
        <w:t>30</w:t>
      </w:r>
      <w:r>
        <w:rPr>
          <w:rFonts w:hint="eastAsia"/>
          <w:lang w:eastAsia="zh-CN"/>
        </w:rPr>
        <w:t>日</w:t>
      </w:r>
    </w:p>
    <w:p w:rsidR="007B3F1C" w:rsidRDefault="00B91E63">
      <w:pPr>
        <w:pStyle w:val="a5"/>
        <w:overflowPunct w:val="0"/>
        <w:autoSpaceDE w:val="0"/>
        <w:autoSpaceDN w:val="0"/>
        <w:adjustRightInd w:val="0"/>
        <w:snapToGrid w:val="0"/>
        <w:spacing w:before="0" w:line="360" w:lineRule="auto"/>
        <w:ind w:left="0" w:firstLineChars="200" w:firstLine="480"/>
        <w:jc w:val="both"/>
        <w:rPr>
          <w:lang w:eastAsia="zh-CN"/>
        </w:rPr>
      </w:pPr>
      <w:r>
        <w:rPr>
          <w:lang w:eastAsia="zh-CN"/>
        </w:rPr>
        <w:t>基金管理人名称：</w:t>
      </w:r>
      <w:r>
        <w:rPr>
          <w:rFonts w:hint="eastAsia"/>
          <w:lang w:eastAsia="zh-CN"/>
        </w:rPr>
        <w:t>中加基金管理有限公司</w:t>
      </w:r>
    </w:p>
    <w:p w:rsidR="007B3F1C" w:rsidRDefault="00B91E63">
      <w:pPr>
        <w:pStyle w:val="a5"/>
        <w:overflowPunct w:val="0"/>
        <w:autoSpaceDE w:val="0"/>
        <w:autoSpaceDN w:val="0"/>
        <w:adjustRightInd w:val="0"/>
        <w:snapToGrid w:val="0"/>
        <w:spacing w:before="0" w:line="360" w:lineRule="auto"/>
        <w:ind w:left="0" w:firstLineChars="200" w:firstLine="480"/>
        <w:jc w:val="both"/>
        <w:rPr>
          <w:lang w:eastAsia="zh-CN"/>
        </w:rPr>
      </w:pPr>
      <w:r>
        <w:rPr>
          <w:lang w:eastAsia="zh-CN"/>
        </w:rPr>
        <w:t>基金托管人名称：</w:t>
      </w:r>
      <w:r>
        <w:rPr>
          <w:rFonts w:hint="eastAsia"/>
          <w:lang w:eastAsia="zh-CN"/>
        </w:rPr>
        <w:t>中国光大银行股份有限公司</w:t>
      </w:r>
    </w:p>
    <w:p w:rsidR="007B3F1C" w:rsidRDefault="00B91E63">
      <w:pPr>
        <w:pStyle w:val="a5"/>
        <w:overflowPunct w:val="0"/>
        <w:autoSpaceDE w:val="0"/>
        <w:autoSpaceDN w:val="0"/>
        <w:adjustRightInd w:val="0"/>
        <w:snapToGrid w:val="0"/>
        <w:spacing w:before="0" w:line="360" w:lineRule="auto"/>
        <w:ind w:left="0" w:firstLineChars="200" w:firstLine="480"/>
        <w:jc w:val="both"/>
        <w:rPr>
          <w:lang w:eastAsia="zh-CN"/>
        </w:rPr>
      </w:pPr>
      <w:r>
        <w:rPr>
          <w:lang w:eastAsia="zh-CN"/>
        </w:rPr>
        <w:t>二、可能触发基金合同终止的情形说明</w:t>
      </w:r>
    </w:p>
    <w:p w:rsidR="007B3F1C" w:rsidRDefault="00B91E63">
      <w:pPr>
        <w:pStyle w:val="a5"/>
        <w:overflowPunct w:val="0"/>
        <w:autoSpaceDE w:val="0"/>
        <w:autoSpaceDN w:val="0"/>
        <w:adjustRightInd w:val="0"/>
        <w:snapToGrid w:val="0"/>
        <w:spacing w:before="0" w:line="360" w:lineRule="auto"/>
        <w:ind w:left="0" w:firstLineChars="200" w:firstLine="480"/>
        <w:jc w:val="both"/>
        <w:rPr>
          <w:lang w:eastAsia="zh-CN"/>
        </w:rPr>
      </w:pPr>
      <w:r>
        <w:rPr>
          <w:lang w:eastAsia="zh-CN"/>
        </w:rPr>
        <w:t>《基金合同》</w:t>
      </w:r>
      <w:r>
        <w:rPr>
          <w:lang w:eastAsia="zh-CN"/>
        </w:rPr>
        <w:t>“</w:t>
      </w:r>
      <w:r>
        <w:rPr>
          <w:lang w:eastAsia="zh-CN"/>
        </w:rPr>
        <w:t>第五部分</w:t>
      </w:r>
      <w:r>
        <w:rPr>
          <w:lang w:eastAsia="zh-CN"/>
        </w:rPr>
        <w:t xml:space="preserve"> </w:t>
      </w:r>
      <w:r>
        <w:rPr>
          <w:lang w:eastAsia="zh-CN"/>
        </w:rPr>
        <w:t>基金备案</w:t>
      </w:r>
      <w:r>
        <w:rPr>
          <w:lang w:eastAsia="zh-CN"/>
        </w:rPr>
        <w:t>”</w:t>
      </w:r>
      <w:r>
        <w:rPr>
          <w:lang w:eastAsia="zh-CN"/>
        </w:rPr>
        <w:t>之</w:t>
      </w:r>
      <w:r>
        <w:rPr>
          <w:lang w:eastAsia="zh-CN"/>
        </w:rPr>
        <w:t>“</w:t>
      </w:r>
      <w:r>
        <w:rPr>
          <w:lang w:eastAsia="zh-CN"/>
        </w:rPr>
        <w:t>三、</w:t>
      </w:r>
      <w:r>
        <w:rPr>
          <w:rFonts w:hint="eastAsia"/>
          <w:lang w:eastAsia="zh-CN"/>
        </w:rPr>
        <w:t>基金存续期内的基金份额持有人数量和资产规模</w:t>
      </w:r>
      <w:r>
        <w:rPr>
          <w:lang w:eastAsia="zh-CN"/>
        </w:rPr>
        <w:t>”</w:t>
      </w:r>
      <w:r>
        <w:rPr>
          <w:lang w:eastAsia="zh-CN"/>
        </w:rPr>
        <w:t>约定：</w:t>
      </w:r>
      <w:r>
        <w:rPr>
          <w:lang w:eastAsia="zh-CN"/>
        </w:rPr>
        <w:t>“</w:t>
      </w:r>
      <w:r>
        <w:rPr>
          <w:rFonts w:hint="eastAsia"/>
          <w:lang w:eastAsia="zh-CN"/>
        </w:rPr>
        <w:t>基金合同生效之日起三年后的对应日（若无对应日则顺延至下一日），若基金资产净值低于两亿元，基金合同自动终止，且不得通过召开基金份额持有人大会延续基金合同期限</w:t>
      </w:r>
      <w:r>
        <w:rPr>
          <w:lang w:eastAsia="zh-CN"/>
        </w:rPr>
        <w:t>。</w:t>
      </w:r>
      <w:r>
        <w:rPr>
          <w:lang w:eastAsia="zh-CN"/>
        </w:rPr>
        <w:t>”</w:t>
      </w:r>
    </w:p>
    <w:p w:rsidR="007B3F1C" w:rsidRDefault="00B91E63">
      <w:pPr>
        <w:pStyle w:val="a5"/>
        <w:overflowPunct w:val="0"/>
        <w:autoSpaceDE w:val="0"/>
        <w:autoSpaceDN w:val="0"/>
        <w:adjustRightInd w:val="0"/>
        <w:snapToGrid w:val="0"/>
        <w:spacing w:before="0" w:line="360" w:lineRule="auto"/>
        <w:ind w:left="0" w:firstLineChars="200" w:firstLine="480"/>
        <w:jc w:val="both"/>
        <w:rPr>
          <w:lang w:eastAsia="zh-CN"/>
        </w:rPr>
      </w:pPr>
      <w:r>
        <w:rPr>
          <w:lang w:eastAsia="zh-CN"/>
        </w:rPr>
        <w:t>本基金基金合同生效日为</w:t>
      </w:r>
      <w:r>
        <w:rPr>
          <w:rFonts w:hint="eastAsia"/>
          <w:lang w:eastAsia="zh-CN"/>
        </w:rPr>
        <w:t>202</w:t>
      </w:r>
      <w:r>
        <w:rPr>
          <w:rFonts w:hint="eastAsia"/>
          <w:lang w:eastAsia="zh-CN"/>
        </w:rPr>
        <w:t>2</w:t>
      </w:r>
      <w:r>
        <w:rPr>
          <w:rFonts w:hint="eastAsia"/>
          <w:lang w:eastAsia="zh-CN"/>
        </w:rPr>
        <w:t>年</w:t>
      </w:r>
      <w:r>
        <w:rPr>
          <w:rFonts w:hint="eastAsia"/>
          <w:lang w:eastAsia="zh-CN"/>
        </w:rPr>
        <w:t>11</w:t>
      </w:r>
      <w:r>
        <w:rPr>
          <w:rFonts w:hint="eastAsia"/>
          <w:lang w:eastAsia="zh-CN"/>
        </w:rPr>
        <w:t>月</w:t>
      </w:r>
      <w:r>
        <w:rPr>
          <w:rFonts w:hint="eastAsia"/>
          <w:lang w:eastAsia="zh-CN"/>
        </w:rPr>
        <w:t>30</w:t>
      </w:r>
      <w:r>
        <w:rPr>
          <w:rFonts w:hint="eastAsia"/>
          <w:lang w:eastAsia="zh-CN"/>
        </w:rPr>
        <w:t>日</w:t>
      </w:r>
      <w:r>
        <w:rPr>
          <w:lang w:eastAsia="zh-CN"/>
        </w:rPr>
        <w:t>，基金合同生</w:t>
      </w:r>
      <w:r>
        <w:rPr>
          <w:lang w:eastAsia="zh-CN"/>
        </w:rPr>
        <w:t>效之日起满三年后的对应日为</w:t>
      </w:r>
      <w:r>
        <w:rPr>
          <w:lang w:eastAsia="zh-CN"/>
        </w:rPr>
        <w:t>202</w:t>
      </w:r>
      <w:r>
        <w:rPr>
          <w:rFonts w:hint="eastAsia"/>
          <w:lang w:eastAsia="zh-CN"/>
        </w:rPr>
        <w:t>5</w:t>
      </w:r>
      <w:r>
        <w:rPr>
          <w:lang w:eastAsia="zh-CN"/>
        </w:rPr>
        <w:t>年</w:t>
      </w:r>
      <w:r>
        <w:rPr>
          <w:rFonts w:hint="eastAsia"/>
          <w:lang w:eastAsia="zh-CN"/>
        </w:rPr>
        <w:t>11</w:t>
      </w:r>
      <w:r>
        <w:rPr>
          <w:lang w:eastAsia="zh-CN"/>
        </w:rPr>
        <w:t>月</w:t>
      </w:r>
      <w:r>
        <w:rPr>
          <w:rFonts w:hint="eastAsia"/>
          <w:lang w:eastAsia="zh-CN"/>
        </w:rPr>
        <w:t>30</w:t>
      </w:r>
      <w:r>
        <w:rPr>
          <w:lang w:eastAsia="zh-CN"/>
        </w:rPr>
        <w:t>日。若截至</w:t>
      </w:r>
      <w:r>
        <w:rPr>
          <w:lang w:eastAsia="zh-CN"/>
        </w:rPr>
        <w:t>202</w:t>
      </w:r>
      <w:r>
        <w:rPr>
          <w:rFonts w:hint="eastAsia"/>
          <w:lang w:eastAsia="zh-CN"/>
        </w:rPr>
        <w:t>5</w:t>
      </w:r>
      <w:r>
        <w:rPr>
          <w:lang w:eastAsia="zh-CN"/>
        </w:rPr>
        <w:t>年</w:t>
      </w:r>
      <w:r>
        <w:rPr>
          <w:rFonts w:hint="eastAsia"/>
          <w:lang w:eastAsia="zh-CN"/>
        </w:rPr>
        <w:t>11</w:t>
      </w:r>
      <w:r>
        <w:rPr>
          <w:lang w:eastAsia="zh-CN"/>
        </w:rPr>
        <w:t>月</w:t>
      </w:r>
      <w:r>
        <w:rPr>
          <w:rFonts w:hint="eastAsia"/>
          <w:lang w:eastAsia="zh-CN"/>
        </w:rPr>
        <w:t>30</w:t>
      </w:r>
      <w:r>
        <w:rPr>
          <w:lang w:eastAsia="zh-CN"/>
        </w:rPr>
        <w:t>日日终，本基金的基金规模低于</w:t>
      </w:r>
      <w:r>
        <w:rPr>
          <w:rFonts w:hint="eastAsia"/>
          <w:lang w:eastAsia="zh-CN"/>
        </w:rPr>
        <w:t>两</w:t>
      </w:r>
      <w:r>
        <w:rPr>
          <w:lang w:eastAsia="zh-CN"/>
        </w:rPr>
        <w:t>亿元人民币，则触发上述《基金合同》约定的终止情形，《基金合同》自动终止，基金管理人将根据相关法律法规</w:t>
      </w:r>
      <w:r>
        <w:rPr>
          <w:rFonts w:hint="eastAsia"/>
          <w:lang w:eastAsia="zh-CN"/>
        </w:rPr>
        <w:t>的规定以及</w:t>
      </w:r>
      <w:r>
        <w:rPr>
          <w:lang w:eastAsia="zh-CN"/>
        </w:rPr>
        <w:t>基金合同</w:t>
      </w:r>
      <w:r>
        <w:rPr>
          <w:rFonts w:hint="eastAsia"/>
          <w:lang w:eastAsia="zh-CN"/>
        </w:rPr>
        <w:t>的约</w:t>
      </w:r>
      <w:r>
        <w:rPr>
          <w:lang w:eastAsia="zh-CN"/>
        </w:rPr>
        <w:t>定对本基金进行清算。</w:t>
      </w:r>
    </w:p>
    <w:p w:rsidR="007B3F1C" w:rsidRDefault="00B91E63">
      <w:pPr>
        <w:pStyle w:val="a5"/>
        <w:overflowPunct w:val="0"/>
        <w:autoSpaceDE w:val="0"/>
        <w:autoSpaceDN w:val="0"/>
        <w:adjustRightInd w:val="0"/>
        <w:snapToGrid w:val="0"/>
        <w:spacing w:before="0" w:line="360" w:lineRule="auto"/>
        <w:ind w:left="0" w:firstLineChars="200" w:firstLine="480"/>
        <w:jc w:val="both"/>
        <w:rPr>
          <w:lang w:eastAsia="zh-CN"/>
        </w:rPr>
      </w:pPr>
      <w:r>
        <w:rPr>
          <w:lang w:eastAsia="zh-CN"/>
        </w:rPr>
        <w:t>三、其他需要提示的事项</w:t>
      </w:r>
      <w:r>
        <w:rPr>
          <w:lang w:eastAsia="zh-CN"/>
        </w:rPr>
        <w:t xml:space="preserve"> </w:t>
      </w:r>
    </w:p>
    <w:p w:rsidR="007B3F1C" w:rsidRDefault="00B91E63">
      <w:pPr>
        <w:pStyle w:val="a5"/>
        <w:overflowPunct w:val="0"/>
        <w:autoSpaceDE w:val="0"/>
        <w:autoSpaceDN w:val="0"/>
        <w:adjustRightInd w:val="0"/>
        <w:snapToGrid w:val="0"/>
        <w:spacing w:before="0" w:line="360" w:lineRule="auto"/>
        <w:ind w:left="0" w:firstLineChars="200" w:firstLine="480"/>
        <w:jc w:val="both"/>
        <w:rPr>
          <w:lang w:eastAsia="zh-CN"/>
        </w:rPr>
      </w:pPr>
      <w:r>
        <w:rPr>
          <w:lang w:eastAsia="zh-CN"/>
        </w:rPr>
        <w:t>1</w:t>
      </w:r>
      <w:r>
        <w:rPr>
          <w:lang w:eastAsia="zh-CN"/>
        </w:rPr>
        <w:t>、</w:t>
      </w:r>
      <w:r>
        <w:rPr>
          <w:rFonts w:hint="eastAsia"/>
          <w:lang w:eastAsia="zh-CN"/>
        </w:rPr>
        <w:t>为降低对投资者的影响，本基金管理人已自</w:t>
      </w:r>
      <w:r>
        <w:rPr>
          <w:rFonts w:hint="eastAsia"/>
          <w:lang w:eastAsia="zh-CN"/>
        </w:rPr>
        <w:t>202</w:t>
      </w:r>
      <w:r>
        <w:rPr>
          <w:rFonts w:hint="eastAsia"/>
          <w:lang w:eastAsia="zh-CN"/>
        </w:rPr>
        <w:t>5</w:t>
      </w:r>
      <w:r>
        <w:rPr>
          <w:rFonts w:hint="eastAsia"/>
          <w:lang w:eastAsia="zh-CN"/>
        </w:rPr>
        <w:t>年</w:t>
      </w:r>
      <w:r>
        <w:rPr>
          <w:rFonts w:hint="eastAsia"/>
          <w:lang w:eastAsia="zh-CN"/>
        </w:rPr>
        <w:t>11</w:t>
      </w:r>
      <w:r>
        <w:rPr>
          <w:rFonts w:hint="eastAsia"/>
          <w:lang w:eastAsia="zh-CN"/>
        </w:rPr>
        <w:t>月</w:t>
      </w:r>
      <w:r>
        <w:rPr>
          <w:rFonts w:hint="eastAsia"/>
          <w:lang w:eastAsia="zh-CN"/>
        </w:rPr>
        <w:t>14</w:t>
      </w:r>
      <w:r>
        <w:rPr>
          <w:rFonts w:hint="eastAsia"/>
          <w:lang w:eastAsia="zh-CN"/>
        </w:rPr>
        <w:t>日起暂停本基金申购（</w:t>
      </w:r>
      <w:r>
        <w:rPr>
          <w:rFonts w:hint="eastAsia"/>
          <w:lang w:eastAsia="zh-CN"/>
        </w:rPr>
        <w:t>含转换转入、</w:t>
      </w:r>
      <w:r>
        <w:rPr>
          <w:rFonts w:hint="eastAsia"/>
          <w:lang w:eastAsia="zh-CN"/>
        </w:rPr>
        <w:t>定期定额投资）业务。</w:t>
      </w:r>
      <w:r>
        <w:rPr>
          <w:rFonts w:hint="eastAsia"/>
          <w:b/>
          <w:bCs/>
          <w:lang w:eastAsia="zh-CN"/>
        </w:rPr>
        <w:t>若发生上述《基金合同》约定的终</w:t>
      </w:r>
      <w:r>
        <w:rPr>
          <w:rFonts w:hint="eastAsia"/>
          <w:b/>
          <w:bCs/>
          <w:lang w:eastAsia="zh-CN"/>
        </w:rPr>
        <w:lastRenderedPageBreak/>
        <w:t>止情形，</w:t>
      </w:r>
      <w:r>
        <w:rPr>
          <w:rFonts w:hint="eastAsia"/>
          <w:b/>
          <w:bCs/>
          <w:lang w:eastAsia="zh-CN"/>
        </w:rPr>
        <w:t>202</w:t>
      </w:r>
      <w:r>
        <w:rPr>
          <w:rFonts w:hint="eastAsia"/>
          <w:b/>
          <w:bCs/>
          <w:lang w:eastAsia="zh-CN"/>
        </w:rPr>
        <w:t>5</w:t>
      </w:r>
      <w:r>
        <w:rPr>
          <w:rFonts w:hint="eastAsia"/>
          <w:b/>
          <w:bCs/>
          <w:lang w:eastAsia="zh-CN"/>
        </w:rPr>
        <w:t>年</w:t>
      </w:r>
      <w:r>
        <w:rPr>
          <w:rFonts w:hint="eastAsia"/>
          <w:b/>
          <w:bCs/>
          <w:lang w:eastAsia="zh-CN"/>
        </w:rPr>
        <w:t>11</w:t>
      </w:r>
      <w:r>
        <w:rPr>
          <w:rFonts w:hint="eastAsia"/>
          <w:b/>
          <w:bCs/>
          <w:lang w:eastAsia="zh-CN"/>
        </w:rPr>
        <w:t>月</w:t>
      </w:r>
      <w:r>
        <w:rPr>
          <w:rFonts w:hint="eastAsia"/>
          <w:b/>
          <w:bCs/>
          <w:lang w:eastAsia="zh-CN"/>
        </w:rPr>
        <w:t>30</w:t>
      </w:r>
      <w:r>
        <w:rPr>
          <w:rFonts w:hint="eastAsia"/>
          <w:b/>
          <w:bCs/>
          <w:lang w:eastAsia="zh-CN"/>
        </w:rPr>
        <w:t>日将为本基金最后运作日，</w:t>
      </w:r>
      <w:r>
        <w:rPr>
          <w:rFonts w:hint="eastAsia"/>
          <w:b/>
          <w:bCs/>
          <w:lang w:eastAsia="zh-CN"/>
        </w:rPr>
        <w:t>202</w:t>
      </w:r>
      <w:r>
        <w:rPr>
          <w:rFonts w:hint="eastAsia"/>
          <w:b/>
          <w:bCs/>
          <w:lang w:eastAsia="zh-CN"/>
        </w:rPr>
        <w:t>5</w:t>
      </w:r>
      <w:r>
        <w:rPr>
          <w:rFonts w:hint="eastAsia"/>
          <w:b/>
          <w:bCs/>
          <w:lang w:eastAsia="zh-CN"/>
        </w:rPr>
        <w:t>年</w:t>
      </w:r>
      <w:r>
        <w:rPr>
          <w:rFonts w:hint="eastAsia"/>
          <w:b/>
          <w:bCs/>
          <w:lang w:eastAsia="zh-CN"/>
        </w:rPr>
        <w:t>12</w:t>
      </w:r>
      <w:r>
        <w:rPr>
          <w:rFonts w:hint="eastAsia"/>
          <w:b/>
          <w:bCs/>
          <w:lang w:eastAsia="zh-CN"/>
        </w:rPr>
        <w:t>月</w:t>
      </w:r>
      <w:r>
        <w:rPr>
          <w:rFonts w:hint="eastAsia"/>
          <w:b/>
          <w:bCs/>
          <w:lang w:eastAsia="zh-CN"/>
        </w:rPr>
        <w:t>1</w:t>
      </w:r>
      <w:r>
        <w:rPr>
          <w:rFonts w:hint="eastAsia"/>
          <w:b/>
          <w:bCs/>
          <w:lang w:eastAsia="zh-CN"/>
        </w:rPr>
        <w:t>日起本基金将进入基金财产清算程序，不再办理申购、赎回、</w:t>
      </w:r>
      <w:r>
        <w:rPr>
          <w:rFonts w:hint="eastAsia"/>
          <w:b/>
          <w:bCs/>
          <w:lang w:eastAsia="zh-CN"/>
        </w:rPr>
        <w:t>转换、</w:t>
      </w:r>
      <w:r>
        <w:rPr>
          <w:rFonts w:hint="eastAsia"/>
          <w:b/>
          <w:bCs/>
          <w:lang w:eastAsia="zh-CN"/>
        </w:rPr>
        <w:t>定期定额投资等业务。敬请投资者予以关注。</w:t>
      </w:r>
    </w:p>
    <w:p w:rsidR="007B3F1C" w:rsidRDefault="00B91E63">
      <w:pPr>
        <w:pStyle w:val="a5"/>
        <w:overflowPunct w:val="0"/>
        <w:autoSpaceDE w:val="0"/>
        <w:autoSpaceDN w:val="0"/>
        <w:adjustRightInd w:val="0"/>
        <w:snapToGrid w:val="0"/>
        <w:spacing w:before="0" w:line="360" w:lineRule="auto"/>
        <w:ind w:left="0" w:firstLineChars="200" w:firstLine="480"/>
        <w:jc w:val="both"/>
        <w:rPr>
          <w:lang w:eastAsia="zh-CN"/>
        </w:rPr>
      </w:pPr>
      <w:r>
        <w:rPr>
          <w:rFonts w:hint="eastAsia"/>
          <w:lang w:eastAsia="zh-CN"/>
        </w:rPr>
        <w:t>2</w:t>
      </w:r>
      <w:r>
        <w:rPr>
          <w:rFonts w:hint="eastAsia"/>
          <w:lang w:eastAsia="zh-CN"/>
        </w:rPr>
        <w:t>、</w:t>
      </w:r>
      <w:r>
        <w:rPr>
          <w:lang w:eastAsia="zh-CN"/>
        </w:rPr>
        <w:t>若出现触发基金合同终止的情形，基金管理人将根据相关法律法规</w:t>
      </w:r>
      <w:r>
        <w:rPr>
          <w:rFonts w:hint="eastAsia"/>
          <w:lang w:eastAsia="zh-CN"/>
        </w:rPr>
        <w:t>的规定以及</w:t>
      </w:r>
      <w:r>
        <w:rPr>
          <w:lang w:eastAsia="zh-CN"/>
        </w:rPr>
        <w:t>《基金合同》</w:t>
      </w:r>
      <w:r>
        <w:rPr>
          <w:rFonts w:hint="eastAsia"/>
          <w:lang w:eastAsia="zh-CN"/>
        </w:rPr>
        <w:t>的约</w:t>
      </w:r>
      <w:r>
        <w:rPr>
          <w:lang w:eastAsia="zh-CN"/>
        </w:rPr>
        <w:t>定成立基金财产清算小组，履行基金财产清算程序。</w:t>
      </w:r>
    </w:p>
    <w:p w:rsidR="007B3F1C" w:rsidRDefault="00B91E63">
      <w:pPr>
        <w:pStyle w:val="a5"/>
        <w:overflowPunct w:val="0"/>
        <w:autoSpaceDE w:val="0"/>
        <w:autoSpaceDN w:val="0"/>
        <w:adjustRightInd w:val="0"/>
        <w:snapToGrid w:val="0"/>
        <w:spacing w:before="0" w:line="360" w:lineRule="auto"/>
        <w:ind w:left="0" w:firstLineChars="200" w:firstLine="480"/>
        <w:jc w:val="both"/>
        <w:rPr>
          <w:lang w:eastAsia="zh-CN"/>
        </w:rPr>
      </w:pPr>
      <w:r>
        <w:rPr>
          <w:rFonts w:hint="eastAsia"/>
          <w:lang w:eastAsia="zh-CN"/>
        </w:rPr>
        <w:t>3</w:t>
      </w:r>
      <w:r>
        <w:rPr>
          <w:lang w:eastAsia="zh-CN"/>
        </w:rPr>
        <w:t>、相关法律法规关于信息披露的披露方式、登载媒介、报备方式等规定发生变化时，本基金从其最新规定。</w:t>
      </w:r>
    </w:p>
    <w:p w:rsidR="007B3F1C" w:rsidRDefault="00B91E63">
      <w:pPr>
        <w:pStyle w:val="a5"/>
        <w:overflowPunct w:val="0"/>
        <w:autoSpaceDE w:val="0"/>
        <w:autoSpaceDN w:val="0"/>
        <w:adjustRightInd w:val="0"/>
        <w:snapToGrid w:val="0"/>
        <w:spacing w:before="0" w:line="360" w:lineRule="auto"/>
        <w:ind w:left="0" w:firstLineChars="200" w:firstLine="480"/>
        <w:jc w:val="both"/>
        <w:rPr>
          <w:lang w:eastAsia="zh-CN"/>
        </w:rPr>
      </w:pPr>
      <w:r>
        <w:rPr>
          <w:rFonts w:hint="eastAsia"/>
          <w:lang w:eastAsia="zh-CN"/>
        </w:rPr>
        <w:t>4</w:t>
      </w:r>
      <w:r>
        <w:rPr>
          <w:lang w:eastAsia="zh-CN"/>
        </w:rPr>
        <w:t>、</w:t>
      </w:r>
      <w:r>
        <w:rPr>
          <w:rFonts w:hint="eastAsia"/>
          <w:lang w:eastAsia="zh-CN"/>
        </w:rPr>
        <w:t>敬请投资者关注</w:t>
      </w:r>
      <w:r>
        <w:rPr>
          <w:rFonts w:hint="eastAsia"/>
          <w:lang w:eastAsia="zh-CN"/>
        </w:rPr>
        <w:t>本</w:t>
      </w:r>
      <w:r>
        <w:rPr>
          <w:rFonts w:hint="eastAsia"/>
          <w:lang w:eastAsia="zh-CN"/>
        </w:rPr>
        <w:t>基金的相关后续公告。</w:t>
      </w:r>
    </w:p>
    <w:p w:rsidR="007B3F1C" w:rsidRDefault="00B91E63">
      <w:pPr>
        <w:pStyle w:val="a5"/>
        <w:overflowPunct w:val="0"/>
        <w:autoSpaceDE w:val="0"/>
        <w:autoSpaceDN w:val="0"/>
        <w:adjustRightInd w:val="0"/>
        <w:snapToGrid w:val="0"/>
        <w:spacing w:before="0" w:line="360" w:lineRule="auto"/>
        <w:ind w:left="0" w:firstLineChars="200" w:firstLine="480"/>
        <w:jc w:val="both"/>
        <w:rPr>
          <w:lang w:eastAsia="zh-CN"/>
        </w:rPr>
      </w:pPr>
      <w:r>
        <w:rPr>
          <w:rFonts w:hint="eastAsia"/>
          <w:lang w:eastAsia="zh-CN"/>
        </w:rPr>
        <w:t>5</w:t>
      </w:r>
      <w:r>
        <w:rPr>
          <w:rFonts w:hint="eastAsia"/>
          <w:lang w:eastAsia="zh-CN"/>
        </w:rPr>
        <w:t>、</w:t>
      </w:r>
      <w:r>
        <w:rPr>
          <w:lang w:eastAsia="zh-CN"/>
        </w:rPr>
        <w:t>投资者欲了解本基金的详细情况，请认真阅读本基金基金合同、招募说明书及基金产品资料概要，投资者可通过以下途径咨询：</w:t>
      </w:r>
    </w:p>
    <w:p w:rsidR="007B3F1C" w:rsidRDefault="00B91E63">
      <w:pPr>
        <w:pStyle w:val="a5"/>
        <w:overflowPunct w:val="0"/>
        <w:autoSpaceDE w:val="0"/>
        <w:autoSpaceDN w:val="0"/>
        <w:adjustRightInd w:val="0"/>
        <w:snapToGrid w:val="0"/>
        <w:spacing w:before="0" w:line="360" w:lineRule="auto"/>
        <w:ind w:left="0" w:firstLineChars="200" w:firstLine="480"/>
        <w:jc w:val="both"/>
        <w:rPr>
          <w:lang w:eastAsia="zh-CN"/>
        </w:rPr>
      </w:pPr>
      <w:r>
        <w:rPr>
          <w:lang w:eastAsia="zh-CN"/>
        </w:rPr>
        <w:t>基金管理人网站：</w:t>
      </w:r>
      <w:r>
        <w:rPr>
          <w:rFonts w:hint="eastAsia"/>
          <w:lang w:eastAsia="zh-CN"/>
        </w:rPr>
        <w:t>www.bobbns.com</w:t>
      </w:r>
    </w:p>
    <w:p w:rsidR="007B3F1C" w:rsidRDefault="00B91E63">
      <w:pPr>
        <w:pStyle w:val="a5"/>
        <w:overflowPunct w:val="0"/>
        <w:autoSpaceDE w:val="0"/>
        <w:autoSpaceDN w:val="0"/>
        <w:adjustRightInd w:val="0"/>
        <w:snapToGrid w:val="0"/>
        <w:spacing w:before="0" w:line="360" w:lineRule="auto"/>
        <w:ind w:left="0" w:firstLineChars="200" w:firstLine="480"/>
        <w:jc w:val="both"/>
        <w:rPr>
          <w:lang w:eastAsia="zh-CN"/>
        </w:rPr>
      </w:pPr>
      <w:r>
        <w:rPr>
          <w:lang w:eastAsia="zh-CN"/>
        </w:rPr>
        <w:t>客服电话：</w:t>
      </w:r>
      <w:r>
        <w:rPr>
          <w:lang w:eastAsia="zh-CN"/>
        </w:rPr>
        <w:t>400-00-95526</w:t>
      </w:r>
    </w:p>
    <w:p w:rsidR="007B3F1C" w:rsidRDefault="00B91E63">
      <w:pPr>
        <w:pStyle w:val="a5"/>
        <w:overflowPunct w:val="0"/>
        <w:autoSpaceDE w:val="0"/>
        <w:autoSpaceDN w:val="0"/>
        <w:adjustRightInd w:val="0"/>
        <w:snapToGrid w:val="0"/>
        <w:spacing w:before="0" w:line="360" w:lineRule="auto"/>
        <w:ind w:left="0" w:firstLineChars="200" w:firstLine="480"/>
        <w:jc w:val="both"/>
        <w:rPr>
          <w:lang w:eastAsia="zh-CN"/>
        </w:rPr>
      </w:pPr>
      <w:r>
        <w:rPr>
          <w:rFonts w:hint="eastAsia"/>
          <w:lang w:eastAsia="zh-CN"/>
        </w:rPr>
        <w:t>风险提示：本基金管理人承诺以诚实信用、勤勉尽责的原则管理和运用基金资产，但不保证基金一定盈利，也不保证最低收益。敬请投资者于投资前认真阅读本基金的《基金合同》和《招募说明书》，并根据自身的投资目的、投资期限、投资经验、资产状况等判断基金是否和投资者的风险承受能力相适应，自主判断基金的投资价值，自主做出投资决策，自行承担投资风险。</w:t>
      </w:r>
    </w:p>
    <w:p w:rsidR="007B3F1C" w:rsidRDefault="007B3F1C">
      <w:pPr>
        <w:pStyle w:val="a5"/>
        <w:overflowPunct w:val="0"/>
        <w:autoSpaceDE w:val="0"/>
        <w:autoSpaceDN w:val="0"/>
        <w:adjustRightInd w:val="0"/>
        <w:snapToGrid w:val="0"/>
        <w:spacing w:before="0" w:line="360" w:lineRule="auto"/>
        <w:ind w:left="0"/>
        <w:jc w:val="both"/>
        <w:rPr>
          <w:lang w:eastAsia="zh-CN"/>
        </w:rPr>
      </w:pPr>
    </w:p>
    <w:p w:rsidR="007B3F1C" w:rsidRDefault="00B91E63">
      <w:pPr>
        <w:pStyle w:val="a5"/>
        <w:overflowPunct w:val="0"/>
        <w:autoSpaceDE w:val="0"/>
        <w:autoSpaceDN w:val="0"/>
        <w:adjustRightInd w:val="0"/>
        <w:snapToGrid w:val="0"/>
        <w:spacing w:before="0" w:line="360" w:lineRule="auto"/>
        <w:ind w:left="0" w:firstLineChars="200" w:firstLine="480"/>
        <w:jc w:val="both"/>
        <w:rPr>
          <w:lang w:eastAsia="zh-CN"/>
        </w:rPr>
      </w:pPr>
      <w:r>
        <w:t>特此公告。</w:t>
      </w:r>
    </w:p>
    <w:p w:rsidR="007B3F1C" w:rsidRDefault="007B3F1C">
      <w:pPr>
        <w:pStyle w:val="a5"/>
        <w:overflowPunct w:val="0"/>
        <w:autoSpaceDE w:val="0"/>
        <w:autoSpaceDN w:val="0"/>
        <w:adjustRightInd w:val="0"/>
        <w:snapToGrid w:val="0"/>
        <w:spacing w:before="0" w:line="360" w:lineRule="auto"/>
        <w:ind w:left="0" w:firstLineChars="200" w:firstLine="480"/>
        <w:jc w:val="both"/>
        <w:rPr>
          <w:lang w:eastAsia="zh-CN"/>
        </w:rPr>
      </w:pPr>
    </w:p>
    <w:p w:rsidR="007B3F1C" w:rsidRDefault="00B91E63">
      <w:pPr>
        <w:pStyle w:val="a5"/>
        <w:overflowPunct w:val="0"/>
        <w:autoSpaceDE w:val="0"/>
        <w:autoSpaceDN w:val="0"/>
        <w:adjustRightInd w:val="0"/>
        <w:snapToGrid w:val="0"/>
        <w:spacing w:before="0" w:line="360" w:lineRule="auto"/>
        <w:ind w:left="0" w:firstLineChars="200" w:firstLine="480"/>
        <w:jc w:val="right"/>
        <w:rPr>
          <w:lang w:eastAsia="zh-CN"/>
        </w:rPr>
      </w:pPr>
      <w:r>
        <w:t>中加基金管理有限公司</w:t>
      </w:r>
    </w:p>
    <w:p w:rsidR="007B3F1C" w:rsidRDefault="00B91E63">
      <w:pPr>
        <w:pStyle w:val="a5"/>
        <w:overflowPunct w:val="0"/>
        <w:autoSpaceDE w:val="0"/>
        <w:autoSpaceDN w:val="0"/>
        <w:adjustRightInd w:val="0"/>
        <w:snapToGrid w:val="0"/>
        <w:spacing w:before="0" w:line="360" w:lineRule="auto"/>
        <w:ind w:left="0" w:firstLineChars="200" w:firstLine="480"/>
        <w:jc w:val="right"/>
        <w:rPr>
          <w:sz w:val="21"/>
          <w:szCs w:val="21"/>
          <w:lang w:eastAsia="zh-CN"/>
        </w:rPr>
      </w:pPr>
      <w:r>
        <w:t>202</w:t>
      </w:r>
      <w:r>
        <w:rPr>
          <w:rFonts w:hint="eastAsia"/>
          <w:lang w:eastAsia="zh-CN"/>
        </w:rPr>
        <w:t>5</w:t>
      </w:r>
      <w:r>
        <w:t>年</w:t>
      </w:r>
      <w:r>
        <w:rPr>
          <w:rFonts w:hint="eastAsia"/>
          <w:lang w:eastAsia="zh-CN"/>
        </w:rPr>
        <w:t>11</w:t>
      </w:r>
      <w:r>
        <w:t>月</w:t>
      </w:r>
      <w:r>
        <w:rPr>
          <w:rFonts w:hint="eastAsia"/>
          <w:lang w:eastAsia="zh-CN"/>
        </w:rPr>
        <w:t>27</w:t>
      </w:r>
      <w:r>
        <w:rPr>
          <w:rFonts w:hint="eastAsia"/>
          <w:lang w:eastAsia="zh-CN"/>
        </w:rPr>
        <w:t>日</w:t>
      </w:r>
    </w:p>
    <w:sectPr w:rsidR="007B3F1C" w:rsidSect="007B3F1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D3C57"/>
    <w:rsid w:val="00044E89"/>
    <w:rsid w:val="00065EC7"/>
    <w:rsid w:val="0007591F"/>
    <w:rsid w:val="00087818"/>
    <w:rsid w:val="000D3720"/>
    <w:rsid w:val="000D5358"/>
    <w:rsid w:val="0014074C"/>
    <w:rsid w:val="00186775"/>
    <w:rsid w:val="001A6B7E"/>
    <w:rsid w:val="001B2CD1"/>
    <w:rsid w:val="001D4B42"/>
    <w:rsid w:val="001E1D9A"/>
    <w:rsid w:val="001F27D6"/>
    <w:rsid w:val="00223780"/>
    <w:rsid w:val="00246EAB"/>
    <w:rsid w:val="0025307A"/>
    <w:rsid w:val="00255861"/>
    <w:rsid w:val="002B084A"/>
    <w:rsid w:val="002F5353"/>
    <w:rsid w:val="003339A6"/>
    <w:rsid w:val="003B3DB7"/>
    <w:rsid w:val="00426825"/>
    <w:rsid w:val="00474C11"/>
    <w:rsid w:val="004823D0"/>
    <w:rsid w:val="0049436F"/>
    <w:rsid w:val="004977B2"/>
    <w:rsid w:val="004F6CAE"/>
    <w:rsid w:val="00517A1C"/>
    <w:rsid w:val="00535BD9"/>
    <w:rsid w:val="00537948"/>
    <w:rsid w:val="00577894"/>
    <w:rsid w:val="005F40A9"/>
    <w:rsid w:val="00651EE3"/>
    <w:rsid w:val="006A2B93"/>
    <w:rsid w:val="006A6F75"/>
    <w:rsid w:val="0071177B"/>
    <w:rsid w:val="00727B63"/>
    <w:rsid w:val="00781BAB"/>
    <w:rsid w:val="007B3F1C"/>
    <w:rsid w:val="007C429E"/>
    <w:rsid w:val="007F23AC"/>
    <w:rsid w:val="007F5CDF"/>
    <w:rsid w:val="00817CF7"/>
    <w:rsid w:val="0082785C"/>
    <w:rsid w:val="008365AD"/>
    <w:rsid w:val="008B55CD"/>
    <w:rsid w:val="008C53CC"/>
    <w:rsid w:val="008D6866"/>
    <w:rsid w:val="00963E3B"/>
    <w:rsid w:val="0097349D"/>
    <w:rsid w:val="009803C5"/>
    <w:rsid w:val="009E014A"/>
    <w:rsid w:val="009F0FAC"/>
    <w:rsid w:val="00A001F1"/>
    <w:rsid w:val="00A078C9"/>
    <w:rsid w:val="00A146DE"/>
    <w:rsid w:val="00AC30B0"/>
    <w:rsid w:val="00AD2531"/>
    <w:rsid w:val="00AF39BF"/>
    <w:rsid w:val="00B63739"/>
    <w:rsid w:val="00B73009"/>
    <w:rsid w:val="00B91E63"/>
    <w:rsid w:val="00BA1798"/>
    <w:rsid w:val="00BC08D2"/>
    <w:rsid w:val="00BD5028"/>
    <w:rsid w:val="00BE14F6"/>
    <w:rsid w:val="00BE560B"/>
    <w:rsid w:val="00C23AA6"/>
    <w:rsid w:val="00C33F47"/>
    <w:rsid w:val="00C719D9"/>
    <w:rsid w:val="00C94484"/>
    <w:rsid w:val="00D82772"/>
    <w:rsid w:val="00DE2143"/>
    <w:rsid w:val="00E86163"/>
    <w:rsid w:val="00EA50A0"/>
    <w:rsid w:val="00EB2184"/>
    <w:rsid w:val="00ED3C57"/>
    <w:rsid w:val="00F15EBE"/>
    <w:rsid w:val="00F24216"/>
    <w:rsid w:val="00F30A9D"/>
    <w:rsid w:val="00F72E61"/>
    <w:rsid w:val="00F73180"/>
    <w:rsid w:val="00F82E74"/>
    <w:rsid w:val="00FD5608"/>
    <w:rsid w:val="00FE77CB"/>
    <w:rsid w:val="00FF106C"/>
    <w:rsid w:val="065A0203"/>
    <w:rsid w:val="0A5120EF"/>
    <w:rsid w:val="0AA508C7"/>
    <w:rsid w:val="0E82490E"/>
    <w:rsid w:val="0F842DD5"/>
    <w:rsid w:val="154E2FD6"/>
    <w:rsid w:val="1597752A"/>
    <w:rsid w:val="190C6F54"/>
    <w:rsid w:val="1CAC1CE6"/>
    <w:rsid w:val="2A6B1EC0"/>
    <w:rsid w:val="30A26E7B"/>
    <w:rsid w:val="3B694C68"/>
    <w:rsid w:val="3F6D22A9"/>
    <w:rsid w:val="402E2135"/>
    <w:rsid w:val="40364AE3"/>
    <w:rsid w:val="44343B6C"/>
    <w:rsid w:val="486B73E7"/>
    <w:rsid w:val="52F46D9D"/>
    <w:rsid w:val="54AE2062"/>
    <w:rsid w:val="5C2247E5"/>
    <w:rsid w:val="60CF50AC"/>
    <w:rsid w:val="78033C38"/>
    <w:rsid w:val="7A647B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B3F1C"/>
    <w:pPr>
      <w:widowControl w:val="0"/>
    </w:pPr>
    <w:rPr>
      <w:rFonts w:ascii="Calibri" w:eastAsia="宋体"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7B3F1C"/>
    <w:rPr>
      <w:b/>
      <w:bCs/>
    </w:rPr>
  </w:style>
  <w:style w:type="paragraph" w:styleId="a4">
    <w:name w:val="annotation text"/>
    <w:basedOn w:val="a"/>
    <w:link w:val="Char0"/>
    <w:uiPriority w:val="99"/>
    <w:unhideWhenUsed/>
    <w:qFormat/>
    <w:rsid w:val="007B3F1C"/>
  </w:style>
  <w:style w:type="paragraph" w:styleId="a5">
    <w:name w:val="Body Text"/>
    <w:basedOn w:val="a"/>
    <w:link w:val="Char1"/>
    <w:qFormat/>
    <w:rsid w:val="007B3F1C"/>
    <w:pPr>
      <w:spacing w:before="135"/>
      <w:ind w:left="120"/>
    </w:pPr>
    <w:rPr>
      <w:rFonts w:ascii="宋体" w:hAnsi="宋体"/>
      <w:sz w:val="24"/>
      <w:szCs w:val="24"/>
    </w:rPr>
  </w:style>
  <w:style w:type="paragraph" w:styleId="a6">
    <w:name w:val="Balloon Text"/>
    <w:basedOn w:val="a"/>
    <w:link w:val="Char2"/>
    <w:uiPriority w:val="99"/>
    <w:unhideWhenUsed/>
    <w:qFormat/>
    <w:rsid w:val="007B3F1C"/>
    <w:rPr>
      <w:sz w:val="18"/>
      <w:szCs w:val="18"/>
    </w:rPr>
  </w:style>
  <w:style w:type="paragraph" w:styleId="a7">
    <w:name w:val="footer"/>
    <w:basedOn w:val="a"/>
    <w:link w:val="Char3"/>
    <w:uiPriority w:val="99"/>
    <w:unhideWhenUsed/>
    <w:qFormat/>
    <w:rsid w:val="007B3F1C"/>
    <w:pPr>
      <w:tabs>
        <w:tab w:val="center" w:pos="4153"/>
        <w:tab w:val="right" w:pos="8306"/>
      </w:tabs>
      <w:snapToGrid w:val="0"/>
    </w:pPr>
    <w:rPr>
      <w:rFonts w:asciiTheme="minorHAnsi" w:eastAsiaTheme="minorEastAsia" w:hAnsiTheme="minorHAnsi" w:cstheme="minorBidi"/>
      <w:kern w:val="2"/>
      <w:sz w:val="18"/>
      <w:szCs w:val="18"/>
      <w:lang w:eastAsia="zh-CN"/>
    </w:rPr>
  </w:style>
  <w:style w:type="paragraph" w:styleId="a8">
    <w:name w:val="header"/>
    <w:basedOn w:val="a"/>
    <w:link w:val="Char4"/>
    <w:uiPriority w:val="99"/>
    <w:unhideWhenUsed/>
    <w:qFormat/>
    <w:rsid w:val="007B3F1C"/>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styleId="a9">
    <w:name w:val="FollowedHyperlink"/>
    <w:basedOn w:val="a0"/>
    <w:uiPriority w:val="99"/>
    <w:unhideWhenUsed/>
    <w:qFormat/>
    <w:rsid w:val="007B3F1C"/>
    <w:rPr>
      <w:color w:val="800080" w:themeColor="followedHyperlink"/>
      <w:u w:val="single"/>
    </w:rPr>
  </w:style>
  <w:style w:type="character" w:styleId="aa">
    <w:name w:val="Hyperlink"/>
    <w:basedOn w:val="a0"/>
    <w:uiPriority w:val="99"/>
    <w:unhideWhenUsed/>
    <w:qFormat/>
    <w:rsid w:val="007B3F1C"/>
    <w:rPr>
      <w:color w:val="0000FF" w:themeColor="hyperlink"/>
      <w:u w:val="single"/>
    </w:rPr>
  </w:style>
  <w:style w:type="character" w:styleId="ab">
    <w:name w:val="annotation reference"/>
    <w:basedOn w:val="a0"/>
    <w:uiPriority w:val="99"/>
    <w:unhideWhenUsed/>
    <w:qFormat/>
    <w:rsid w:val="007B3F1C"/>
    <w:rPr>
      <w:sz w:val="21"/>
      <w:szCs w:val="21"/>
    </w:rPr>
  </w:style>
  <w:style w:type="character" w:customStyle="1" w:styleId="Char4">
    <w:name w:val="页眉 Char"/>
    <w:basedOn w:val="a0"/>
    <w:link w:val="a8"/>
    <w:uiPriority w:val="99"/>
    <w:qFormat/>
    <w:rsid w:val="007B3F1C"/>
    <w:rPr>
      <w:sz w:val="18"/>
      <w:szCs w:val="18"/>
    </w:rPr>
  </w:style>
  <w:style w:type="character" w:customStyle="1" w:styleId="Char3">
    <w:name w:val="页脚 Char"/>
    <w:basedOn w:val="a0"/>
    <w:link w:val="a7"/>
    <w:uiPriority w:val="99"/>
    <w:qFormat/>
    <w:rsid w:val="007B3F1C"/>
    <w:rPr>
      <w:sz w:val="18"/>
      <w:szCs w:val="18"/>
    </w:rPr>
  </w:style>
  <w:style w:type="character" w:customStyle="1" w:styleId="Char1">
    <w:name w:val="正文文本 Char"/>
    <w:basedOn w:val="a0"/>
    <w:link w:val="a5"/>
    <w:qFormat/>
    <w:rsid w:val="007B3F1C"/>
    <w:rPr>
      <w:rFonts w:ascii="宋体" w:eastAsia="宋体" w:hAnsi="宋体" w:cs="Times New Roman"/>
      <w:kern w:val="0"/>
      <w:sz w:val="24"/>
      <w:szCs w:val="24"/>
    </w:rPr>
  </w:style>
  <w:style w:type="paragraph" w:customStyle="1" w:styleId="11">
    <w:name w:val="标题 11"/>
    <w:basedOn w:val="a"/>
    <w:uiPriority w:val="1"/>
    <w:qFormat/>
    <w:rsid w:val="007B3F1C"/>
    <w:pPr>
      <w:ind w:left="602"/>
      <w:outlineLvl w:val="1"/>
    </w:pPr>
    <w:rPr>
      <w:rFonts w:ascii="宋体" w:hAnsi="宋体"/>
      <w:b/>
      <w:bCs/>
      <w:sz w:val="24"/>
      <w:szCs w:val="24"/>
    </w:rPr>
  </w:style>
  <w:style w:type="character" w:customStyle="1" w:styleId="Char0">
    <w:name w:val="批注文字 Char"/>
    <w:basedOn w:val="a0"/>
    <w:link w:val="a4"/>
    <w:uiPriority w:val="99"/>
    <w:semiHidden/>
    <w:qFormat/>
    <w:rsid w:val="007B3F1C"/>
    <w:rPr>
      <w:rFonts w:ascii="Calibri" w:eastAsia="宋体" w:hAnsi="Calibri" w:cs="Times New Roman"/>
      <w:kern w:val="0"/>
      <w:sz w:val="22"/>
      <w:lang w:eastAsia="en-US"/>
    </w:rPr>
  </w:style>
  <w:style w:type="character" w:customStyle="1" w:styleId="Char">
    <w:name w:val="批注主题 Char"/>
    <w:basedOn w:val="Char0"/>
    <w:link w:val="a3"/>
    <w:uiPriority w:val="99"/>
    <w:semiHidden/>
    <w:qFormat/>
    <w:rsid w:val="007B3F1C"/>
    <w:rPr>
      <w:rFonts w:ascii="Calibri" w:eastAsia="宋体" w:hAnsi="Calibri" w:cs="Times New Roman"/>
      <w:b/>
      <w:bCs/>
      <w:kern w:val="0"/>
      <w:sz w:val="22"/>
      <w:lang w:eastAsia="en-US"/>
    </w:rPr>
  </w:style>
  <w:style w:type="character" w:customStyle="1" w:styleId="Char2">
    <w:name w:val="批注框文本 Char"/>
    <w:basedOn w:val="a0"/>
    <w:link w:val="a6"/>
    <w:uiPriority w:val="99"/>
    <w:semiHidden/>
    <w:qFormat/>
    <w:rsid w:val="007B3F1C"/>
    <w:rPr>
      <w:rFonts w:ascii="Calibri" w:eastAsia="宋体" w:hAnsi="Calibri" w:cs="Times New Roman"/>
      <w:kern w:val="0"/>
      <w:sz w:val="18"/>
      <w:szCs w:val="18"/>
      <w:lang w:eastAsia="en-US"/>
    </w:rPr>
  </w:style>
  <w:style w:type="character" w:customStyle="1" w:styleId="UnresolvedMention">
    <w:name w:val="Unresolved Mention"/>
    <w:basedOn w:val="a0"/>
    <w:uiPriority w:val="99"/>
    <w:unhideWhenUsed/>
    <w:qFormat/>
    <w:rsid w:val="007B3F1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1057</Characters>
  <Application>Microsoft Office Word</Application>
  <DocSecurity>4</DocSecurity>
  <Lines>8</Lines>
  <Paragraphs>2</Paragraphs>
  <ScaleCrop>false</ScaleCrop>
  <Company>CNSTOCK</Company>
  <LinksUpToDate>false</LinksUpToDate>
  <CharactersWithSpaces>1240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庞淼</dc:creator>
  <cp:lastModifiedBy>ZHONGM</cp:lastModifiedBy>
  <cp:revision>2</cp:revision>
  <dcterms:created xsi:type="dcterms:W3CDTF">2025-11-26T16:02:00Z</dcterms:created>
  <dcterms:modified xsi:type="dcterms:W3CDTF">2025-11-26T16:02:00Z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KSOTemplateDocerSaveRecord">
    <vt:lpwstr>eyJoZGlkIjoiNTRiY2E4NGI4YjE5MTQ2NzY5MTkzMTM5ZTE5MWRjZWIiLCJ1c2VySWQiOiIyMDU1MTg4MjkifQ==</vt:lpwstr>
  </property>
  <property fmtid="{D5CDD505-2E9C-101B-9397-08002B2CF9AE}" pid="4" name="ICV">
    <vt:lpwstr>6A1DE548F40945B281FC8D9C911879EA_12</vt:lpwstr>
  </property>
</Properties>
</file>