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00000" w:rsidRDefault="006F7C86">
      <w:pPr>
        <w:jc w:val="center"/>
        <w:rPr>
          <w:rFonts w:ascii="宋体" w:hAnsi="宋体" w:hint="eastAsia"/>
          <w:b/>
          <w:sz w:val="32"/>
          <w:szCs w:val="32"/>
        </w:rPr>
      </w:pPr>
      <w:r>
        <w:rPr>
          <w:rFonts w:ascii="宋体" w:hAnsi="宋体" w:hint="eastAsia"/>
          <w:b/>
          <w:sz w:val="32"/>
          <w:szCs w:val="32"/>
        </w:rPr>
        <w:t>银华尊和养老目标日期</w:t>
      </w:r>
      <w:r>
        <w:rPr>
          <w:rFonts w:ascii="宋体" w:hAnsi="宋体" w:hint="eastAsia"/>
          <w:b/>
          <w:sz w:val="32"/>
          <w:szCs w:val="32"/>
        </w:rPr>
        <w:t>2040</w:t>
      </w:r>
      <w:r>
        <w:rPr>
          <w:rFonts w:ascii="宋体" w:hAnsi="宋体" w:hint="eastAsia"/>
          <w:b/>
          <w:sz w:val="32"/>
          <w:szCs w:val="32"/>
        </w:rPr>
        <w:t>三年持有期混合型发起式基金中基金（</w:t>
      </w:r>
      <w:r>
        <w:rPr>
          <w:rFonts w:ascii="宋体" w:hAnsi="宋体" w:hint="eastAsia"/>
          <w:b/>
          <w:sz w:val="32"/>
          <w:szCs w:val="32"/>
        </w:rPr>
        <w:t>FOF</w:t>
      </w:r>
      <w:r>
        <w:rPr>
          <w:rFonts w:ascii="宋体" w:hAnsi="宋体" w:hint="eastAsia"/>
          <w:b/>
          <w:sz w:val="32"/>
          <w:szCs w:val="32"/>
        </w:rPr>
        <w:t>）</w:t>
      </w:r>
      <w:r>
        <w:rPr>
          <w:rFonts w:ascii="宋体" w:hAnsi="宋体" w:hint="eastAsia"/>
          <w:b/>
          <w:sz w:val="32"/>
          <w:szCs w:val="32"/>
        </w:rPr>
        <w:t>Y</w:t>
      </w:r>
      <w:r>
        <w:rPr>
          <w:rFonts w:ascii="宋体" w:hAnsi="宋体" w:hint="eastAsia"/>
          <w:b/>
          <w:sz w:val="32"/>
          <w:szCs w:val="32"/>
        </w:rPr>
        <w:t>类基金份额</w:t>
      </w:r>
      <w:r>
        <w:rPr>
          <w:rFonts w:ascii="宋体" w:hAnsi="宋体" w:hint="eastAsia"/>
          <w:b/>
          <w:sz w:val="32"/>
          <w:szCs w:val="32"/>
        </w:rPr>
        <w:t>开放日常赎回业务的公告</w:t>
      </w:r>
      <w:bookmarkStart w:id="0" w:name="t_2_0_0002_a2_fm1"/>
      <w:bookmarkEnd w:id="0"/>
    </w:p>
    <w:p w:rsidR="00000000" w:rsidRDefault="006F7C86">
      <w:pPr>
        <w:jc w:val="center"/>
        <w:rPr>
          <w:rFonts w:ascii="宋体" w:hAnsi="宋体" w:hint="eastAsia"/>
          <w:b/>
          <w:sz w:val="32"/>
          <w:szCs w:val="32"/>
        </w:rPr>
      </w:pPr>
    </w:p>
    <w:p w:rsidR="00000000" w:rsidRDefault="006F7C86">
      <w:pPr>
        <w:jc w:val="center"/>
        <w:rPr>
          <w:rFonts w:ascii="宋体" w:hAnsi="宋体" w:hint="eastAsia"/>
          <w:b/>
          <w:sz w:val="28"/>
          <w:szCs w:val="28"/>
        </w:rPr>
      </w:pPr>
      <w:r>
        <w:rPr>
          <w:rFonts w:ascii="宋体" w:hAnsi="宋体" w:hint="eastAsia"/>
          <w:b/>
          <w:sz w:val="28"/>
          <w:szCs w:val="28"/>
        </w:rPr>
        <w:t>公告</w:t>
      </w:r>
      <w:r>
        <w:rPr>
          <w:rFonts w:ascii="宋体" w:hAnsi="宋体"/>
          <w:b/>
          <w:sz w:val="28"/>
          <w:szCs w:val="28"/>
        </w:rPr>
        <w:t>送出日期：</w:t>
      </w:r>
      <w:bookmarkStart w:id="1" w:name="t_2_0_0003_a1_fm1"/>
      <w:bookmarkEnd w:id="1"/>
      <w:r>
        <w:rPr>
          <w:rFonts w:ascii="宋体" w:hAnsi="宋体"/>
          <w:b/>
          <w:sz w:val="28"/>
          <w:szCs w:val="28"/>
        </w:rPr>
        <w:t>20</w:t>
      </w:r>
      <w:r>
        <w:rPr>
          <w:rFonts w:ascii="宋体" w:hAnsi="宋体" w:hint="eastAsia"/>
          <w:b/>
          <w:sz w:val="28"/>
          <w:szCs w:val="28"/>
        </w:rPr>
        <w:t>2</w:t>
      </w:r>
      <w:r>
        <w:rPr>
          <w:rFonts w:ascii="宋体" w:hAnsi="宋体" w:hint="eastAsia"/>
          <w:b/>
          <w:sz w:val="28"/>
          <w:szCs w:val="28"/>
        </w:rPr>
        <w:t>5</w:t>
      </w:r>
      <w:r>
        <w:rPr>
          <w:rFonts w:ascii="宋体" w:hAnsi="宋体"/>
          <w:b/>
          <w:sz w:val="28"/>
          <w:szCs w:val="28"/>
        </w:rPr>
        <w:t>年</w:t>
      </w:r>
      <w:r>
        <w:rPr>
          <w:rFonts w:ascii="宋体" w:hAnsi="宋体" w:hint="eastAsia"/>
          <w:b/>
          <w:sz w:val="28"/>
          <w:szCs w:val="28"/>
        </w:rPr>
        <w:t>11</w:t>
      </w:r>
      <w:r>
        <w:rPr>
          <w:rFonts w:ascii="宋体" w:hAnsi="宋体"/>
          <w:b/>
          <w:sz w:val="28"/>
          <w:szCs w:val="28"/>
        </w:rPr>
        <w:t>月</w:t>
      </w:r>
      <w:r>
        <w:rPr>
          <w:rFonts w:ascii="宋体" w:hAnsi="宋体" w:hint="eastAsia"/>
          <w:b/>
          <w:sz w:val="28"/>
          <w:szCs w:val="28"/>
        </w:rPr>
        <w:t>2</w:t>
      </w:r>
      <w:r>
        <w:rPr>
          <w:rFonts w:ascii="宋体" w:hAnsi="宋体" w:hint="eastAsia"/>
          <w:b/>
          <w:sz w:val="28"/>
          <w:szCs w:val="28"/>
        </w:rPr>
        <w:t>6</w:t>
      </w:r>
      <w:r>
        <w:rPr>
          <w:rFonts w:ascii="宋体" w:hAnsi="宋体"/>
          <w:b/>
          <w:sz w:val="28"/>
          <w:szCs w:val="28"/>
        </w:rPr>
        <w:t>日</w:t>
      </w:r>
    </w:p>
    <w:p w:rsidR="00000000" w:rsidRDefault="006F7C86">
      <w:pPr>
        <w:pStyle w:val="2"/>
        <w:spacing w:beforeLines="50" w:afterLines="50" w:line="240" w:lineRule="auto"/>
        <w:rPr>
          <w:rFonts w:ascii="宋体" w:eastAsia="宋体" w:hAnsi="宋体" w:hint="eastAsia"/>
          <w:bCs/>
          <w:sz w:val="24"/>
          <w:szCs w:val="24"/>
        </w:rPr>
      </w:pPr>
      <w:r>
        <w:rPr>
          <w:rFonts w:ascii="宋体" w:eastAsia="宋体" w:hAnsi="宋体" w:hint="eastAsia"/>
          <w:bCs/>
          <w:sz w:val="24"/>
          <w:szCs w:val="24"/>
        </w:rPr>
        <w:t>1</w:t>
      </w:r>
      <w:bookmarkStart w:id="2" w:name="t_2_1_table"/>
      <w:bookmarkEnd w:id="2"/>
      <w:r>
        <w:rPr>
          <w:rFonts w:ascii="宋体" w:eastAsia="宋体" w:hAnsi="宋体" w:hint="eastAsia"/>
          <w:bCs/>
          <w:sz w:val="24"/>
          <w:szCs w:val="24"/>
        </w:rPr>
        <w:t>公告基本信息</w:t>
      </w:r>
    </w:p>
    <w:tbl>
      <w:tblPr>
        <w:tblW w:w="866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980"/>
        <w:gridCol w:w="2815"/>
        <w:gridCol w:w="2866"/>
      </w:tblGrid>
      <w:tr w:rsidR="00000000">
        <w:tc>
          <w:tcPr>
            <w:tcW w:w="2980" w:type="dxa"/>
          </w:tcPr>
          <w:p w:rsidR="00000000" w:rsidRDefault="006F7C86">
            <w:pPr>
              <w:rPr>
                <w:rFonts w:ascii="宋体" w:hAnsi="宋体" w:hint="eastAsia"/>
                <w:szCs w:val="21"/>
              </w:rPr>
            </w:pPr>
            <w:r>
              <w:rPr>
                <w:rFonts w:ascii="宋体" w:hAnsi="宋体" w:hint="eastAsia"/>
                <w:szCs w:val="21"/>
              </w:rPr>
              <w:t>基金名称</w:t>
            </w:r>
          </w:p>
        </w:tc>
        <w:tc>
          <w:tcPr>
            <w:tcW w:w="5681" w:type="dxa"/>
            <w:gridSpan w:val="2"/>
          </w:tcPr>
          <w:p w:rsidR="00000000" w:rsidRDefault="006F7C86">
            <w:pPr>
              <w:rPr>
                <w:rFonts w:ascii="宋体" w:hAnsi="宋体" w:hint="eastAsia"/>
                <w:szCs w:val="21"/>
              </w:rPr>
            </w:pPr>
            <w:bookmarkStart w:id="3" w:name="t_2_1_0009_a1_fm1"/>
            <w:bookmarkEnd w:id="3"/>
            <w:r>
              <w:rPr>
                <w:rFonts w:hint="eastAsia"/>
              </w:rPr>
              <w:t>银华尊和养老目标日期</w:t>
            </w:r>
            <w:r>
              <w:rPr>
                <w:rFonts w:hint="eastAsia"/>
              </w:rPr>
              <w:t>2040</w:t>
            </w:r>
            <w:r>
              <w:rPr>
                <w:rFonts w:hint="eastAsia"/>
              </w:rPr>
              <w:t>三年持有期混合型发起式基金中基金（</w:t>
            </w:r>
            <w:r>
              <w:rPr>
                <w:rFonts w:hint="eastAsia"/>
              </w:rPr>
              <w:t>FOF</w:t>
            </w:r>
            <w:r>
              <w:rPr>
                <w:rFonts w:hint="eastAsia"/>
              </w:rPr>
              <w:t>）</w:t>
            </w:r>
          </w:p>
        </w:tc>
      </w:tr>
      <w:tr w:rsidR="00000000">
        <w:tc>
          <w:tcPr>
            <w:tcW w:w="2980" w:type="dxa"/>
          </w:tcPr>
          <w:p w:rsidR="00000000" w:rsidRDefault="006F7C86">
            <w:pPr>
              <w:rPr>
                <w:rFonts w:ascii="宋体" w:hAnsi="宋体" w:hint="eastAsia"/>
                <w:szCs w:val="21"/>
              </w:rPr>
            </w:pPr>
            <w:r>
              <w:rPr>
                <w:rFonts w:ascii="宋体" w:hAnsi="宋体" w:hint="eastAsia"/>
                <w:szCs w:val="21"/>
              </w:rPr>
              <w:t>基金简称</w:t>
            </w:r>
          </w:p>
        </w:tc>
        <w:tc>
          <w:tcPr>
            <w:tcW w:w="5681" w:type="dxa"/>
            <w:gridSpan w:val="2"/>
          </w:tcPr>
          <w:p w:rsidR="00000000" w:rsidRDefault="006F7C86">
            <w:pPr>
              <w:rPr>
                <w:rFonts w:ascii="宋体" w:hAnsi="宋体" w:hint="eastAsia"/>
                <w:szCs w:val="21"/>
              </w:rPr>
            </w:pPr>
            <w:bookmarkStart w:id="4" w:name="t_2_1_0011_a1_fm1"/>
            <w:bookmarkEnd w:id="4"/>
            <w:r>
              <w:rPr>
                <w:rFonts w:ascii="宋体" w:hAnsi="宋体" w:hint="eastAsia"/>
                <w:szCs w:val="21"/>
              </w:rPr>
              <w:t>银华尊和养老</w:t>
            </w:r>
            <w:r>
              <w:rPr>
                <w:rFonts w:ascii="宋体" w:hAnsi="宋体" w:hint="eastAsia"/>
                <w:szCs w:val="21"/>
              </w:rPr>
              <w:t>2040</w:t>
            </w:r>
            <w:r>
              <w:rPr>
                <w:rFonts w:ascii="宋体" w:hAnsi="宋体" w:hint="eastAsia"/>
                <w:szCs w:val="21"/>
              </w:rPr>
              <w:t>三年持有混合发起式（</w:t>
            </w:r>
            <w:r>
              <w:rPr>
                <w:rFonts w:ascii="宋体" w:hAnsi="宋体" w:hint="eastAsia"/>
                <w:szCs w:val="21"/>
              </w:rPr>
              <w:t>FOF</w:t>
            </w:r>
            <w:r>
              <w:rPr>
                <w:rFonts w:ascii="宋体" w:hAnsi="宋体" w:hint="eastAsia"/>
                <w:szCs w:val="21"/>
              </w:rPr>
              <w:t>）</w:t>
            </w:r>
          </w:p>
        </w:tc>
      </w:tr>
      <w:tr w:rsidR="00000000">
        <w:tc>
          <w:tcPr>
            <w:tcW w:w="2980" w:type="dxa"/>
          </w:tcPr>
          <w:p w:rsidR="00000000" w:rsidRDefault="006F7C86">
            <w:pPr>
              <w:rPr>
                <w:rFonts w:ascii="宋体" w:hAnsi="宋体" w:hint="eastAsia"/>
                <w:szCs w:val="21"/>
              </w:rPr>
            </w:pPr>
            <w:r>
              <w:rPr>
                <w:rFonts w:ascii="宋体" w:hAnsi="宋体" w:hint="eastAsia"/>
                <w:szCs w:val="21"/>
              </w:rPr>
              <w:t>基金主代码</w:t>
            </w:r>
          </w:p>
        </w:tc>
        <w:tc>
          <w:tcPr>
            <w:tcW w:w="5681" w:type="dxa"/>
            <w:gridSpan w:val="2"/>
          </w:tcPr>
          <w:p w:rsidR="00000000" w:rsidRDefault="006F7C86">
            <w:pPr>
              <w:rPr>
                <w:rFonts w:ascii="宋体" w:hAnsi="宋体"/>
                <w:szCs w:val="21"/>
              </w:rPr>
            </w:pPr>
            <w:bookmarkStart w:id="5" w:name="t_2_1_0012_a1_fm1"/>
            <w:bookmarkEnd w:id="5"/>
            <w:r>
              <w:rPr>
                <w:rFonts w:ascii="宋体" w:hAnsi="宋体" w:hint="eastAsia"/>
                <w:szCs w:val="21"/>
              </w:rPr>
              <w:t>0</w:t>
            </w:r>
            <w:r>
              <w:rPr>
                <w:rFonts w:ascii="宋体" w:hAnsi="宋体" w:hint="eastAsia"/>
                <w:szCs w:val="21"/>
              </w:rPr>
              <w:t>07780</w:t>
            </w:r>
          </w:p>
        </w:tc>
      </w:tr>
      <w:tr w:rsidR="00000000">
        <w:tc>
          <w:tcPr>
            <w:tcW w:w="2980" w:type="dxa"/>
          </w:tcPr>
          <w:p w:rsidR="00000000" w:rsidRDefault="006F7C86">
            <w:pPr>
              <w:rPr>
                <w:rFonts w:ascii="宋体" w:hAnsi="宋体" w:hint="eastAsia"/>
                <w:szCs w:val="21"/>
              </w:rPr>
            </w:pPr>
            <w:r>
              <w:rPr>
                <w:rFonts w:ascii="宋体" w:hAnsi="宋体" w:hint="eastAsia"/>
                <w:szCs w:val="21"/>
              </w:rPr>
              <w:t>基金运作方式</w:t>
            </w:r>
          </w:p>
        </w:tc>
        <w:tc>
          <w:tcPr>
            <w:tcW w:w="5681" w:type="dxa"/>
            <w:gridSpan w:val="2"/>
          </w:tcPr>
          <w:p w:rsidR="00000000" w:rsidRDefault="006F7C86">
            <w:pPr>
              <w:rPr>
                <w:rFonts w:ascii="宋体" w:hAnsi="宋体"/>
                <w:szCs w:val="21"/>
              </w:rPr>
            </w:pPr>
            <w:bookmarkStart w:id="6" w:name="t_2_1_0017_a1_fm1"/>
            <w:bookmarkEnd w:id="6"/>
            <w:r>
              <w:rPr>
                <w:rFonts w:ascii="宋体" w:hAnsi="宋体" w:hint="eastAsia"/>
                <w:szCs w:val="21"/>
              </w:rPr>
              <w:t>契约型开放式</w:t>
            </w:r>
          </w:p>
        </w:tc>
      </w:tr>
      <w:tr w:rsidR="00000000">
        <w:tc>
          <w:tcPr>
            <w:tcW w:w="2980" w:type="dxa"/>
          </w:tcPr>
          <w:p w:rsidR="00000000" w:rsidRDefault="006F7C86">
            <w:pPr>
              <w:rPr>
                <w:rFonts w:ascii="宋体" w:hAnsi="宋体" w:hint="eastAsia"/>
                <w:szCs w:val="21"/>
              </w:rPr>
            </w:pPr>
            <w:r>
              <w:rPr>
                <w:rFonts w:ascii="宋体" w:hAnsi="宋体" w:hint="eastAsia"/>
                <w:szCs w:val="21"/>
              </w:rPr>
              <w:t>基金合同生效日</w:t>
            </w:r>
          </w:p>
        </w:tc>
        <w:tc>
          <w:tcPr>
            <w:tcW w:w="5681" w:type="dxa"/>
            <w:gridSpan w:val="2"/>
          </w:tcPr>
          <w:p w:rsidR="00000000" w:rsidRDefault="006F7C86">
            <w:pPr>
              <w:rPr>
                <w:rFonts w:ascii="宋体" w:hAnsi="宋体" w:hint="eastAsia"/>
                <w:szCs w:val="21"/>
              </w:rPr>
            </w:pPr>
            <w:bookmarkStart w:id="7" w:name="t_2_1_0018_a1_fm1"/>
            <w:bookmarkEnd w:id="7"/>
            <w:r>
              <w:rPr>
                <w:rFonts w:ascii="宋体" w:hAnsi="宋体" w:hint="eastAsia"/>
                <w:szCs w:val="21"/>
              </w:rPr>
              <w:t>20</w:t>
            </w:r>
            <w:r>
              <w:rPr>
                <w:rFonts w:ascii="宋体" w:hAnsi="宋体" w:hint="eastAsia"/>
                <w:szCs w:val="21"/>
              </w:rPr>
              <w:t>19</w:t>
            </w:r>
            <w:r>
              <w:rPr>
                <w:rFonts w:ascii="宋体" w:hAnsi="宋体" w:hint="eastAsia"/>
                <w:szCs w:val="21"/>
              </w:rPr>
              <w:t>年</w:t>
            </w:r>
            <w:r>
              <w:rPr>
                <w:rFonts w:ascii="宋体" w:hAnsi="宋体" w:hint="eastAsia"/>
                <w:szCs w:val="21"/>
              </w:rPr>
              <w:t>8</w:t>
            </w:r>
            <w:r>
              <w:rPr>
                <w:rFonts w:ascii="宋体" w:hAnsi="宋体" w:hint="eastAsia"/>
                <w:szCs w:val="21"/>
              </w:rPr>
              <w:t>月</w:t>
            </w:r>
            <w:r>
              <w:rPr>
                <w:rFonts w:ascii="宋体" w:hAnsi="宋体" w:hint="eastAsia"/>
                <w:szCs w:val="21"/>
              </w:rPr>
              <w:t>16</w:t>
            </w:r>
            <w:r>
              <w:rPr>
                <w:rFonts w:ascii="宋体" w:hAnsi="宋体" w:hint="eastAsia"/>
                <w:szCs w:val="21"/>
              </w:rPr>
              <w:t>日</w:t>
            </w:r>
          </w:p>
        </w:tc>
      </w:tr>
      <w:tr w:rsidR="00000000">
        <w:tc>
          <w:tcPr>
            <w:tcW w:w="2980" w:type="dxa"/>
          </w:tcPr>
          <w:p w:rsidR="00000000" w:rsidRDefault="006F7C86">
            <w:pPr>
              <w:rPr>
                <w:rFonts w:ascii="宋体" w:hAnsi="宋体" w:hint="eastAsia"/>
                <w:szCs w:val="21"/>
              </w:rPr>
            </w:pPr>
            <w:r>
              <w:rPr>
                <w:rFonts w:ascii="宋体" w:hAnsi="宋体" w:hint="eastAsia"/>
                <w:szCs w:val="21"/>
              </w:rPr>
              <w:t>基金管理人名称</w:t>
            </w:r>
          </w:p>
        </w:tc>
        <w:tc>
          <w:tcPr>
            <w:tcW w:w="5681" w:type="dxa"/>
            <w:gridSpan w:val="2"/>
          </w:tcPr>
          <w:p w:rsidR="00000000" w:rsidRDefault="006F7C86">
            <w:pPr>
              <w:rPr>
                <w:rFonts w:ascii="宋体" w:hAnsi="宋体" w:hint="eastAsia"/>
                <w:szCs w:val="21"/>
              </w:rPr>
            </w:pPr>
            <w:bookmarkStart w:id="8" w:name="t_2_1_0186_a1_fm1"/>
            <w:bookmarkEnd w:id="8"/>
            <w:r>
              <w:rPr>
                <w:rFonts w:ascii="宋体" w:hAnsi="宋体" w:hint="eastAsia"/>
                <w:szCs w:val="21"/>
              </w:rPr>
              <w:t>银华基金管理股份有限公司</w:t>
            </w:r>
          </w:p>
        </w:tc>
      </w:tr>
      <w:tr w:rsidR="00000000">
        <w:trPr>
          <w:trHeight w:val="293"/>
        </w:trPr>
        <w:tc>
          <w:tcPr>
            <w:tcW w:w="2980" w:type="dxa"/>
          </w:tcPr>
          <w:p w:rsidR="00000000" w:rsidRDefault="006F7C86">
            <w:pPr>
              <w:rPr>
                <w:rFonts w:ascii="宋体" w:hAnsi="宋体" w:hint="eastAsia"/>
                <w:szCs w:val="21"/>
              </w:rPr>
            </w:pPr>
            <w:r>
              <w:rPr>
                <w:rFonts w:ascii="宋体" w:hAnsi="宋体" w:hint="eastAsia"/>
                <w:szCs w:val="21"/>
              </w:rPr>
              <w:t>基金托管人名称</w:t>
            </w:r>
          </w:p>
        </w:tc>
        <w:tc>
          <w:tcPr>
            <w:tcW w:w="5681" w:type="dxa"/>
            <w:gridSpan w:val="2"/>
          </w:tcPr>
          <w:p w:rsidR="00000000" w:rsidRDefault="006F7C86">
            <w:pPr>
              <w:rPr>
                <w:rFonts w:ascii="宋体" w:hAnsi="宋体" w:hint="eastAsia"/>
                <w:szCs w:val="21"/>
              </w:rPr>
            </w:pPr>
            <w:bookmarkStart w:id="9" w:name="t_2_1_0213_a1_fm1"/>
            <w:bookmarkEnd w:id="9"/>
            <w:r>
              <w:rPr>
                <w:rFonts w:ascii="宋体" w:hAnsi="宋体" w:hint="eastAsia"/>
                <w:szCs w:val="21"/>
              </w:rPr>
              <w:t>中国</w:t>
            </w:r>
            <w:r>
              <w:rPr>
                <w:rFonts w:ascii="宋体" w:hAnsi="宋体" w:hint="eastAsia"/>
                <w:szCs w:val="21"/>
              </w:rPr>
              <w:t>银行股份有限公司</w:t>
            </w:r>
          </w:p>
        </w:tc>
      </w:tr>
      <w:tr w:rsidR="00000000">
        <w:tc>
          <w:tcPr>
            <w:tcW w:w="2980" w:type="dxa"/>
          </w:tcPr>
          <w:p w:rsidR="00000000" w:rsidRDefault="006F7C86">
            <w:pPr>
              <w:rPr>
                <w:rFonts w:ascii="宋体" w:hAnsi="宋体" w:hint="eastAsia"/>
                <w:szCs w:val="21"/>
              </w:rPr>
            </w:pPr>
            <w:r>
              <w:rPr>
                <w:rFonts w:ascii="宋体" w:hAnsi="宋体" w:hint="eastAsia"/>
                <w:szCs w:val="21"/>
              </w:rPr>
              <w:t>基金注册登记机构名称</w:t>
            </w:r>
          </w:p>
        </w:tc>
        <w:tc>
          <w:tcPr>
            <w:tcW w:w="5681" w:type="dxa"/>
            <w:gridSpan w:val="2"/>
          </w:tcPr>
          <w:p w:rsidR="00000000" w:rsidRDefault="006F7C86">
            <w:pPr>
              <w:rPr>
                <w:rFonts w:ascii="宋体" w:hAnsi="宋体" w:hint="eastAsia"/>
                <w:szCs w:val="21"/>
              </w:rPr>
            </w:pPr>
            <w:bookmarkStart w:id="10" w:name="t_2_1_0310_a1_fm1"/>
            <w:bookmarkEnd w:id="10"/>
            <w:r>
              <w:rPr>
                <w:rFonts w:ascii="宋体" w:hAnsi="宋体" w:hint="eastAsia"/>
                <w:szCs w:val="21"/>
              </w:rPr>
              <w:t>银华基金管理股份有限公司</w:t>
            </w:r>
          </w:p>
        </w:tc>
      </w:tr>
      <w:tr w:rsidR="00000000">
        <w:tc>
          <w:tcPr>
            <w:tcW w:w="2980" w:type="dxa"/>
          </w:tcPr>
          <w:p w:rsidR="00000000" w:rsidRDefault="006F7C86">
            <w:pPr>
              <w:rPr>
                <w:rFonts w:ascii="宋体" w:hAnsi="宋体" w:hint="eastAsia"/>
                <w:szCs w:val="21"/>
              </w:rPr>
            </w:pPr>
            <w:r>
              <w:rPr>
                <w:rFonts w:ascii="宋体" w:hAnsi="宋体" w:hint="eastAsia"/>
                <w:szCs w:val="21"/>
              </w:rPr>
              <w:t>公告依据</w:t>
            </w:r>
          </w:p>
        </w:tc>
        <w:tc>
          <w:tcPr>
            <w:tcW w:w="5681" w:type="dxa"/>
            <w:gridSpan w:val="2"/>
          </w:tcPr>
          <w:p w:rsidR="00000000" w:rsidRDefault="006F7C86">
            <w:pPr>
              <w:rPr>
                <w:rFonts w:ascii="宋体" w:hAnsi="宋体" w:hint="eastAsia"/>
                <w:szCs w:val="21"/>
              </w:rPr>
            </w:pPr>
            <w:bookmarkStart w:id="11" w:name="t_2_1_2631_a1_fm1"/>
            <w:bookmarkEnd w:id="11"/>
            <w:r>
              <w:rPr>
                <w:rFonts w:ascii="宋体" w:hAnsi="宋体" w:hint="eastAsia"/>
                <w:szCs w:val="21"/>
              </w:rPr>
              <w:t>《中华人民共和国证券投资基金法》、《公开募集证券投资基金运作管理办法》等法律法规以及《</w:t>
            </w:r>
            <w:r>
              <w:rPr>
                <w:rFonts w:ascii="宋体" w:hAnsi="宋体" w:hint="eastAsia"/>
                <w:szCs w:val="21"/>
              </w:rPr>
              <w:t>银华尊和养老目标日期</w:t>
            </w:r>
            <w:r>
              <w:rPr>
                <w:rFonts w:ascii="宋体" w:hAnsi="宋体" w:hint="eastAsia"/>
                <w:szCs w:val="21"/>
              </w:rPr>
              <w:t>2040</w:t>
            </w:r>
            <w:r>
              <w:rPr>
                <w:rFonts w:ascii="宋体" w:hAnsi="宋体" w:hint="eastAsia"/>
                <w:szCs w:val="21"/>
              </w:rPr>
              <w:t>三年持有期混合型发起式基金中基金（</w:t>
            </w:r>
            <w:r>
              <w:rPr>
                <w:rFonts w:ascii="宋体" w:hAnsi="宋体" w:hint="eastAsia"/>
                <w:szCs w:val="21"/>
              </w:rPr>
              <w:t>FOF</w:t>
            </w:r>
            <w:r>
              <w:rPr>
                <w:rFonts w:ascii="宋体" w:hAnsi="宋体" w:hint="eastAsia"/>
                <w:szCs w:val="21"/>
              </w:rPr>
              <w:t>）</w:t>
            </w:r>
            <w:r>
              <w:rPr>
                <w:rFonts w:ascii="宋体" w:hAnsi="宋体" w:hint="eastAsia"/>
                <w:szCs w:val="21"/>
              </w:rPr>
              <w:t>基金合同》（以下简称“《基金合同》”）、《</w:t>
            </w:r>
            <w:r>
              <w:rPr>
                <w:rFonts w:ascii="宋体" w:hAnsi="宋体" w:hint="eastAsia"/>
                <w:szCs w:val="21"/>
              </w:rPr>
              <w:t>银华尊和养老目标日期</w:t>
            </w:r>
            <w:r>
              <w:rPr>
                <w:rFonts w:ascii="宋体" w:hAnsi="宋体" w:hint="eastAsia"/>
                <w:szCs w:val="21"/>
              </w:rPr>
              <w:t>2040</w:t>
            </w:r>
            <w:r>
              <w:rPr>
                <w:rFonts w:ascii="宋体" w:hAnsi="宋体" w:hint="eastAsia"/>
                <w:szCs w:val="21"/>
              </w:rPr>
              <w:t>三年持有期混合型发起式基金中基金（</w:t>
            </w:r>
            <w:r>
              <w:rPr>
                <w:rFonts w:ascii="宋体" w:hAnsi="宋体" w:hint="eastAsia"/>
                <w:szCs w:val="21"/>
              </w:rPr>
              <w:t>FOF</w:t>
            </w:r>
            <w:r>
              <w:rPr>
                <w:rFonts w:ascii="宋体" w:hAnsi="宋体" w:hint="eastAsia"/>
                <w:szCs w:val="21"/>
              </w:rPr>
              <w:t>）</w:t>
            </w:r>
            <w:r>
              <w:rPr>
                <w:rFonts w:ascii="宋体" w:hAnsi="宋体" w:hint="eastAsia"/>
                <w:szCs w:val="21"/>
              </w:rPr>
              <w:t>招募说明书》（以下简称“《招募说明书》”）</w:t>
            </w:r>
          </w:p>
        </w:tc>
      </w:tr>
      <w:tr w:rsidR="00000000">
        <w:tc>
          <w:tcPr>
            <w:tcW w:w="2980" w:type="dxa"/>
          </w:tcPr>
          <w:p w:rsidR="00000000" w:rsidRDefault="006F7C86">
            <w:pPr>
              <w:rPr>
                <w:rFonts w:ascii="宋体" w:hAnsi="宋体" w:hint="eastAsia"/>
                <w:szCs w:val="21"/>
              </w:rPr>
            </w:pPr>
            <w:r>
              <w:rPr>
                <w:rFonts w:ascii="宋体" w:hAnsi="宋体" w:hint="eastAsia"/>
                <w:szCs w:val="21"/>
              </w:rPr>
              <w:t>赎回起始日</w:t>
            </w:r>
          </w:p>
        </w:tc>
        <w:tc>
          <w:tcPr>
            <w:tcW w:w="5681" w:type="dxa"/>
            <w:gridSpan w:val="2"/>
          </w:tcPr>
          <w:p w:rsidR="00000000" w:rsidRDefault="006F7C86">
            <w:pPr>
              <w:rPr>
                <w:rFonts w:ascii="宋体" w:hAnsi="宋体" w:hint="eastAsia"/>
                <w:szCs w:val="21"/>
              </w:rPr>
            </w:pPr>
            <w:bookmarkStart w:id="12" w:name="t_2_1_2660_a1_fm1"/>
            <w:bookmarkEnd w:id="12"/>
            <w:r>
              <w:rPr>
                <w:rFonts w:ascii="宋体" w:hAnsi="宋体" w:hint="eastAsia"/>
                <w:szCs w:val="21"/>
              </w:rPr>
              <w:t>202</w:t>
            </w:r>
            <w:r>
              <w:rPr>
                <w:rFonts w:ascii="宋体" w:hAnsi="宋体" w:hint="eastAsia"/>
                <w:szCs w:val="21"/>
              </w:rPr>
              <w:t>5</w:t>
            </w:r>
            <w:r>
              <w:rPr>
                <w:rFonts w:ascii="宋体" w:hAnsi="宋体" w:hint="eastAsia"/>
                <w:szCs w:val="21"/>
              </w:rPr>
              <w:t>年</w:t>
            </w:r>
            <w:r>
              <w:rPr>
                <w:rFonts w:ascii="宋体" w:hAnsi="宋体" w:hint="eastAsia"/>
                <w:szCs w:val="21"/>
              </w:rPr>
              <w:t>11</w:t>
            </w:r>
            <w:r>
              <w:rPr>
                <w:rFonts w:ascii="宋体" w:hAnsi="宋体" w:hint="eastAsia"/>
                <w:szCs w:val="21"/>
              </w:rPr>
              <w:t>月</w:t>
            </w:r>
            <w:r>
              <w:rPr>
                <w:rFonts w:ascii="宋体" w:hAnsi="宋体" w:hint="eastAsia"/>
                <w:szCs w:val="21"/>
              </w:rPr>
              <w:t>2</w:t>
            </w:r>
            <w:r>
              <w:rPr>
                <w:rFonts w:ascii="宋体" w:hAnsi="宋体" w:hint="eastAsia"/>
                <w:szCs w:val="21"/>
              </w:rPr>
              <w:t>8</w:t>
            </w:r>
            <w:r>
              <w:rPr>
                <w:rFonts w:ascii="宋体" w:hAnsi="宋体" w:hint="eastAsia"/>
                <w:szCs w:val="21"/>
              </w:rPr>
              <w:t>日</w:t>
            </w:r>
          </w:p>
        </w:tc>
      </w:tr>
      <w:tr w:rsidR="00000000">
        <w:tc>
          <w:tcPr>
            <w:tcW w:w="2980" w:type="dxa"/>
          </w:tcPr>
          <w:p w:rsidR="00000000" w:rsidRDefault="006F7C86">
            <w:pPr>
              <w:rPr>
                <w:rFonts w:ascii="宋体" w:hAnsi="宋体" w:hint="eastAsia"/>
                <w:szCs w:val="21"/>
              </w:rPr>
            </w:pPr>
            <w:r>
              <w:rPr>
                <w:rFonts w:ascii="宋体" w:hAnsi="宋体" w:hint="eastAsia"/>
                <w:szCs w:val="21"/>
              </w:rPr>
              <w:t>下属各类基金的基金简称</w:t>
            </w:r>
          </w:p>
        </w:tc>
        <w:tc>
          <w:tcPr>
            <w:tcW w:w="2815" w:type="dxa"/>
            <w:vAlign w:val="center"/>
          </w:tcPr>
          <w:p w:rsidR="00000000" w:rsidRDefault="006F7C86">
            <w:pPr>
              <w:jc w:val="center"/>
              <w:rPr>
                <w:rFonts w:ascii="宋体" w:hAnsi="宋体"/>
                <w:szCs w:val="21"/>
              </w:rPr>
            </w:pPr>
            <w:r>
              <w:rPr>
                <w:rFonts w:ascii="宋体" w:hAnsi="宋体" w:hint="eastAsia"/>
                <w:szCs w:val="21"/>
              </w:rPr>
              <w:t>银华尊和养老</w:t>
            </w:r>
            <w:r>
              <w:rPr>
                <w:rFonts w:ascii="宋体" w:hAnsi="宋体" w:hint="eastAsia"/>
                <w:szCs w:val="21"/>
              </w:rPr>
              <w:t>2040</w:t>
            </w:r>
            <w:r>
              <w:rPr>
                <w:rFonts w:ascii="宋体" w:hAnsi="宋体" w:hint="eastAsia"/>
                <w:szCs w:val="21"/>
              </w:rPr>
              <w:t>三年持有混合发起式</w:t>
            </w:r>
            <w:r>
              <w:rPr>
                <w:rFonts w:ascii="宋体" w:hAnsi="宋体" w:hint="eastAsia"/>
                <w:szCs w:val="21"/>
              </w:rPr>
              <w:t>（</w:t>
            </w:r>
            <w:r>
              <w:rPr>
                <w:rFonts w:ascii="宋体" w:hAnsi="宋体" w:hint="eastAsia"/>
                <w:szCs w:val="21"/>
              </w:rPr>
              <w:t>FOF</w:t>
            </w:r>
            <w:r>
              <w:rPr>
                <w:rFonts w:ascii="宋体" w:hAnsi="宋体" w:hint="eastAsia"/>
                <w:szCs w:val="21"/>
              </w:rPr>
              <w:t>）</w:t>
            </w:r>
            <w:r>
              <w:rPr>
                <w:rFonts w:ascii="宋体" w:hAnsi="宋体" w:hint="eastAsia"/>
                <w:szCs w:val="21"/>
              </w:rPr>
              <w:t>A</w:t>
            </w:r>
          </w:p>
        </w:tc>
        <w:tc>
          <w:tcPr>
            <w:tcW w:w="2866" w:type="dxa"/>
            <w:vAlign w:val="center"/>
          </w:tcPr>
          <w:p w:rsidR="00000000" w:rsidRDefault="006F7C86">
            <w:pPr>
              <w:jc w:val="center"/>
              <w:rPr>
                <w:rFonts w:ascii="宋体" w:hAnsi="宋体"/>
                <w:szCs w:val="21"/>
              </w:rPr>
            </w:pPr>
            <w:r>
              <w:rPr>
                <w:rFonts w:ascii="宋体" w:hAnsi="宋体" w:hint="eastAsia"/>
                <w:szCs w:val="21"/>
              </w:rPr>
              <w:t>银华尊和养老</w:t>
            </w:r>
            <w:r>
              <w:rPr>
                <w:rFonts w:ascii="宋体" w:hAnsi="宋体" w:hint="eastAsia"/>
                <w:szCs w:val="21"/>
              </w:rPr>
              <w:t>2040</w:t>
            </w:r>
            <w:r>
              <w:rPr>
                <w:rFonts w:ascii="宋体" w:hAnsi="宋体" w:hint="eastAsia"/>
                <w:szCs w:val="21"/>
              </w:rPr>
              <w:t>三年持有混合发起式</w:t>
            </w:r>
            <w:r>
              <w:rPr>
                <w:rFonts w:ascii="宋体" w:hAnsi="宋体" w:hint="eastAsia"/>
                <w:szCs w:val="21"/>
              </w:rPr>
              <w:t>（</w:t>
            </w:r>
            <w:r>
              <w:rPr>
                <w:rFonts w:ascii="宋体" w:hAnsi="宋体" w:hint="eastAsia"/>
                <w:szCs w:val="21"/>
              </w:rPr>
              <w:t>FOF</w:t>
            </w:r>
            <w:r>
              <w:rPr>
                <w:rFonts w:ascii="宋体" w:hAnsi="宋体" w:hint="eastAsia"/>
                <w:szCs w:val="21"/>
              </w:rPr>
              <w:t>）</w:t>
            </w:r>
            <w:r>
              <w:rPr>
                <w:rFonts w:ascii="宋体" w:hAnsi="宋体" w:hint="eastAsia"/>
                <w:szCs w:val="21"/>
              </w:rPr>
              <w:t>Y</w:t>
            </w:r>
          </w:p>
        </w:tc>
      </w:tr>
      <w:tr w:rsidR="00000000">
        <w:tc>
          <w:tcPr>
            <w:tcW w:w="2980" w:type="dxa"/>
          </w:tcPr>
          <w:p w:rsidR="00000000" w:rsidRDefault="006F7C86">
            <w:pPr>
              <w:rPr>
                <w:rFonts w:ascii="宋体" w:hAnsi="宋体" w:hint="eastAsia"/>
                <w:szCs w:val="21"/>
              </w:rPr>
            </w:pPr>
            <w:r>
              <w:rPr>
                <w:rFonts w:ascii="宋体" w:hAnsi="宋体" w:hint="eastAsia"/>
                <w:szCs w:val="21"/>
              </w:rPr>
              <w:t>下属各类基金的交易代码</w:t>
            </w:r>
          </w:p>
        </w:tc>
        <w:tc>
          <w:tcPr>
            <w:tcW w:w="2815" w:type="dxa"/>
            <w:vAlign w:val="center"/>
          </w:tcPr>
          <w:p w:rsidR="00000000" w:rsidRDefault="006F7C86">
            <w:pPr>
              <w:jc w:val="center"/>
              <w:rPr>
                <w:rFonts w:ascii="宋体" w:hAnsi="宋体"/>
                <w:szCs w:val="21"/>
              </w:rPr>
            </w:pPr>
            <w:r>
              <w:rPr>
                <w:rFonts w:ascii="宋体" w:hAnsi="宋体" w:hint="eastAsia"/>
                <w:szCs w:val="21"/>
              </w:rPr>
              <w:t>0</w:t>
            </w:r>
            <w:r>
              <w:rPr>
                <w:rFonts w:ascii="宋体" w:hAnsi="宋体" w:hint="eastAsia"/>
                <w:szCs w:val="21"/>
              </w:rPr>
              <w:t>07780</w:t>
            </w:r>
          </w:p>
        </w:tc>
        <w:tc>
          <w:tcPr>
            <w:tcW w:w="2866" w:type="dxa"/>
            <w:vAlign w:val="center"/>
          </w:tcPr>
          <w:p w:rsidR="00000000" w:rsidRDefault="006F7C86">
            <w:pPr>
              <w:jc w:val="center"/>
              <w:rPr>
                <w:rFonts w:ascii="宋体" w:hAnsi="宋体"/>
                <w:szCs w:val="21"/>
              </w:rPr>
            </w:pPr>
            <w:r>
              <w:rPr>
                <w:rFonts w:ascii="宋体" w:hAnsi="宋体" w:hint="eastAsia"/>
                <w:szCs w:val="21"/>
              </w:rPr>
              <w:t>01</w:t>
            </w:r>
            <w:r>
              <w:rPr>
                <w:rFonts w:ascii="宋体" w:hAnsi="宋体" w:hint="eastAsia"/>
                <w:szCs w:val="21"/>
              </w:rPr>
              <w:t>7370</w:t>
            </w:r>
          </w:p>
        </w:tc>
      </w:tr>
      <w:tr w:rsidR="00000000">
        <w:tc>
          <w:tcPr>
            <w:tcW w:w="2980" w:type="dxa"/>
          </w:tcPr>
          <w:p w:rsidR="00000000" w:rsidRDefault="006F7C86">
            <w:pPr>
              <w:rPr>
                <w:rFonts w:ascii="宋体" w:hAnsi="宋体" w:hint="eastAsia"/>
                <w:szCs w:val="21"/>
              </w:rPr>
            </w:pPr>
            <w:r>
              <w:rPr>
                <w:rFonts w:ascii="宋体" w:hAnsi="宋体" w:hint="eastAsia"/>
                <w:szCs w:val="21"/>
              </w:rPr>
              <w:t>是否开放赎回业务</w:t>
            </w:r>
          </w:p>
        </w:tc>
        <w:tc>
          <w:tcPr>
            <w:tcW w:w="2815" w:type="dxa"/>
            <w:vAlign w:val="center"/>
          </w:tcPr>
          <w:p w:rsidR="00000000" w:rsidRDefault="006F7C86">
            <w:pPr>
              <w:jc w:val="center"/>
              <w:rPr>
                <w:rFonts w:ascii="宋体" w:hAnsi="宋体" w:hint="eastAsia"/>
                <w:szCs w:val="21"/>
              </w:rPr>
            </w:pPr>
            <w:r>
              <w:rPr>
                <w:rFonts w:ascii="宋体" w:hAnsi="宋体" w:hint="eastAsia"/>
                <w:szCs w:val="21"/>
              </w:rPr>
              <w:t>-</w:t>
            </w:r>
          </w:p>
        </w:tc>
        <w:tc>
          <w:tcPr>
            <w:tcW w:w="2866" w:type="dxa"/>
            <w:vAlign w:val="center"/>
          </w:tcPr>
          <w:p w:rsidR="00000000" w:rsidRDefault="006F7C86">
            <w:pPr>
              <w:jc w:val="center"/>
              <w:rPr>
                <w:rFonts w:ascii="宋体" w:hAnsi="宋体" w:hint="eastAsia"/>
                <w:szCs w:val="21"/>
              </w:rPr>
            </w:pPr>
            <w:r>
              <w:rPr>
                <w:rFonts w:ascii="宋体" w:hAnsi="宋体" w:hint="eastAsia"/>
                <w:szCs w:val="21"/>
              </w:rPr>
              <w:t>是</w:t>
            </w:r>
          </w:p>
        </w:tc>
      </w:tr>
    </w:tbl>
    <w:p w:rsidR="00000000" w:rsidRDefault="006F7C86">
      <w:pPr>
        <w:spacing w:before="240" w:line="360" w:lineRule="auto"/>
        <w:rPr>
          <w:rFonts w:ascii="宋体" w:hAnsi="宋体"/>
          <w:b/>
          <w:sz w:val="24"/>
          <w:szCs w:val="24"/>
        </w:rPr>
      </w:pPr>
      <w:r>
        <w:rPr>
          <w:rFonts w:ascii="宋体" w:hAnsi="宋体" w:hint="eastAsia"/>
          <w:b/>
          <w:sz w:val="24"/>
          <w:szCs w:val="24"/>
        </w:rPr>
        <w:t xml:space="preserve">2 </w:t>
      </w:r>
      <w:bookmarkStart w:id="13" w:name="t_2_2_table"/>
      <w:bookmarkEnd w:id="13"/>
      <w:r>
        <w:rPr>
          <w:rFonts w:ascii="宋体" w:hAnsi="宋体" w:hint="eastAsia"/>
          <w:b/>
          <w:sz w:val="24"/>
          <w:szCs w:val="24"/>
        </w:rPr>
        <w:t>日常赎回业务的办理时间</w:t>
      </w:r>
      <w:bookmarkStart w:id="14" w:name="t_2_2_2819_a1_fm1"/>
      <w:bookmarkEnd w:id="14"/>
    </w:p>
    <w:p w:rsidR="00000000" w:rsidRDefault="006F7C86">
      <w:pPr>
        <w:autoSpaceDE w:val="0"/>
        <w:autoSpaceDN w:val="0"/>
        <w:adjustRightInd w:val="0"/>
        <w:snapToGrid w:val="0"/>
        <w:spacing w:line="360" w:lineRule="auto"/>
        <w:ind w:firstLineChars="200" w:firstLine="420"/>
        <w:jc w:val="left"/>
        <w:rPr>
          <w:rFonts w:ascii="宋体" w:hAnsi="宋体" w:hint="eastAsia"/>
          <w:szCs w:val="21"/>
        </w:rPr>
      </w:pPr>
      <w:r>
        <w:rPr>
          <w:rFonts w:ascii="宋体" w:hAnsi="宋体" w:hint="eastAsia"/>
          <w:szCs w:val="21"/>
        </w:rPr>
        <w:t>投资人在开放日办理基金份额的赎回，开放日的具体业务办理时间为上海证券交易所、深圳证券交易所的正常交易日的交易时间，但基金管理人根据法律法规、中国证监会的要求或基金合同的规定公告暂停赎回时除外。</w:t>
      </w:r>
    </w:p>
    <w:p w:rsidR="00000000" w:rsidRDefault="006F7C86">
      <w:pPr>
        <w:autoSpaceDE w:val="0"/>
        <w:autoSpaceDN w:val="0"/>
        <w:adjustRightInd w:val="0"/>
        <w:snapToGrid w:val="0"/>
        <w:spacing w:line="360" w:lineRule="auto"/>
        <w:ind w:firstLineChars="200" w:firstLine="420"/>
        <w:jc w:val="left"/>
        <w:rPr>
          <w:rFonts w:ascii="宋体" w:hAnsi="宋体" w:hint="eastAsia"/>
          <w:szCs w:val="21"/>
        </w:rPr>
      </w:pPr>
      <w:r>
        <w:rPr>
          <w:rFonts w:ascii="宋体" w:hAnsi="宋体" w:hint="eastAsia"/>
          <w:szCs w:val="21"/>
        </w:rPr>
        <w:t>基金合同生效后，若出现新的证券交易市场、证券交易所交易时间变更或其他特殊情况，基金管理人有权视情况对前述开放日及开放时间进行相应的调整，但应在实施日前依照《信息披露办法》的有关规定在规定媒介上公告。</w:t>
      </w:r>
    </w:p>
    <w:p w:rsidR="00000000" w:rsidRDefault="006F7C86">
      <w:pPr>
        <w:spacing w:before="240" w:line="360" w:lineRule="auto"/>
        <w:rPr>
          <w:rFonts w:ascii="宋体" w:hAnsi="宋体" w:hint="eastAsia"/>
          <w:b/>
          <w:sz w:val="24"/>
          <w:szCs w:val="24"/>
        </w:rPr>
      </w:pPr>
      <w:r>
        <w:rPr>
          <w:rFonts w:ascii="宋体" w:hAnsi="宋体" w:hint="eastAsia"/>
          <w:b/>
          <w:sz w:val="24"/>
          <w:szCs w:val="24"/>
        </w:rPr>
        <w:t xml:space="preserve">3 </w:t>
      </w:r>
      <w:r>
        <w:rPr>
          <w:rFonts w:ascii="宋体" w:hAnsi="宋体" w:hint="eastAsia"/>
          <w:b/>
          <w:sz w:val="24"/>
          <w:szCs w:val="24"/>
        </w:rPr>
        <w:t>日常赎回业务</w:t>
      </w:r>
    </w:p>
    <w:p w:rsidR="00000000" w:rsidRDefault="006F7C86">
      <w:pPr>
        <w:spacing w:before="240" w:line="360" w:lineRule="auto"/>
        <w:rPr>
          <w:rFonts w:ascii="宋体" w:hAnsi="宋体" w:hint="eastAsia"/>
          <w:b/>
          <w:sz w:val="24"/>
          <w:szCs w:val="24"/>
        </w:rPr>
      </w:pPr>
      <w:r>
        <w:rPr>
          <w:rFonts w:ascii="宋体" w:hAnsi="宋体" w:hint="eastAsia"/>
          <w:b/>
          <w:sz w:val="24"/>
          <w:szCs w:val="24"/>
        </w:rPr>
        <w:lastRenderedPageBreak/>
        <w:t>3.1</w:t>
      </w:r>
      <w:bookmarkStart w:id="15" w:name="t_2_4_1_table"/>
      <w:bookmarkEnd w:id="15"/>
      <w:r>
        <w:rPr>
          <w:rFonts w:ascii="宋体" w:hAnsi="宋体" w:hint="eastAsia"/>
          <w:b/>
          <w:sz w:val="24"/>
          <w:szCs w:val="24"/>
        </w:rPr>
        <w:t xml:space="preserve"> </w:t>
      </w:r>
      <w:r>
        <w:rPr>
          <w:rFonts w:ascii="宋体" w:hAnsi="宋体" w:hint="eastAsia"/>
          <w:b/>
          <w:sz w:val="24"/>
          <w:szCs w:val="24"/>
        </w:rPr>
        <w:t>赎回份额限制</w:t>
      </w:r>
    </w:p>
    <w:p w:rsidR="00000000" w:rsidRDefault="006F7C86">
      <w:pPr>
        <w:autoSpaceDE w:val="0"/>
        <w:autoSpaceDN w:val="0"/>
        <w:adjustRightInd w:val="0"/>
        <w:snapToGrid w:val="0"/>
        <w:spacing w:line="360" w:lineRule="auto"/>
        <w:ind w:firstLineChars="200" w:firstLine="420"/>
        <w:jc w:val="left"/>
        <w:rPr>
          <w:rFonts w:ascii="宋体" w:hAnsi="宋体" w:hint="eastAsia"/>
          <w:szCs w:val="21"/>
        </w:rPr>
      </w:pPr>
      <w:bookmarkStart w:id="16" w:name="t_2_4_1_2822_a1_fm1"/>
      <w:bookmarkEnd w:id="16"/>
      <w:r>
        <w:rPr>
          <w:rFonts w:ascii="宋体" w:hAnsi="宋体" w:hint="eastAsia"/>
          <w:szCs w:val="21"/>
        </w:rPr>
        <w:t>基金份额持有人在销售机构办理赎回时，每笔赎回申请的最低份额为</w:t>
      </w:r>
      <w:r>
        <w:rPr>
          <w:rFonts w:ascii="宋体" w:hAnsi="宋体" w:hint="eastAsia"/>
          <w:szCs w:val="21"/>
        </w:rPr>
        <w:t>10</w:t>
      </w:r>
      <w:r>
        <w:rPr>
          <w:rFonts w:ascii="宋体" w:hAnsi="宋体" w:hint="eastAsia"/>
          <w:szCs w:val="21"/>
        </w:rPr>
        <w:t>份基金份额；基金份额持有人可将其全部或部分基金份额赎回，基金份额持有人办理某笔赎回业务时或办理某笔赎回业务后在销售机构（网点）单个交易账户保留的基金份额余额不足</w:t>
      </w:r>
      <w:r>
        <w:rPr>
          <w:rFonts w:ascii="宋体" w:hAnsi="宋体" w:hint="eastAsia"/>
          <w:szCs w:val="21"/>
        </w:rPr>
        <w:t>10</w:t>
      </w:r>
      <w:r>
        <w:rPr>
          <w:rFonts w:ascii="宋体" w:hAnsi="宋体" w:hint="eastAsia"/>
          <w:szCs w:val="21"/>
        </w:rPr>
        <w:t>份的，余额部分基金份额必须一同赎回。</w:t>
      </w:r>
    </w:p>
    <w:p w:rsidR="00000000" w:rsidRDefault="006F7C86">
      <w:pPr>
        <w:autoSpaceDE w:val="0"/>
        <w:autoSpaceDN w:val="0"/>
        <w:adjustRightInd w:val="0"/>
        <w:snapToGrid w:val="0"/>
        <w:spacing w:line="360" w:lineRule="auto"/>
        <w:ind w:firstLineChars="200" w:firstLine="420"/>
        <w:jc w:val="left"/>
        <w:rPr>
          <w:rFonts w:hint="eastAsia"/>
        </w:rPr>
      </w:pPr>
      <w:r>
        <w:rPr>
          <w:rFonts w:ascii="宋体" w:hAnsi="宋体" w:hint="eastAsia"/>
          <w:szCs w:val="21"/>
        </w:rPr>
        <w:t>基金管理人可以根据市场情况，在法律法规允许的情况下，调整上述规定赎回份额的数量限制。基金管理人必须在调整前依照《信息披露办法》的有关规定在规定媒介上公告。</w:t>
      </w:r>
    </w:p>
    <w:p w:rsidR="00000000" w:rsidRDefault="006F7C86">
      <w:pPr>
        <w:pStyle w:val="2"/>
        <w:spacing w:beforeLines="50" w:afterLines="50" w:line="360" w:lineRule="auto"/>
        <w:jc w:val="left"/>
        <w:rPr>
          <w:rFonts w:ascii="宋体" w:eastAsia="宋体" w:hAnsi="宋体" w:hint="eastAsia"/>
          <w:bCs/>
          <w:sz w:val="24"/>
          <w:szCs w:val="24"/>
        </w:rPr>
      </w:pPr>
      <w:r>
        <w:rPr>
          <w:rFonts w:ascii="宋体" w:eastAsia="宋体" w:hAnsi="宋体" w:hint="eastAsia"/>
          <w:b w:val="0"/>
          <w:sz w:val="21"/>
          <w:szCs w:val="21"/>
        </w:rPr>
        <w:t xml:space="preserve">    </w:t>
      </w:r>
      <w:r>
        <w:rPr>
          <w:rFonts w:ascii="宋体" w:eastAsia="宋体" w:hAnsi="宋体" w:hint="eastAsia"/>
          <w:bCs/>
          <w:sz w:val="24"/>
          <w:szCs w:val="24"/>
        </w:rPr>
        <w:t xml:space="preserve">3.2 </w:t>
      </w:r>
      <w:bookmarkStart w:id="17" w:name="t_2_4_2_table"/>
      <w:bookmarkEnd w:id="17"/>
      <w:r>
        <w:rPr>
          <w:rFonts w:ascii="宋体" w:eastAsia="宋体" w:hAnsi="宋体" w:hint="eastAsia"/>
          <w:bCs/>
          <w:sz w:val="24"/>
          <w:szCs w:val="24"/>
        </w:rPr>
        <w:t>赎回费率</w:t>
      </w:r>
      <w:bookmarkStart w:id="18" w:name="t_2_4_2_2843_a1_fm1"/>
      <w:bookmarkStart w:id="19" w:name="t_2_4_2_2699_a1_fm1"/>
      <w:bookmarkEnd w:id="18"/>
    </w:p>
    <w:bookmarkEnd w:id="19"/>
    <w:p w:rsidR="00000000" w:rsidRDefault="006F7C86">
      <w:pPr>
        <w:autoSpaceDE w:val="0"/>
        <w:autoSpaceDN w:val="0"/>
        <w:adjustRightInd w:val="0"/>
        <w:snapToGrid w:val="0"/>
        <w:spacing w:line="360" w:lineRule="auto"/>
        <w:ind w:firstLineChars="200" w:firstLine="420"/>
        <w:jc w:val="left"/>
        <w:rPr>
          <w:rFonts w:ascii="宋体" w:hAnsi="宋体" w:hint="eastAsia"/>
          <w:szCs w:val="21"/>
        </w:rPr>
      </w:pPr>
      <w:r>
        <w:rPr>
          <w:rFonts w:ascii="宋体" w:hAnsi="宋体" w:hint="eastAsia"/>
          <w:szCs w:val="21"/>
        </w:rPr>
        <w:t>本基金的赎回费用由基金份</w:t>
      </w:r>
      <w:r>
        <w:rPr>
          <w:rFonts w:ascii="宋体" w:hAnsi="宋体" w:hint="eastAsia"/>
          <w:szCs w:val="21"/>
        </w:rPr>
        <w:t>额的持有人承担，在基金份额持有人赎回基金份额时收取。本基金管理人对持有基金份额持续持有期少于</w:t>
      </w:r>
      <w:r>
        <w:rPr>
          <w:rFonts w:ascii="宋体" w:hAnsi="宋体" w:hint="eastAsia"/>
          <w:szCs w:val="21"/>
        </w:rPr>
        <w:t>7</w:t>
      </w:r>
      <w:r>
        <w:rPr>
          <w:rFonts w:ascii="宋体" w:hAnsi="宋体" w:hint="eastAsia"/>
          <w:szCs w:val="21"/>
        </w:rPr>
        <w:t>天的投资者收取不少于</w:t>
      </w:r>
      <w:r>
        <w:rPr>
          <w:rFonts w:ascii="宋体" w:hAnsi="宋体" w:hint="eastAsia"/>
          <w:szCs w:val="21"/>
        </w:rPr>
        <w:t>1.5%</w:t>
      </w:r>
      <w:r>
        <w:rPr>
          <w:rFonts w:ascii="宋体" w:hAnsi="宋体" w:hint="eastAsia"/>
          <w:szCs w:val="21"/>
        </w:rPr>
        <w:t>的赎回费并全额计入基金财产。对持续持有期少于</w:t>
      </w:r>
      <w:r>
        <w:rPr>
          <w:rFonts w:ascii="宋体" w:hAnsi="宋体" w:hint="eastAsia"/>
          <w:szCs w:val="21"/>
        </w:rPr>
        <w:t>30</w:t>
      </w:r>
      <w:r>
        <w:rPr>
          <w:rFonts w:ascii="宋体" w:hAnsi="宋体" w:hint="eastAsia"/>
          <w:szCs w:val="21"/>
        </w:rPr>
        <w:t>天的投资人收取的赎回费，将全额计入基金财产；对持续持有期大于等于</w:t>
      </w:r>
      <w:r>
        <w:rPr>
          <w:rFonts w:ascii="宋体" w:hAnsi="宋体" w:hint="eastAsia"/>
          <w:szCs w:val="21"/>
        </w:rPr>
        <w:t>30</w:t>
      </w:r>
      <w:r>
        <w:rPr>
          <w:rFonts w:ascii="宋体" w:hAnsi="宋体" w:hint="eastAsia"/>
          <w:szCs w:val="21"/>
        </w:rPr>
        <w:t>天但少于</w:t>
      </w:r>
      <w:r>
        <w:rPr>
          <w:rFonts w:ascii="宋体" w:hAnsi="宋体" w:hint="eastAsia"/>
          <w:szCs w:val="21"/>
        </w:rPr>
        <w:t>90</w:t>
      </w:r>
      <w:r>
        <w:rPr>
          <w:rFonts w:ascii="宋体" w:hAnsi="宋体" w:hint="eastAsia"/>
          <w:szCs w:val="21"/>
        </w:rPr>
        <w:t>天的投资人收取的赎回费，将赎回费总额的</w:t>
      </w:r>
      <w:r>
        <w:rPr>
          <w:rFonts w:ascii="宋体" w:hAnsi="宋体" w:hint="eastAsia"/>
          <w:szCs w:val="21"/>
        </w:rPr>
        <w:t>75%</w:t>
      </w:r>
      <w:r>
        <w:rPr>
          <w:rFonts w:ascii="宋体" w:hAnsi="宋体" w:hint="eastAsia"/>
          <w:szCs w:val="21"/>
        </w:rPr>
        <w:t>计入基金财产；对持续持有期大于等于</w:t>
      </w:r>
      <w:r>
        <w:rPr>
          <w:rFonts w:ascii="宋体" w:hAnsi="宋体" w:hint="eastAsia"/>
          <w:szCs w:val="21"/>
        </w:rPr>
        <w:t>90</w:t>
      </w:r>
      <w:r>
        <w:rPr>
          <w:rFonts w:ascii="宋体" w:hAnsi="宋体" w:hint="eastAsia"/>
          <w:szCs w:val="21"/>
        </w:rPr>
        <w:t>天但少于</w:t>
      </w:r>
      <w:r>
        <w:rPr>
          <w:rFonts w:ascii="宋体" w:hAnsi="宋体" w:hint="eastAsia"/>
          <w:szCs w:val="21"/>
        </w:rPr>
        <w:t>180</w:t>
      </w:r>
      <w:r>
        <w:rPr>
          <w:rFonts w:ascii="宋体" w:hAnsi="宋体" w:hint="eastAsia"/>
          <w:szCs w:val="21"/>
        </w:rPr>
        <w:t>天的投资人收取的赎回费，将赎回费总额的</w:t>
      </w:r>
      <w:r>
        <w:rPr>
          <w:rFonts w:ascii="宋体" w:hAnsi="宋体" w:hint="eastAsia"/>
          <w:szCs w:val="21"/>
        </w:rPr>
        <w:t>50%</w:t>
      </w:r>
      <w:r>
        <w:rPr>
          <w:rFonts w:ascii="宋体" w:hAnsi="宋体" w:hint="eastAsia"/>
          <w:szCs w:val="21"/>
        </w:rPr>
        <w:t>计入基金财产；对持续持有期大于等于</w:t>
      </w:r>
      <w:r>
        <w:rPr>
          <w:rFonts w:ascii="宋体" w:hAnsi="宋体" w:hint="eastAsia"/>
          <w:szCs w:val="21"/>
        </w:rPr>
        <w:t>180</w:t>
      </w:r>
      <w:r>
        <w:rPr>
          <w:rFonts w:ascii="宋体" w:hAnsi="宋体" w:hint="eastAsia"/>
          <w:szCs w:val="21"/>
        </w:rPr>
        <w:t>天的投资人，将赎回费总额的</w:t>
      </w:r>
      <w:r>
        <w:rPr>
          <w:rFonts w:ascii="宋体" w:hAnsi="宋体" w:hint="eastAsia"/>
          <w:szCs w:val="21"/>
        </w:rPr>
        <w:t>25%</w:t>
      </w:r>
      <w:r>
        <w:rPr>
          <w:rFonts w:ascii="宋体" w:hAnsi="宋体" w:hint="eastAsia"/>
          <w:szCs w:val="21"/>
        </w:rPr>
        <w:t>归入基金财产。未计入基金财产的部分用于支付注册登记</w:t>
      </w:r>
      <w:r>
        <w:rPr>
          <w:rFonts w:ascii="宋体" w:hAnsi="宋体" w:hint="eastAsia"/>
          <w:szCs w:val="21"/>
        </w:rPr>
        <w:t>费等相关手续费。</w:t>
      </w:r>
    </w:p>
    <w:p w:rsidR="00000000" w:rsidRDefault="006F7C86">
      <w:pPr>
        <w:autoSpaceDE w:val="0"/>
        <w:autoSpaceDN w:val="0"/>
        <w:adjustRightInd w:val="0"/>
        <w:snapToGrid w:val="0"/>
        <w:spacing w:line="360" w:lineRule="auto"/>
        <w:ind w:firstLineChars="200" w:firstLine="420"/>
        <w:jc w:val="left"/>
        <w:rPr>
          <w:rFonts w:hint="eastAsia"/>
        </w:rPr>
      </w:pPr>
      <w:r>
        <w:rPr>
          <w:rFonts w:ascii="宋体" w:hAnsi="宋体" w:hint="eastAsia"/>
          <w:szCs w:val="21"/>
        </w:rPr>
        <w:t>本基金</w:t>
      </w:r>
      <w:r>
        <w:rPr>
          <w:rFonts w:ascii="宋体" w:hAnsi="宋体" w:hint="eastAsia"/>
          <w:szCs w:val="21"/>
        </w:rPr>
        <w:t>Y</w:t>
      </w:r>
      <w:r>
        <w:rPr>
          <w:rFonts w:ascii="宋体" w:hAnsi="宋体" w:hint="eastAsia"/>
          <w:szCs w:val="21"/>
        </w:rPr>
        <w:t>类基金份额具体的赎回费率如下，基金管理人可以在不违反法律法规规定的情形下，调整本基金</w:t>
      </w:r>
      <w:r>
        <w:rPr>
          <w:rFonts w:ascii="宋体" w:hAnsi="宋体" w:hint="eastAsia"/>
          <w:szCs w:val="21"/>
        </w:rPr>
        <w:t>Y</w:t>
      </w:r>
      <w:r>
        <w:rPr>
          <w:rFonts w:ascii="宋体" w:hAnsi="宋体" w:hint="eastAsia"/>
          <w:szCs w:val="21"/>
        </w:rPr>
        <w:t>类基金份额的赎回费设置，不需召开基金份额持有人大会，但应于调整实施日前在规定媒介公告</w:t>
      </w:r>
      <w:r>
        <w:rPr>
          <w:rFonts w:ascii="宋体" w:hAnsi="宋体" w:hint="eastAsia"/>
          <w:szCs w:val="21"/>
        </w:rPr>
        <w:t>。</w:t>
      </w:r>
    </w:p>
    <w:tbl>
      <w:tblPr>
        <w:tblW w:w="5000" w:type="pct"/>
        <w:tblInd w:w="5" w:type="dxa"/>
        <w:tblLayout w:type="fixed"/>
        <w:tblCellMar>
          <w:left w:w="0" w:type="dxa"/>
          <w:right w:w="0" w:type="dxa"/>
        </w:tblCellMar>
        <w:tblLook w:val="0000"/>
      </w:tblPr>
      <w:tblGrid>
        <w:gridCol w:w="2772"/>
        <w:gridCol w:w="2772"/>
        <w:gridCol w:w="2772"/>
      </w:tblGrid>
      <w:tr w:rsidR="00000000">
        <w:trPr>
          <w:cantSplit/>
          <w:trHeight w:val="375"/>
        </w:trPr>
        <w:tc>
          <w:tcPr>
            <w:tcW w:w="1" w:type="dxa"/>
            <w:vMerge w:val="restart"/>
            <w:tcBorders>
              <w:top w:val="single" w:sz="4" w:space="0" w:color="auto"/>
              <w:left w:val="single" w:sz="4" w:space="0" w:color="auto"/>
              <w:bottom w:val="single" w:sz="4" w:space="0" w:color="auto"/>
              <w:right w:val="single" w:sz="4" w:space="0" w:color="auto"/>
            </w:tcBorders>
            <w:vAlign w:val="center"/>
          </w:tcPr>
          <w:p w:rsidR="00000000" w:rsidRDefault="006F7C86">
            <w:pPr>
              <w:widowControl/>
              <w:snapToGrid w:val="0"/>
              <w:jc w:val="center"/>
              <w:rPr>
                <w:rFonts w:ascii="宋体" w:hAnsi="宋体"/>
                <w:color w:val="000000"/>
                <w:kern w:val="0"/>
                <w:szCs w:val="21"/>
              </w:rPr>
            </w:pPr>
            <w:r>
              <w:rPr>
                <w:rFonts w:ascii="宋体" w:hAnsi="宋体"/>
                <w:color w:val="000000"/>
                <w:kern w:val="0"/>
                <w:szCs w:val="21"/>
              </w:rPr>
              <w:t>赎回费率</w:t>
            </w:r>
          </w:p>
        </w:tc>
        <w:tc>
          <w:tcPr>
            <w:tcW w:w="1" w:type="dxa"/>
            <w:tcBorders>
              <w:top w:val="single" w:sz="4" w:space="0" w:color="auto"/>
              <w:left w:val="single" w:sz="4" w:space="0" w:color="auto"/>
              <w:bottom w:val="single" w:sz="4" w:space="0" w:color="auto"/>
              <w:right w:val="single" w:sz="4" w:space="0" w:color="auto"/>
            </w:tcBorders>
            <w:vAlign w:val="center"/>
          </w:tcPr>
          <w:p w:rsidR="00000000" w:rsidRDefault="006F7C86">
            <w:pPr>
              <w:widowControl/>
              <w:snapToGrid w:val="0"/>
              <w:jc w:val="center"/>
              <w:rPr>
                <w:rFonts w:ascii="宋体" w:hAnsi="宋体"/>
                <w:color w:val="000000"/>
                <w:kern w:val="0"/>
                <w:szCs w:val="21"/>
              </w:rPr>
            </w:pPr>
            <w:r>
              <w:rPr>
                <w:rFonts w:ascii="宋体" w:hAnsi="宋体"/>
                <w:color w:val="000000"/>
                <w:kern w:val="0"/>
                <w:szCs w:val="21"/>
              </w:rPr>
              <w:t>持有期限（</w:t>
            </w:r>
            <w:r>
              <w:rPr>
                <w:rFonts w:ascii="宋体" w:hAnsi="宋体"/>
                <w:color w:val="000000"/>
                <w:kern w:val="0"/>
                <w:szCs w:val="21"/>
              </w:rPr>
              <w:t>Y</w:t>
            </w:r>
            <w:r>
              <w:rPr>
                <w:rFonts w:ascii="宋体" w:hAnsi="宋体"/>
                <w:color w:val="000000"/>
                <w:kern w:val="0"/>
                <w:szCs w:val="21"/>
              </w:rPr>
              <w:t>）</w:t>
            </w:r>
          </w:p>
        </w:tc>
        <w:tc>
          <w:tcPr>
            <w:tcW w:w="1" w:type="dxa"/>
            <w:tcBorders>
              <w:top w:val="single" w:sz="4" w:space="0" w:color="auto"/>
              <w:left w:val="single" w:sz="4" w:space="0" w:color="auto"/>
              <w:bottom w:val="single" w:sz="4" w:space="0" w:color="auto"/>
              <w:right w:val="single" w:sz="4" w:space="0" w:color="auto"/>
            </w:tcBorders>
            <w:vAlign w:val="center"/>
          </w:tcPr>
          <w:p w:rsidR="00000000" w:rsidRDefault="006F7C86">
            <w:pPr>
              <w:widowControl/>
              <w:snapToGrid w:val="0"/>
              <w:jc w:val="center"/>
              <w:rPr>
                <w:rFonts w:ascii="宋体" w:hAnsi="宋体"/>
                <w:color w:val="000000"/>
                <w:kern w:val="0"/>
                <w:szCs w:val="21"/>
              </w:rPr>
            </w:pPr>
            <w:r>
              <w:rPr>
                <w:rFonts w:ascii="宋体" w:hAnsi="宋体"/>
                <w:color w:val="000000"/>
                <w:kern w:val="0"/>
                <w:szCs w:val="21"/>
              </w:rPr>
              <w:t>赎回费率</w:t>
            </w:r>
          </w:p>
        </w:tc>
      </w:tr>
      <w:tr w:rsidR="00000000">
        <w:trPr>
          <w:cantSplit/>
          <w:trHeight w:val="375"/>
        </w:trPr>
        <w:tc>
          <w:tcPr>
            <w:tcW w:w="1" w:type="dxa"/>
            <w:vMerge/>
            <w:tcBorders>
              <w:top w:val="single" w:sz="4" w:space="0" w:color="auto"/>
              <w:left w:val="single" w:sz="4" w:space="0" w:color="auto"/>
              <w:bottom w:val="single" w:sz="4" w:space="0" w:color="auto"/>
              <w:right w:val="single" w:sz="4" w:space="0" w:color="auto"/>
            </w:tcBorders>
            <w:vAlign w:val="center"/>
          </w:tcPr>
          <w:p w:rsidR="00000000" w:rsidRDefault="006F7C86">
            <w:pPr>
              <w:widowControl/>
              <w:snapToGrid w:val="0"/>
              <w:jc w:val="center"/>
              <w:rPr>
                <w:rFonts w:ascii="宋体" w:hAnsi="宋体"/>
                <w:color w:val="000000"/>
                <w:kern w:val="0"/>
                <w:szCs w:val="21"/>
              </w:rPr>
            </w:pPr>
          </w:p>
        </w:tc>
        <w:tc>
          <w:tcPr>
            <w:tcW w:w="1" w:type="dxa"/>
            <w:tcBorders>
              <w:top w:val="single" w:sz="4" w:space="0" w:color="auto"/>
              <w:left w:val="single" w:sz="4" w:space="0" w:color="auto"/>
              <w:bottom w:val="single" w:sz="4" w:space="0" w:color="auto"/>
              <w:right w:val="single" w:sz="4" w:space="0" w:color="auto"/>
            </w:tcBorders>
            <w:vAlign w:val="center"/>
          </w:tcPr>
          <w:p w:rsidR="00000000" w:rsidRDefault="006F7C86">
            <w:pPr>
              <w:widowControl/>
              <w:snapToGrid w:val="0"/>
              <w:jc w:val="center"/>
              <w:rPr>
                <w:rFonts w:ascii="宋体" w:hAnsi="宋体"/>
                <w:color w:val="000000"/>
                <w:kern w:val="0"/>
                <w:szCs w:val="21"/>
              </w:rPr>
            </w:pPr>
            <w:r>
              <w:rPr>
                <w:rFonts w:ascii="宋体" w:hAnsi="宋体"/>
                <w:color w:val="000000"/>
                <w:kern w:val="0"/>
                <w:szCs w:val="21"/>
              </w:rPr>
              <w:t>Y</w:t>
            </w:r>
            <w:r>
              <w:rPr>
                <w:rFonts w:ascii="宋体" w:hAnsi="宋体"/>
                <w:color w:val="000000"/>
                <w:kern w:val="0"/>
                <w:szCs w:val="21"/>
              </w:rPr>
              <w:t>＜</w:t>
            </w:r>
            <w:r>
              <w:rPr>
                <w:rFonts w:ascii="宋体" w:hAnsi="宋体"/>
                <w:color w:val="000000"/>
                <w:kern w:val="0"/>
                <w:szCs w:val="21"/>
              </w:rPr>
              <w:t>7</w:t>
            </w:r>
            <w:r>
              <w:rPr>
                <w:rFonts w:ascii="宋体" w:hAnsi="宋体"/>
                <w:color w:val="000000"/>
                <w:kern w:val="0"/>
                <w:szCs w:val="21"/>
              </w:rPr>
              <w:t>天</w:t>
            </w:r>
          </w:p>
        </w:tc>
        <w:tc>
          <w:tcPr>
            <w:tcW w:w="1" w:type="dxa"/>
            <w:tcBorders>
              <w:top w:val="single" w:sz="4" w:space="0" w:color="auto"/>
              <w:left w:val="single" w:sz="4" w:space="0" w:color="auto"/>
              <w:bottom w:val="single" w:sz="4" w:space="0" w:color="auto"/>
              <w:right w:val="single" w:sz="4" w:space="0" w:color="auto"/>
            </w:tcBorders>
            <w:vAlign w:val="center"/>
          </w:tcPr>
          <w:p w:rsidR="00000000" w:rsidRDefault="006F7C86">
            <w:pPr>
              <w:widowControl/>
              <w:snapToGrid w:val="0"/>
              <w:jc w:val="center"/>
              <w:rPr>
                <w:rFonts w:ascii="宋体" w:hAnsi="宋体"/>
                <w:color w:val="000000"/>
                <w:kern w:val="0"/>
                <w:szCs w:val="21"/>
              </w:rPr>
            </w:pPr>
            <w:r>
              <w:rPr>
                <w:rFonts w:ascii="宋体" w:hAnsi="宋体"/>
                <w:color w:val="000000"/>
                <w:kern w:val="0"/>
                <w:szCs w:val="21"/>
              </w:rPr>
              <w:t>1.50%</w:t>
            </w:r>
          </w:p>
        </w:tc>
      </w:tr>
      <w:tr w:rsidR="00000000">
        <w:trPr>
          <w:cantSplit/>
          <w:trHeight w:val="375"/>
        </w:trPr>
        <w:tc>
          <w:tcPr>
            <w:tcW w:w="1" w:type="dxa"/>
            <w:vMerge/>
            <w:tcBorders>
              <w:top w:val="single" w:sz="4" w:space="0" w:color="auto"/>
              <w:left w:val="single" w:sz="4" w:space="0" w:color="auto"/>
              <w:bottom w:val="single" w:sz="4" w:space="0" w:color="auto"/>
              <w:right w:val="single" w:sz="4" w:space="0" w:color="auto"/>
            </w:tcBorders>
            <w:vAlign w:val="center"/>
          </w:tcPr>
          <w:p w:rsidR="00000000" w:rsidRDefault="006F7C86">
            <w:pPr>
              <w:widowControl/>
              <w:snapToGrid w:val="0"/>
              <w:jc w:val="center"/>
              <w:rPr>
                <w:rFonts w:ascii="宋体" w:hAnsi="宋体"/>
                <w:color w:val="000000"/>
                <w:kern w:val="0"/>
                <w:szCs w:val="21"/>
              </w:rPr>
            </w:pPr>
          </w:p>
        </w:tc>
        <w:tc>
          <w:tcPr>
            <w:tcW w:w="1" w:type="dxa"/>
            <w:tcBorders>
              <w:top w:val="single" w:sz="4" w:space="0" w:color="auto"/>
              <w:left w:val="single" w:sz="4" w:space="0" w:color="auto"/>
              <w:bottom w:val="single" w:sz="4" w:space="0" w:color="auto"/>
              <w:right w:val="single" w:sz="4" w:space="0" w:color="auto"/>
            </w:tcBorders>
            <w:vAlign w:val="center"/>
          </w:tcPr>
          <w:p w:rsidR="00000000" w:rsidRDefault="006F7C86">
            <w:pPr>
              <w:widowControl/>
              <w:snapToGrid w:val="0"/>
              <w:jc w:val="center"/>
              <w:rPr>
                <w:rFonts w:ascii="宋体" w:hAnsi="宋体"/>
                <w:color w:val="000000"/>
                <w:kern w:val="0"/>
                <w:szCs w:val="21"/>
              </w:rPr>
            </w:pPr>
            <w:r>
              <w:rPr>
                <w:rFonts w:ascii="宋体" w:hAnsi="宋体"/>
                <w:color w:val="000000"/>
                <w:kern w:val="0"/>
                <w:szCs w:val="21"/>
              </w:rPr>
              <w:t>7</w:t>
            </w:r>
            <w:r>
              <w:rPr>
                <w:rFonts w:ascii="宋体" w:hAnsi="宋体"/>
                <w:color w:val="000000"/>
                <w:kern w:val="0"/>
                <w:szCs w:val="21"/>
              </w:rPr>
              <w:t>天</w:t>
            </w:r>
            <w:r>
              <w:rPr>
                <w:rFonts w:ascii="宋体" w:hAnsi="宋体"/>
                <w:color w:val="000000"/>
                <w:kern w:val="0"/>
                <w:szCs w:val="21"/>
              </w:rPr>
              <w:t>≤Y</w:t>
            </w:r>
            <w:r>
              <w:rPr>
                <w:rFonts w:ascii="宋体" w:hAnsi="宋体"/>
                <w:color w:val="000000"/>
                <w:kern w:val="0"/>
                <w:szCs w:val="21"/>
              </w:rPr>
              <w:t>＜</w:t>
            </w:r>
            <w:r>
              <w:rPr>
                <w:rFonts w:ascii="宋体" w:hAnsi="宋体"/>
                <w:color w:val="000000"/>
                <w:kern w:val="0"/>
                <w:szCs w:val="21"/>
              </w:rPr>
              <w:t>365</w:t>
            </w:r>
            <w:r>
              <w:rPr>
                <w:rFonts w:ascii="宋体" w:hAnsi="宋体"/>
                <w:color w:val="000000"/>
                <w:kern w:val="0"/>
                <w:szCs w:val="21"/>
              </w:rPr>
              <w:t>天</w:t>
            </w:r>
          </w:p>
        </w:tc>
        <w:tc>
          <w:tcPr>
            <w:tcW w:w="1" w:type="dxa"/>
            <w:tcBorders>
              <w:top w:val="single" w:sz="4" w:space="0" w:color="auto"/>
              <w:left w:val="single" w:sz="4" w:space="0" w:color="auto"/>
              <w:bottom w:val="single" w:sz="4" w:space="0" w:color="auto"/>
              <w:right w:val="single" w:sz="4" w:space="0" w:color="auto"/>
            </w:tcBorders>
            <w:vAlign w:val="center"/>
          </w:tcPr>
          <w:p w:rsidR="00000000" w:rsidRDefault="006F7C86">
            <w:pPr>
              <w:widowControl/>
              <w:snapToGrid w:val="0"/>
              <w:jc w:val="center"/>
              <w:rPr>
                <w:rFonts w:ascii="宋体" w:hAnsi="宋体"/>
                <w:color w:val="000000"/>
                <w:kern w:val="0"/>
                <w:szCs w:val="21"/>
              </w:rPr>
            </w:pPr>
            <w:r>
              <w:rPr>
                <w:rFonts w:ascii="宋体" w:hAnsi="宋体"/>
                <w:color w:val="000000"/>
                <w:kern w:val="0"/>
                <w:szCs w:val="21"/>
              </w:rPr>
              <w:t>0.75%</w:t>
            </w:r>
          </w:p>
        </w:tc>
      </w:tr>
      <w:tr w:rsidR="00000000">
        <w:trPr>
          <w:cantSplit/>
          <w:trHeight w:val="375"/>
        </w:trPr>
        <w:tc>
          <w:tcPr>
            <w:tcW w:w="1" w:type="dxa"/>
            <w:vMerge/>
            <w:tcBorders>
              <w:top w:val="single" w:sz="4" w:space="0" w:color="auto"/>
              <w:left w:val="single" w:sz="4" w:space="0" w:color="auto"/>
              <w:bottom w:val="single" w:sz="4" w:space="0" w:color="auto"/>
              <w:right w:val="single" w:sz="4" w:space="0" w:color="auto"/>
            </w:tcBorders>
            <w:vAlign w:val="center"/>
          </w:tcPr>
          <w:p w:rsidR="00000000" w:rsidRDefault="006F7C86">
            <w:pPr>
              <w:widowControl/>
              <w:snapToGrid w:val="0"/>
              <w:jc w:val="center"/>
              <w:rPr>
                <w:rFonts w:ascii="宋体" w:hAnsi="宋体"/>
                <w:color w:val="000000"/>
                <w:kern w:val="0"/>
                <w:szCs w:val="21"/>
              </w:rPr>
            </w:pPr>
          </w:p>
        </w:tc>
        <w:tc>
          <w:tcPr>
            <w:tcW w:w="1" w:type="dxa"/>
            <w:tcBorders>
              <w:top w:val="single" w:sz="4" w:space="0" w:color="auto"/>
              <w:left w:val="single" w:sz="4" w:space="0" w:color="auto"/>
              <w:bottom w:val="single" w:sz="4" w:space="0" w:color="auto"/>
              <w:right w:val="single" w:sz="4" w:space="0" w:color="auto"/>
            </w:tcBorders>
            <w:vAlign w:val="center"/>
          </w:tcPr>
          <w:p w:rsidR="00000000" w:rsidRDefault="006F7C86">
            <w:pPr>
              <w:widowControl/>
              <w:snapToGrid w:val="0"/>
              <w:jc w:val="center"/>
              <w:rPr>
                <w:rFonts w:ascii="宋体" w:hAnsi="宋体"/>
                <w:color w:val="000000"/>
                <w:kern w:val="0"/>
                <w:szCs w:val="21"/>
              </w:rPr>
            </w:pPr>
            <w:r>
              <w:rPr>
                <w:rFonts w:ascii="宋体" w:hAnsi="宋体"/>
                <w:color w:val="000000"/>
                <w:kern w:val="0"/>
                <w:szCs w:val="21"/>
              </w:rPr>
              <w:t>Y≥365</w:t>
            </w:r>
            <w:r>
              <w:rPr>
                <w:rFonts w:ascii="宋体" w:hAnsi="宋体"/>
                <w:color w:val="000000"/>
                <w:kern w:val="0"/>
                <w:szCs w:val="21"/>
              </w:rPr>
              <w:t>天</w:t>
            </w:r>
          </w:p>
        </w:tc>
        <w:tc>
          <w:tcPr>
            <w:tcW w:w="1" w:type="dxa"/>
            <w:tcBorders>
              <w:top w:val="single" w:sz="4" w:space="0" w:color="auto"/>
              <w:left w:val="single" w:sz="4" w:space="0" w:color="auto"/>
              <w:bottom w:val="single" w:sz="4" w:space="0" w:color="auto"/>
              <w:right w:val="single" w:sz="4" w:space="0" w:color="auto"/>
            </w:tcBorders>
            <w:vAlign w:val="center"/>
          </w:tcPr>
          <w:p w:rsidR="00000000" w:rsidRDefault="006F7C86">
            <w:pPr>
              <w:widowControl/>
              <w:snapToGrid w:val="0"/>
              <w:jc w:val="center"/>
              <w:rPr>
                <w:rFonts w:ascii="宋体" w:hAnsi="宋体"/>
                <w:color w:val="000000"/>
                <w:kern w:val="0"/>
                <w:szCs w:val="21"/>
              </w:rPr>
            </w:pPr>
            <w:r>
              <w:rPr>
                <w:rFonts w:ascii="宋体" w:hAnsi="宋体"/>
                <w:color w:val="000000"/>
                <w:kern w:val="0"/>
                <w:szCs w:val="21"/>
              </w:rPr>
              <w:t>0%</w:t>
            </w:r>
          </w:p>
        </w:tc>
      </w:tr>
    </w:tbl>
    <w:p w:rsidR="00000000" w:rsidRDefault="006F7C86">
      <w:pPr>
        <w:spacing w:before="240" w:line="360" w:lineRule="auto"/>
        <w:ind w:firstLineChars="200" w:firstLine="420"/>
        <w:rPr>
          <w:rFonts w:hint="eastAsia"/>
        </w:rPr>
      </w:pPr>
      <w:r>
        <w:rPr>
          <w:rFonts w:ascii="宋体" w:hAnsi="宋体" w:hint="eastAsia"/>
          <w:szCs w:val="21"/>
        </w:rPr>
        <w:t>本基金的赎回费用由赎回基金份额的基金份额持有人承担，对持有时间超过最短持有期限的不收取赎回费。</w:t>
      </w:r>
    </w:p>
    <w:p w:rsidR="00000000" w:rsidRDefault="006F7C86">
      <w:pPr>
        <w:spacing w:beforeLines="50" w:afterLines="50" w:line="360" w:lineRule="auto"/>
        <w:rPr>
          <w:rFonts w:ascii="宋体" w:hAnsi="宋体" w:hint="eastAsia"/>
          <w:b/>
          <w:sz w:val="24"/>
        </w:rPr>
      </w:pPr>
      <w:r>
        <w:rPr>
          <w:rFonts w:ascii="宋体" w:hAnsi="宋体" w:hint="eastAsia"/>
          <w:b/>
          <w:sz w:val="24"/>
        </w:rPr>
        <w:t xml:space="preserve">3.3 </w:t>
      </w:r>
      <w:bookmarkStart w:id="20" w:name="t_2_4_3_table"/>
      <w:bookmarkEnd w:id="20"/>
      <w:r>
        <w:rPr>
          <w:rFonts w:ascii="宋体" w:hAnsi="宋体" w:hint="eastAsia"/>
          <w:b/>
          <w:sz w:val="24"/>
        </w:rPr>
        <w:t>其他与赎回相关的事项</w:t>
      </w:r>
    </w:p>
    <w:p w:rsidR="00000000" w:rsidRDefault="006F7C86">
      <w:pPr>
        <w:autoSpaceDE w:val="0"/>
        <w:autoSpaceDN w:val="0"/>
        <w:adjustRightInd w:val="0"/>
        <w:snapToGrid w:val="0"/>
        <w:spacing w:line="360" w:lineRule="auto"/>
        <w:ind w:firstLineChars="200" w:firstLine="420"/>
        <w:jc w:val="left"/>
        <w:rPr>
          <w:rFonts w:ascii="宋体" w:hAnsi="宋体" w:hint="eastAsia"/>
          <w:szCs w:val="21"/>
        </w:rPr>
      </w:pPr>
      <w:bookmarkStart w:id="21" w:name="t_2_4_3_2823_a1_fm1"/>
      <w:bookmarkEnd w:id="21"/>
      <w:r>
        <w:rPr>
          <w:rFonts w:ascii="宋体" w:hAnsi="宋体" w:hint="eastAsia"/>
          <w:szCs w:val="21"/>
        </w:rPr>
        <w:t>基金管理人可以在基金合同约定范围内调整费率或收费方式，并最迟应</w:t>
      </w:r>
      <w:r>
        <w:rPr>
          <w:rFonts w:ascii="宋体" w:hAnsi="宋体" w:hint="eastAsia"/>
          <w:szCs w:val="21"/>
        </w:rPr>
        <w:t>于新的费率或收费方式实施日前按照《信息披露办法》等相关法律法规的有关规定在规定媒介上公告。</w:t>
      </w:r>
    </w:p>
    <w:p w:rsidR="00000000" w:rsidRDefault="006F7C86">
      <w:pPr>
        <w:autoSpaceDE w:val="0"/>
        <w:autoSpaceDN w:val="0"/>
        <w:adjustRightInd w:val="0"/>
        <w:snapToGrid w:val="0"/>
        <w:spacing w:line="360" w:lineRule="auto"/>
        <w:ind w:firstLineChars="200" w:firstLine="420"/>
        <w:jc w:val="left"/>
        <w:rPr>
          <w:rFonts w:ascii="宋体" w:hAnsi="宋体" w:hint="eastAsia"/>
          <w:szCs w:val="21"/>
        </w:rPr>
      </w:pPr>
      <w:r>
        <w:rPr>
          <w:rFonts w:ascii="宋体" w:hAnsi="宋体" w:hint="eastAsia"/>
          <w:szCs w:val="21"/>
        </w:rPr>
        <w:t>当发生大额赎回情形时，基金管理人可以采用摆动定价机制，以确保基金估值的公平性。具体处理原则与操作规范遵循相关法律法规以及监管部门、自律规则的规定。</w:t>
      </w:r>
    </w:p>
    <w:p w:rsidR="00000000" w:rsidRDefault="006F7C86">
      <w:pPr>
        <w:pStyle w:val="2"/>
        <w:spacing w:beforeLines="50" w:afterLines="50" w:line="360" w:lineRule="auto"/>
        <w:rPr>
          <w:rFonts w:ascii="宋体" w:eastAsia="宋体" w:hAnsi="宋体" w:hint="eastAsia"/>
          <w:bCs/>
          <w:sz w:val="24"/>
          <w:szCs w:val="24"/>
        </w:rPr>
      </w:pPr>
      <w:r>
        <w:rPr>
          <w:rFonts w:ascii="宋体" w:eastAsia="宋体" w:hAnsi="宋体" w:hint="eastAsia"/>
          <w:bCs/>
          <w:sz w:val="24"/>
          <w:szCs w:val="24"/>
        </w:rPr>
        <w:lastRenderedPageBreak/>
        <w:t xml:space="preserve">4 </w:t>
      </w:r>
      <w:r>
        <w:rPr>
          <w:rFonts w:ascii="宋体" w:eastAsia="宋体" w:hAnsi="宋体" w:hint="eastAsia"/>
          <w:bCs/>
          <w:sz w:val="24"/>
          <w:szCs w:val="24"/>
        </w:rPr>
        <w:t>基金销售机构</w:t>
      </w:r>
    </w:p>
    <w:p w:rsidR="00000000" w:rsidRDefault="006F7C86">
      <w:pPr>
        <w:spacing w:beforeLines="50" w:afterLines="50" w:line="360" w:lineRule="auto"/>
        <w:jc w:val="left"/>
        <w:rPr>
          <w:rFonts w:ascii="宋体" w:hAnsi="宋体" w:hint="eastAsia"/>
          <w:b/>
          <w:sz w:val="24"/>
        </w:rPr>
      </w:pPr>
      <w:r>
        <w:rPr>
          <w:rFonts w:ascii="宋体" w:hAnsi="宋体" w:hint="eastAsia"/>
          <w:b/>
          <w:sz w:val="24"/>
        </w:rPr>
        <w:t>4.1</w:t>
      </w:r>
      <w:bookmarkStart w:id="22" w:name="t_2_7_table"/>
      <w:bookmarkEnd w:id="22"/>
      <w:r>
        <w:rPr>
          <w:rFonts w:ascii="宋体" w:hAnsi="宋体" w:hint="eastAsia"/>
          <w:b/>
          <w:sz w:val="24"/>
        </w:rPr>
        <w:t xml:space="preserve"> </w:t>
      </w:r>
      <w:r>
        <w:rPr>
          <w:rFonts w:ascii="宋体" w:hAnsi="宋体" w:hint="eastAsia"/>
          <w:b/>
          <w:sz w:val="24"/>
        </w:rPr>
        <w:t>场外销售机构</w:t>
      </w:r>
    </w:p>
    <w:p w:rsidR="00000000" w:rsidRDefault="006F7C86">
      <w:pPr>
        <w:spacing w:beforeLines="50" w:afterLines="50" w:line="360" w:lineRule="auto"/>
        <w:jc w:val="left"/>
        <w:rPr>
          <w:rFonts w:ascii="宋体" w:hAnsi="宋体" w:hint="eastAsia"/>
          <w:b/>
          <w:sz w:val="24"/>
        </w:rPr>
      </w:pPr>
      <w:r>
        <w:rPr>
          <w:rFonts w:ascii="宋体" w:hAnsi="宋体" w:hint="eastAsia"/>
          <w:b/>
          <w:sz w:val="24"/>
        </w:rPr>
        <w:t xml:space="preserve">4.1.1 </w:t>
      </w:r>
      <w:r>
        <w:rPr>
          <w:rFonts w:ascii="宋体" w:hAnsi="宋体" w:hint="eastAsia"/>
          <w:b/>
          <w:sz w:val="24"/>
        </w:rPr>
        <w:t>直销机构</w:t>
      </w:r>
    </w:p>
    <w:p w:rsidR="00000000" w:rsidRDefault="006F7C86">
      <w:pPr>
        <w:spacing w:line="360" w:lineRule="auto"/>
        <w:ind w:firstLineChars="200" w:firstLine="420"/>
        <w:rPr>
          <w:rFonts w:ascii="宋体" w:hAnsi="宋体"/>
          <w:szCs w:val="21"/>
        </w:rPr>
      </w:pPr>
      <w:bookmarkStart w:id="23" w:name="t_2_7_2833_a1_fm1"/>
      <w:bookmarkEnd w:id="23"/>
      <w:r>
        <w:rPr>
          <w:rFonts w:ascii="宋体" w:hAnsi="宋体" w:hint="eastAsia"/>
          <w:szCs w:val="21"/>
        </w:rPr>
        <w:t>（</w:t>
      </w:r>
      <w:r>
        <w:rPr>
          <w:rFonts w:ascii="宋体" w:hAnsi="宋体"/>
          <w:szCs w:val="21"/>
        </w:rPr>
        <w:t>1</w:t>
      </w:r>
      <w:r>
        <w:rPr>
          <w:rFonts w:ascii="宋体" w:hAnsi="宋体"/>
          <w:szCs w:val="21"/>
        </w:rPr>
        <w:t>）银华基金管理股份有限公司北京直销中心</w:t>
      </w:r>
      <w:r>
        <w:rPr>
          <w:rFonts w:ascii="宋体" w:hAnsi="宋体"/>
          <w:szCs w:val="21"/>
        </w:rPr>
        <w:t xml:space="preserve"> </w:t>
      </w:r>
    </w:p>
    <w:p w:rsidR="00000000" w:rsidRDefault="006F7C86">
      <w:pPr>
        <w:spacing w:line="360" w:lineRule="auto"/>
        <w:ind w:firstLineChars="200" w:firstLine="420"/>
        <w:rPr>
          <w:rFonts w:ascii="宋体" w:hAnsi="宋体"/>
          <w:szCs w:val="21"/>
        </w:rPr>
      </w:pPr>
      <w:r>
        <w:rPr>
          <w:rFonts w:ascii="宋体" w:hAnsi="宋体" w:hint="eastAsia"/>
          <w:szCs w:val="21"/>
        </w:rPr>
        <w:t>地址：北京市东城区东长安街</w:t>
      </w:r>
      <w:r>
        <w:rPr>
          <w:rFonts w:ascii="宋体" w:hAnsi="宋体"/>
          <w:szCs w:val="21"/>
        </w:rPr>
        <w:t>1</w:t>
      </w:r>
      <w:r>
        <w:rPr>
          <w:rFonts w:ascii="宋体" w:hAnsi="宋体"/>
          <w:szCs w:val="21"/>
        </w:rPr>
        <w:t>号东方广场东方经贸城</w:t>
      </w:r>
      <w:r>
        <w:rPr>
          <w:rFonts w:ascii="宋体" w:hAnsi="宋体"/>
          <w:szCs w:val="21"/>
        </w:rPr>
        <w:t>C2</w:t>
      </w:r>
      <w:r>
        <w:rPr>
          <w:rFonts w:ascii="宋体" w:hAnsi="宋体"/>
          <w:szCs w:val="21"/>
        </w:rPr>
        <w:t>办公楼</w:t>
      </w:r>
      <w:r>
        <w:rPr>
          <w:rFonts w:ascii="宋体" w:hAnsi="宋体"/>
          <w:szCs w:val="21"/>
        </w:rPr>
        <w:t>15</w:t>
      </w:r>
      <w:r>
        <w:rPr>
          <w:rFonts w:ascii="宋体" w:hAnsi="宋体"/>
          <w:szCs w:val="21"/>
        </w:rPr>
        <w:t>层</w:t>
      </w:r>
      <w:r>
        <w:rPr>
          <w:rFonts w:ascii="宋体" w:hAnsi="宋体"/>
          <w:szCs w:val="21"/>
        </w:rPr>
        <w:t xml:space="preserve"> </w:t>
      </w:r>
    </w:p>
    <w:p w:rsidR="00000000" w:rsidRDefault="006F7C86">
      <w:pPr>
        <w:spacing w:line="360" w:lineRule="auto"/>
        <w:ind w:firstLineChars="200" w:firstLine="420"/>
        <w:rPr>
          <w:rFonts w:ascii="宋体" w:hAnsi="宋体"/>
          <w:szCs w:val="21"/>
        </w:rPr>
      </w:pPr>
      <w:r>
        <w:rPr>
          <w:rFonts w:ascii="宋体" w:hAnsi="宋体" w:hint="eastAsia"/>
          <w:szCs w:val="21"/>
        </w:rPr>
        <w:t>电话：</w:t>
      </w:r>
      <w:r>
        <w:rPr>
          <w:rFonts w:ascii="宋体" w:hAnsi="宋体"/>
          <w:szCs w:val="21"/>
        </w:rPr>
        <w:t xml:space="preserve">010-58162950 </w:t>
      </w:r>
    </w:p>
    <w:p w:rsidR="00000000" w:rsidRDefault="006F7C86">
      <w:pPr>
        <w:spacing w:line="360" w:lineRule="auto"/>
        <w:ind w:firstLineChars="200" w:firstLine="420"/>
        <w:rPr>
          <w:rFonts w:ascii="宋体" w:hAnsi="宋体"/>
          <w:szCs w:val="21"/>
        </w:rPr>
      </w:pPr>
      <w:r>
        <w:rPr>
          <w:rFonts w:ascii="宋体" w:hAnsi="宋体" w:hint="eastAsia"/>
          <w:szCs w:val="21"/>
        </w:rPr>
        <w:t>传真：</w:t>
      </w:r>
      <w:r>
        <w:rPr>
          <w:rFonts w:ascii="宋体" w:hAnsi="宋体"/>
          <w:szCs w:val="21"/>
        </w:rPr>
        <w:t xml:space="preserve">010-58162951 </w:t>
      </w:r>
    </w:p>
    <w:p w:rsidR="00000000" w:rsidRDefault="006F7C86">
      <w:pPr>
        <w:spacing w:line="360" w:lineRule="auto"/>
        <w:ind w:firstLineChars="200" w:firstLine="420"/>
        <w:rPr>
          <w:rFonts w:ascii="宋体" w:hAnsi="宋体"/>
          <w:szCs w:val="21"/>
        </w:rPr>
      </w:pPr>
      <w:r>
        <w:rPr>
          <w:rFonts w:ascii="宋体" w:hAnsi="宋体" w:hint="eastAsia"/>
          <w:szCs w:val="21"/>
        </w:rPr>
        <w:t>联系人：展璐</w:t>
      </w:r>
      <w:r>
        <w:rPr>
          <w:rFonts w:ascii="宋体" w:hAnsi="宋体"/>
          <w:szCs w:val="21"/>
        </w:rPr>
        <w:t xml:space="preserve"> </w:t>
      </w:r>
    </w:p>
    <w:p w:rsidR="00000000" w:rsidRDefault="006F7C86">
      <w:pPr>
        <w:spacing w:line="360" w:lineRule="auto"/>
        <w:ind w:firstLineChars="200" w:firstLine="420"/>
        <w:rPr>
          <w:rFonts w:ascii="宋体" w:hAnsi="宋体"/>
          <w:szCs w:val="21"/>
        </w:rPr>
      </w:pPr>
      <w:r>
        <w:rPr>
          <w:rFonts w:ascii="宋体" w:hAnsi="宋体" w:hint="eastAsia"/>
          <w:szCs w:val="21"/>
        </w:rPr>
        <w:t>网址：</w:t>
      </w:r>
      <w:r>
        <w:rPr>
          <w:rFonts w:ascii="宋体" w:hAnsi="宋体"/>
          <w:szCs w:val="21"/>
        </w:rPr>
        <w:t>www</w:t>
      </w:r>
      <w:r>
        <w:rPr>
          <w:rFonts w:ascii="宋体" w:hAnsi="宋体"/>
          <w:szCs w:val="21"/>
        </w:rPr>
        <w:t xml:space="preserve">.yhfund.com.cn </w:t>
      </w:r>
    </w:p>
    <w:p w:rsidR="00000000" w:rsidRDefault="006F7C86">
      <w:pPr>
        <w:spacing w:line="360" w:lineRule="auto"/>
        <w:ind w:firstLineChars="200" w:firstLine="420"/>
        <w:rPr>
          <w:rFonts w:ascii="宋体" w:hAnsi="宋体"/>
          <w:szCs w:val="21"/>
        </w:rPr>
      </w:pPr>
      <w:r>
        <w:rPr>
          <w:rFonts w:ascii="宋体" w:hAnsi="宋体" w:hint="eastAsia"/>
          <w:szCs w:val="21"/>
        </w:rPr>
        <w:t>全国统一客户服务电话：</w:t>
      </w:r>
      <w:r>
        <w:rPr>
          <w:rFonts w:ascii="宋体" w:hAnsi="宋体"/>
          <w:szCs w:val="21"/>
        </w:rPr>
        <w:t xml:space="preserve">400-678-3333 </w:t>
      </w:r>
    </w:p>
    <w:p w:rsidR="00000000" w:rsidRDefault="006F7C86">
      <w:pPr>
        <w:spacing w:line="360" w:lineRule="auto"/>
        <w:ind w:firstLineChars="200" w:firstLine="420"/>
        <w:rPr>
          <w:rFonts w:ascii="宋体" w:hAnsi="宋体"/>
          <w:szCs w:val="21"/>
        </w:rPr>
      </w:pPr>
      <w:r>
        <w:rPr>
          <w:rFonts w:ascii="宋体" w:hAnsi="宋体" w:hint="eastAsia"/>
          <w:szCs w:val="21"/>
        </w:rPr>
        <w:t>（</w:t>
      </w:r>
      <w:r>
        <w:rPr>
          <w:rFonts w:ascii="宋体" w:hAnsi="宋体"/>
          <w:szCs w:val="21"/>
        </w:rPr>
        <w:t>2</w:t>
      </w:r>
      <w:r>
        <w:rPr>
          <w:rFonts w:ascii="宋体" w:hAnsi="宋体"/>
          <w:szCs w:val="21"/>
        </w:rPr>
        <w:t>）银华基金管理股份有限公司网上直销</w:t>
      </w:r>
      <w:r>
        <w:rPr>
          <w:rFonts w:ascii="宋体" w:hAnsi="宋体" w:hint="eastAsia"/>
          <w:szCs w:val="21"/>
        </w:rPr>
        <w:t>交易系统</w:t>
      </w:r>
    </w:p>
    <w:p w:rsidR="00000000" w:rsidRDefault="006F7C86">
      <w:pPr>
        <w:spacing w:line="360" w:lineRule="auto"/>
        <w:ind w:firstLineChars="200" w:firstLine="420"/>
        <w:rPr>
          <w:rFonts w:ascii="宋体" w:hAnsi="宋体" w:hint="eastAsia"/>
          <w:szCs w:val="21"/>
        </w:rPr>
      </w:pPr>
      <w:r>
        <w:rPr>
          <w:rFonts w:ascii="宋体" w:hAnsi="宋体" w:hint="eastAsia"/>
          <w:szCs w:val="21"/>
        </w:rPr>
        <w:t>网上交易网址：</w:t>
      </w:r>
      <w:r>
        <w:rPr>
          <w:rFonts w:ascii="宋体" w:hAnsi="宋体" w:hint="eastAsia"/>
          <w:szCs w:val="21"/>
        </w:rPr>
        <w:t>https://trade.yhfund.com.cn/yhxntrade</w:t>
      </w:r>
    </w:p>
    <w:p w:rsidR="00000000" w:rsidRDefault="006F7C86">
      <w:pPr>
        <w:spacing w:line="360" w:lineRule="auto"/>
        <w:ind w:firstLineChars="200" w:firstLine="420"/>
        <w:rPr>
          <w:rFonts w:ascii="宋体" w:hAnsi="宋体" w:hint="eastAsia"/>
          <w:szCs w:val="21"/>
        </w:rPr>
      </w:pPr>
      <w:r>
        <w:rPr>
          <w:rFonts w:ascii="宋体" w:hAnsi="宋体" w:hint="eastAsia"/>
          <w:szCs w:val="21"/>
        </w:rPr>
        <w:t>网上交易网址（移动端）：</w:t>
      </w:r>
      <w:hyperlink r:id="rId7" w:history="1">
        <w:r>
          <w:rPr>
            <w:rStyle w:val="ab"/>
            <w:rFonts w:ascii="宋体" w:hAnsi="宋体" w:hint="eastAsia"/>
            <w:szCs w:val="21"/>
          </w:rPr>
          <w:t>https://zhixiao.yhfund.com.cn</w:t>
        </w:r>
      </w:hyperlink>
    </w:p>
    <w:p w:rsidR="00000000" w:rsidRDefault="006F7C86">
      <w:pPr>
        <w:spacing w:line="360" w:lineRule="auto"/>
        <w:ind w:firstLineChars="200" w:firstLine="420"/>
        <w:rPr>
          <w:rFonts w:ascii="宋体" w:hAnsi="宋体"/>
          <w:szCs w:val="21"/>
        </w:rPr>
      </w:pPr>
      <w:r>
        <w:rPr>
          <w:rFonts w:ascii="宋体" w:hAnsi="宋体" w:hint="eastAsia"/>
          <w:szCs w:val="21"/>
        </w:rPr>
        <w:t>客户服务电话：</w:t>
      </w:r>
      <w:r>
        <w:rPr>
          <w:rFonts w:ascii="宋体" w:hAnsi="宋体"/>
          <w:szCs w:val="21"/>
        </w:rPr>
        <w:t>010-85186558, 4006783333</w:t>
      </w:r>
    </w:p>
    <w:p w:rsidR="00000000" w:rsidRDefault="006F7C86">
      <w:pPr>
        <w:spacing w:beforeLines="50" w:afterLines="50" w:line="360" w:lineRule="auto"/>
        <w:jc w:val="left"/>
        <w:rPr>
          <w:rFonts w:ascii="宋体" w:hAnsi="宋体" w:hint="eastAsia"/>
          <w:b/>
          <w:sz w:val="24"/>
        </w:rPr>
      </w:pPr>
      <w:r>
        <w:rPr>
          <w:rFonts w:ascii="宋体" w:hAnsi="宋体" w:hint="eastAsia"/>
          <w:b/>
          <w:sz w:val="24"/>
        </w:rPr>
        <w:t xml:space="preserve">4.1.2 </w:t>
      </w:r>
      <w:r>
        <w:rPr>
          <w:rFonts w:ascii="宋体" w:hAnsi="宋体" w:hint="eastAsia"/>
          <w:b/>
          <w:sz w:val="24"/>
        </w:rPr>
        <w:t>场外代销机构</w:t>
      </w:r>
    </w:p>
    <w:p w:rsidR="00000000" w:rsidRDefault="006F7C86">
      <w:pPr>
        <w:autoSpaceDE w:val="0"/>
        <w:autoSpaceDN w:val="0"/>
        <w:adjustRightInd w:val="0"/>
        <w:snapToGrid w:val="0"/>
        <w:spacing w:line="360" w:lineRule="auto"/>
        <w:ind w:firstLineChars="200" w:firstLine="420"/>
        <w:jc w:val="left"/>
        <w:rPr>
          <w:rFonts w:ascii="宋体" w:hAnsi="宋体" w:hint="eastAsia"/>
          <w:szCs w:val="21"/>
        </w:rPr>
      </w:pPr>
      <w:r>
        <w:rPr>
          <w:rFonts w:ascii="宋体" w:hAnsi="宋体" w:hint="eastAsia"/>
          <w:szCs w:val="21"/>
        </w:rPr>
        <w:t>中银国际证券股份有限公司、</w:t>
      </w:r>
      <w:r>
        <w:rPr>
          <w:rFonts w:ascii="宋体" w:hAnsi="宋体" w:hint="eastAsia"/>
          <w:szCs w:val="21"/>
        </w:rPr>
        <w:t>申万宏源西部证券有限公司、申万宏源证券有限公司、北京银行股份有限公司、中泰证券股份有限公司、中国建设银行股份有限公司、中国光大银行股份有限公司、中信证券华南股份有限公司、宁波银行股份有限公司、华泰证券股份有限公司、中国中金财富证券有限公司、中信银行股份有限公司、东方证券股份有限公司、国泰海通证券股份有限公司、长江证券股份有限公司、广发证券股份有限公司、国投证券股份有限公司、平安银行股份有限公司、中信建投证券股份有限公司、兴业证券股份有限公司、中国银行股份有限公司、招商证券股份有限公司、交通银行股份有限公司、</w:t>
      </w:r>
      <w:r>
        <w:rPr>
          <w:rFonts w:ascii="宋体" w:hAnsi="宋体" w:hint="eastAsia"/>
          <w:szCs w:val="21"/>
        </w:rPr>
        <w:t>招商银行股份有限公司、中信证券股份有限公司、中国农业银行股份有限公司、兴业银行股份有限公司、中信证券</w:t>
      </w:r>
      <w:r>
        <w:rPr>
          <w:rFonts w:ascii="宋体" w:hAnsi="宋体" w:hint="eastAsia"/>
          <w:szCs w:val="21"/>
        </w:rPr>
        <w:t>(</w:t>
      </w:r>
      <w:r>
        <w:rPr>
          <w:rFonts w:ascii="宋体" w:hAnsi="宋体" w:hint="eastAsia"/>
          <w:szCs w:val="21"/>
        </w:rPr>
        <w:t>山东</w:t>
      </w:r>
      <w:r>
        <w:rPr>
          <w:rFonts w:ascii="宋体" w:hAnsi="宋体" w:hint="eastAsia"/>
          <w:szCs w:val="21"/>
        </w:rPr>
        <w:t>)</w:t>
      </w:r>
      <w:r>
        <w:rPr>
          <w:rFonts w:ascii="宋体" w:hAnsi="宋体" w:hint="eastAsia"/>
          <w:szCs w:val="21"/>
        </w:rPr>
        <w:t>有限责任公司、国信证券股份有限公司、</w:t>
      </w:r>
      <w:r>
        <w:rPr>
          <w:rFonts w:hint="eastAsia"/>
        </w:rPr>
        <w:t>上海好买基金销售有限公司、东方财富证券股份有限公司、珠海盈米基金销售有限公司、蚂蚁（杭州）基金销售有限公司、上海天天基金销售有限公司、浙江同花顺基金销售有限公司、北京雪球基金销售有限公司、京东肯特瑞基金销售有限公司、腾安基金销售（深圳）有限公司</w:t>
      </w:r>
      <w:r>
        <w:rPr>
          <w:rFonts w:ascii="宋体" w:hAnsi="宋体" w:hint="eastAsia"/>
          <w:szCs w:val="21"/>
        </w:rPr>
        <w:t>（以上排名不分先后）。</w:t>
      </w:r>
    </w:p>
    <w:p w:rsidR="00000000" w:rsidRDefault="006F7C86">
      <w:pPr>
        <w:autoSpaceDE w:val="0"/>
        <w:autoSpaceDN w:val="0"/>
        <w:adjustRightInd w:val="0"/>
        <w:snapToGrid w:val="0"/>
        <w:spacing w:line="360" w:lineRule="auto"/>
        <w:ind w:firstLineChars="200" w:firstLine="420"/>
        <w:jc w:val="left"/>
        <w:rPr>
          <w:rFonts w:hAnsi="宋体" w:hint="eastAsia"/>
          <w:szCs w:val="21"/>
        </w:rPr>
      </w:pPr>
      <w:r>
        <w:rPr>
          <w:rFonts w:ascii="宋体" w:hAnsi="宋体" w:hint="eastAsia"/>
          <w:szCs w:val="21"/>
        </w:rPr>
        <w:t>基金管理人将依据《暂行规定》要求和基金合同等的规定，选择符合要求的机构销售本基金</w:t>
      </w:r>
      <w:r>
        <w:rPr>
          <w:rFonts w:ascii="宋体" w:hAnsi="宋体" w:hint="eastAsia"/>
          <w:szCs w:val="21"/>
        </w:rPr>
        <w:t>Y</w:t>
      </w:r>
      <w:r>
        <w:rPr>
          <w:rFonts w:ascii="宋体" w:hAnsi="宋体" w:hint="eastAsia"/>
          <w:szCs w:val="21"/>
        </w:rPr>
        <w:t>类基金份额，并届时</w:t>
      </w:r>
      <w:r>
        <w:rPr>
          <w:rFonts w:ascii="宋体" w:hAnsi="宋体" w:hint="eastAsia"/>
          <w:szCs w:val="21"/>
        </w:rPr>
        <w:t>在基金管理人网站公示。</w:t>
      </w:r>
    </w:p>
    <w:p w:rsidR="00000000" w:rsidRDefault="006F7C86">
      <w:pPr>
        <w:spacing w:beforeLines="50" w:afterLines="50" w:line="360" w:lineRule="auto"/>
        <w:jc w:val="left"/>
        <w:rPr>
          <w:rFonts w:ascii="宋体" w:hAnsi="宋体" w:hint="eastAsia"/>
          <w:b/>
          <w:sz w:val="24"/>
        </w:rPr>
      </w:pPr>
      <w:r>
        <w:rPr>
          <w:rFonts w:ascii="宋体" w:hAnsi="宋体" w:hint="eastAsia"/>
          <w:b/>
          <w:sz w:val="24"/>
        </w:rPr>
        <w:t xml:space="preserve">4.1.3 </w:t>
      </w:r>
      <w:r>
        <w:rPr>
          <w:rFonts w:ascii="宋体" w:hAnsi="宋体" w:hint="eastAsia"/>
          <w:b/>
          <w:sz w:val="24"/>
        </w:rPr>
        <w:t>网上直销交易系统</w:t>
      </w:r>
    </w:p>
    <w:p w:rsidR="00000000" w:rsidRDefault="006F7C86">
      <w:pPr>
        <w:spacing w:beforeLines="50" w:afterLines="50" w:line="360" w:lineRule="auto"/>
        <w:ind w:firstLineChars="200" w:firstLine="420"/>
        <w:jc w:val="left"/>
        <w:rPr>
          <w:rFonts w:ascii="宋体" w:hAnsi="宋体" w:hint="eastAsia"/>
          <w:b/>
          <w:sz w:val="24"/>
        </w:rPr>
      </w:pPr>
      <w:r>
        <w:rPr>
          <w:rFonts w:ascii="宋体" w:hAnsi="宋体" w:hint="eastAsia"/>
          <w:szCs w:val="21"/>
        </w:rPr>
        <w:t>投资者可以通过本公司网上直销交易系统办理本基金的赎回业务，具体交易细则请参阅本公司网站公告。</w:t>
      </w:r>
    </w:p>
    <w:p w:rsidR="00000000" w:rsidRDefault="006F7C86">
      <w:pPr>
        <w:tabs>
          <w:tab w:val="left" w:pos="2655"/>
        </w:tabs>
        <w:spacing w:beforeLines="50" w:afterLines="50" w:line="360" w:lineRule="auto"/>
        <w:jc w:val="left"/>
        <w:rPr>
          <w:rFonts w:ascii="宋体" w:hAnsi="宋体" w:hint="eastAsia"/>
          <w:b/>
          <w:sz w:val="24"/>
        </w:rPr>
      </w:pPr>
      <w:r>
        <w:rPr>
          <w:rFonts w:ascii="宋体" w:hAnsi="宋体" w:hint="eastAsia"/>
          <w:b/>
          <w:sz w:val="24"/>
        </w:rPr>
        <w:t xml:space="preserve">4.2 </w:t>
      </w:r>
      <w:r>
        <w:rPr>
          <w:rFonts w:ascii="宋体" w:hAnsi="宋体" w:hint="eastAsia"/>
          <w:b/>
          <w:sz w:val="24"/>
        </w:rPr>
        <w:t>场内销售机构</w:t>
      </w:r>
      <w:r>
        <w:rPr>
          <w:rFonts w:ascii="宋体" w:hAnsi="宋体"/>
          <w:b/>
          <w:sz w:val="24"/>
        </w:rPr>
        <w:tab/>
      </w:r>
    </w:p>
    <w:p w:rsidR="00000000" w:rsidRDefault="006F7C86">
      <w:pPr>
        <w:spacing w:line="360" w:lineRule="auto"/>
        <w:ind w:firstLineChars="200" w:firstLine="420"/>
        <w:jc w:val="left"/>
        <w:rPr>
          <w:rFonts w:ascii="宋体" w:hAnsi="宋体" w:hint="eastAsia"/>
          <w:szCs w:val="21"/>
        </w:rPr>
      </w:pPr>
      <w:bookmarkStart w:id="24" w:name="t_2_7_2835_a1_fm1"/>
      <w:bookmarkEnd w:id="24"/>
      <w:r>
        <w:rPr>
          <w:rFonts w:ascii="宋体" w:hAnsi="宋体" w:hint="eastAsia"/>
          <w:szCs w:val="21"/>
        </w:rPr>
        <w:t>无。</w:t>
      </w:r>
    </w:p>
    <w:p w:rsidR="00000000" w:rsidRDefault="006F7C86">
      <w:pPr>
        <w:pStyle w:val="2"/>
        <w:spacing w:beforeLines="50" w:afterLines="50" w:line="360" w:lineRule="auto"/>
        <w:rPr>
          <w:rFonts w:ascii="宋体" w:eastAsia="宋体" w:hAnsi="宋体" w:hint="eastAsia"/>
          <w:bCs/>
          <w:sz w:val="24"/>
          <w:szCs w:val="24"/>
        </w:rPr>
      </w:pPr>
      <w:r>
        <w:rPr>
          <w:rFonts w:ascii="宋体" w:eastAsia="宋体" w:hAnsi="宋体" w:hint="eastAsia"/>
          <w:bCs/>
          <w:sz w:val="24"/>
          <w:szCs w:val="24"/>
        </w:rPr>
        <w:t xml:space="preserve">5 </w:t>
      </w:r>
      <w:bookmarkStart w:id="25" w:name="t_2_9_table"/>
      <w:bookmarkEnd w:id="25"/>
      <w:r>
        <w:rPr>
          <w:rFonts w:ascii="宋体" w:eastAsia="宋体" w:hAnsi="宋体" w:hint="eastAsia"/>
          <w:bCs/>
          <w:sz w:val="24"/>
          <w:szCs w:val="24"/>
        </w:rPr>
        <w:t>其他需要提示的事项</w:t>
      </w:r>
    </w:p>
    <w:p w:rsidR="00000000" w:rsidRDefault="006F7C86">
      <w:pPr>
        <w:numPr>
          <w:ilvl w:val="0"/>
          <w:numId w:val="2"/>
        </w:numPr>
        <w:spacing w:line="360" w:lineRule="auto"/>
        <w:ind w:firstLineChars="200" w:firstLine="420"/>
        <w:jc w:val="left"/>
        <w:rPr>
          <w:rFonts w:ascii="宋体" w:hAnsi="宋体"/>
          <w:szCs w:val="21"/>
        </w:rPr>
      </w:pPr>
      <w:bookmarkStart w:id="26" w:name="t_2_9_2646_a1_fm1"/>
      <w:bookmarkEnd w:id="26"/>
      <w:r>
        <w:rPr>
          <w:rFonts w:ascii="宋体" w:hAnsi="宋体" w:hint="eastAsia"/>
          <w:szCs w:val="21"/>
        </w:rPr>
        <w:t>本公告仅对本基金</w:t>
      </w:r>
      <w:r>
        <w:rPr>
          <w:rFonts w:ascii="宋体" w:hAnsi="宋体" w:hint="eastAsia"/>
          <w:szCs w:val="21"/>
        </w:rPr>
        <w:t>Y</w:t>
      </w:r>
      <w:r>
        <w:rPr>
          <w:rFonts w:ascii="宋体" w:hAnsi="宋体" w:hint="eastAsia"/>
          <w:szCs w:val="21"/>
        </w:rPr>
        <w:t>类基金份额</w:t>
      </w:r>
      <w:r>
        <w:rPr>
          <w:rFonts w:ascii="宋体" w:hAnsi="宋体" w:hint="eastAsia"/>
          <w:szCs w:val="21"/>
        </w:rPr>
        <w:t>开放日常赎回业务事项予以说明。</w:t>
      </w:r>
      <w:r>
        <w:rPr>
          <w:rFonts w:ascii="宋体" w:hAnsi="宋体" w:hint="eastAsia"/>
          <w:szCs w:val="21"/>
        </w:rPr>
        <w:t>本基金暂不开通转换业务。</w:t>
      </w:r>
      <w:r>
        <w:rPr>
          <w:rFonts w:ascii="宋体" w:hAnsi="宋体" w:hint="eastAsia"/>
          <w:szCs w:val="21"/>
        </w:rPr>
        <w:t>投资者欲了解本基金详细情况，请认真阅读本公司网站上刊登的《招募说明书》，亦可登陆本公司网站（</w:t>
      </w:r>
      <w:r>
        <w:rPr>
          <w:rFonts w:ascii="宋体" w:hAnsi="宋体" w:hint="eastAsia"/>
          <w:szCs w:val="21"/>
        </w:rPr>
        <w:t>www.yhfund.com.cn</w:t>
      </w:r>
      <w:r>
        <w:rPr>
          <w:rFonts w:ascii="宋体" w:hAnsi="宋体" w:hint="eastAsia"/>
          <w:szCs w:val="21"/>
        </w:rPr>
        <w:t>）查询或者拨打本公司的客户服务电话（</w:t>
      </w:r>
      <w:r>
        <w:rPr>
          <w:rFonts w:ascii="宋体" w:hAnsi="宋体" w:hint="eastAsia"/>
          <w:szCs w:val="21"/>
        </w:rPr>
        <w:t>400 678 3333</w:t>
      </w:r>
      <w:r>
        <w:rPr>
          <w:rFonts w:ascii="宋体" w:hAnsi="宋体" w:hint="eastAsia"/>
          <w:szCs w:val="21"/>
        </w:rPr>
        <w:t>）垂询相关事宜。</w:t>
      </w:r>
    </w:p>
    <w:p w:rsidR="00000000" w:rsidRDefault="006F7C86">
      <w:pPr>
        <w:numPr>
          <w:ilvl w:val="0"/>
          <w:numId w:val="2"/>
        </w:numPr>
        <w:spacing w:line="360" w:lineRule="auto"/>
        <w:ind w:firstLineChars="200" w:firstLine="420"/>
        <w:jc w:val="left"/>
        <w:rPr>
          <w:rFonts w:ascii="宋体" w:hAnsi="宋体" w:hint="eastAsia"/>
          <w:szCs w:val="21"/>
        </w:rPr>
      </w:pPr>
      <w:r>
        <w:rPr>
          <w:rFonts w:ascii="宋体" w:hAnsi="宋体" w:hint="eastAsia"/>
          <w:szCs w:val="21"/>
        </w:rPr>
        <w:t>投资人应当在销售机构办理</w:t>
      </w:r>
      <w:r>
        <w:rPr>
          <w:rFonts w:ascii="宋体" w:hAnsi="宋体" w:hint="eastAsia"/>
          <w:szCs w:val="21"/>
        </w:rPr>
        <w:t>基金销售业务的营业场所或按销售机构提供的其他方式办理基金份额的赎回。</w:t>
      </w:r>
    </w:p>
    <w:p w:rsidR="00000000" w:rsidRDefault="006F7C86">
      <w:pPr>
        <w:numPr>
          <w:ilvl w:val="0"/>
          <w:numId w:val="2"/>
        </w:numPr>
        <w:spacing w:line="360" w:lineRule="auto"/>
        <w:ind w:firstLineChars="200" w:firstLine="420"/>
        <w:jc w:val="left"/>
        <w:rPr>
          <w:rFonts w:ascii="宋体" w:hAnsi="宋体" w:hint="eastAsia"/>
          <w:szCs w:val="21"/>
        </w:rPr>
      </w:pPr>
      <w:r>
        <w:rPr>
          <w:rFonts w:ascii="宋体" w:hAnsi="宋体" w:hint="eastAsia"/>
          <w:szCs w:val="21"/>
        </w:rPr>
        <w:t>基金管理人应以交易时间结束前受理有效赎回申请的当天作为赎回申请日（</w:t>
      </w:r>
      <w:r>
        <w:rPr>
          <w:rFonts w:ascii="宋体" w:hAnsi="宋体" w:hint="eastAsia"/>
          <w:szCs w:val="21"/>
        </w:rPr>
        <w:t>T</w:t>
      </w:r>
      <w:r>
        <w:rPr>
          <w:rFonts w:ascii="宋体" w:hAnsi="宋体" w:hint="eastAsia"/>
          <w:szCs w:val="21"/>
        </w:rPr>
        <w:t>日），在正常情况下，本基金登记机构在</w:t>
      </w:r>
      <w:r>
        <w:rPr>
          <w:rFonts w:ascii="宋体" w:hAnsi="宋体" w:hint="eastAsia"/>
          <w:szCs w:val="21"/>
        </w:rPr>
        <w:t>T+3</w:t>
      </w:r>
      <w:r>
        <w:rPr>
          <w:rFonts w:ascii="宋体" w:hAnsi="宋体" w:hint="eastAsia"/>
          <w:szCs w:val="21"/>
        </w:rPr>
        <w:t>日内（包括该日）对该交易的有效性进行确认。</w:t>
      </w:r>
      <w:r>
        <w:rPr>
          <w:rFonts w:ascii="宋体" w:hAnsi="宋体" w:hint="eastAsia"/>
          <w:szCs w:val="21"/>
        </w:rPr>
        <w:t>T</w:t>
      </w:r>
      <w:r>
        <w:rPr>
          <w:rFonts w:ascii="宋体" w:hAnsi="宋体" w:hint="eastAsia"/>
          <w:szCs w:val="21"/>
        </w:rPr>
        <w:t>日提交的有效申请，投资人应在</w:t>
      </w:r>
      <w:r>
        <w:rPr>
          <w:rFonts w:ascii="宋体" w:hAnsi="宋体" w:hint="eastAsia"/>
          <w:szCs w:val="21"/>
        </w:rPr>
        <w:t>T+4</w:t>
      </w:r>
      <w:r>
        <w:rPr>
          <w:rFonts w:ascii="宋体" w:hAnsi="宋体" w:hint="eastAsia"/>
          <w:szCs w:val="21"/>
        </w:rPr>
        <w:t>日后（包括该日）及时到销售网点柜台或以销售机构规定的其他方式查询申请的确认情况。</w:t>
      </w:r>
    </w:p>
    <w:p w:rsidR="00000000" w:rsidRDefault="006F7C86">
      <w:pPr>
        <w:spacing w:line="360" w:lineRule="auto"/>
        <w:ind w:firstLineChars="200" w:firstLine="420"/>
        <w:jc w:val="left"/>
        <w:rPr>
          <w:rFonts w:ascii="宋体" w:hAnsi="宋体" w:hint="eastAsia"/>
          <w:szCs w:val="21"/>
        </w:rPr>
      </w:pPr>
      <w:r>
        <w:rPr>
          <w:rFonts w:ascii="宋体" w:hAnsi="宋体" w:hint="eastAsia"/>
          <w:szCs w:val="21"/>
        </w:rPr>
        <w:t>销售机构对赎回申请的受理并不代表申请一定成功，而仅代表销售机构确实接收到赎回申请，赎回申请的确认以登记机构的确认结果为准。对于申请的确认情况，投资人应及时查询并妥善行使合法</w:t>
      </w:r>
      <w:r>
        <w:rPr>
          <w:rFonts w:ascii="宋体" w:hAnsi="宋体" w:hint="eastAsia"/>
          <w:szCs w:val="21"/>
        </w:rPr>
        <w:t>权利。因投资人怠于履行该项查询等各项义务，致使其相关权益受损的，基金管理人、基金托管人、其他基金销售机构不承担由此造成的损失或不利后果。如因申请未得到登记机构的确认而造成的损失，由投资人自行承担。</w:t>
      </w:r>
    </w:p>
    <w:p w:rsidR="00000000" w:rsidRDefault="006F7C86">
      <w:pPr>
        <w:spacing w:line="360" w:lineRule="auto"/>
        <w:ind w:firstLineChars="200" w:firstLine="420"/>
        <w:jc w:val="left"/>
        <w:rPr>
          <w:rFonts w:ascii="宋体" w:hAnsi="宋体" w:hint="eastAsia"/>
          <w:szCs w:val="21"/>
        </w:rPr>
      </w:pPr>
      <w:r>
        <w:rPr>
          <w:rFonts w:ascii="宋体" w:hAnsi="宋体" w:hint="eastAsia"/>
          <w:szCs w:val="21"/>
        </w:rPr>
        <w:t>在法律法规允许的范围内，基金管理人可根据业务规则，对上述业务办理时间进行调整并将于开始实施前按照有关规定公告</w:t>
      </w:r>
      <w:r>
        <w:rPr>
          <w:rFonts w:ascii="宋体" w:hAnsi="宋体" w:hint="eastAsia"/>
          <w:szCs w:val="21"/>
        </w:rPr>
        <w:t>。</w:t>
      </w:r>
    </w:p>
    <w:p w:rsidR="00000000" w:rsidRDefault="006F7C86">
      <w:pPr>
        <w:autoSpaceDE w:val="0"/>
        <w:autoSpaceDN w:val="0"/>
        <w:adjustRightInd w:val="0"/>
        <w:snapToGrid w:val="0"/>
        <w:spacing w:line="360" w:lineRule="auto"/>
        <w:ind w:firstLineChars="200" w:firstLine="420"/>
        <w:jc w:val="left"/>
        <w:rPr>
          <w:rFonts w:ascii="宋体" w:hAnsi="宋体"/>
          <w:szCs w:val="21"/>
        </w:rPr>
      </w:pPr>
      <w:r>
        <w:rPr>
          <w:rFonts w:ascii="宋体" w:hAnsi="宋体" w:hint="eastAsia"/>
          <w:szCs w:val="21"/>
        </w:rPr>
        <w:t>4</w:t>
      </w:r>
      <w:r>
        <w:rPr>
          <w:rFonts w:ascii="宋体" w:hAnsi="宋体" w:hint="eastAsia"/>
          <w:szCs w:val="21"/>
        </w:rPr>
        <w:t>、</w:t>
      </w:r>
      <w:r>
        <w:rPr>
          <w:rFonts w:ascii="宋体" w:hAnsi="宋体" w:hint="eastAsia"/>
          <w:szCs w:val="21"/>
        </w:rPr>
        <w:t>本基金的基金份额持有人每笔认购、申购资金最短持有期限为三年，最短持有期的最后一日为相应基金份额持有期限起始日所对应的第三个年度对日的前一日。其中，年度对日指某一日期在后续年度中的对应日期；如该对应日</w:t>
      </w:r>
      <w:r>
        <w:rPr>
          <w:rFonts w:ascii="宋体" w:hAnsi="宋体" w:hint="eastAsia"/>
          <w:szCs w:val="21"/>
        </w:rPr>
        <w:t>期为该日历年度中不存在对应日期的，或该对应日期为非工作日的，则顺延至下一工作日。</w:t>
      </w:r>
      <w:r>
        <w:rPr>
          <w:rFonts w:ascii="宋体" w:hAnsi="宋体" w:hint="eastAsia"/>
          <w:szCs w:val="21"/>
        </w:rPr>
        <w:t>2038</w:t>
      </w:r>
      <w:r>
        <w:rPr>
          <w:rFonts w:ascii="宋体" w:hAnsi="宋体" w:hint="eastAsia"/>
          <w:szCs w:val="21"/>
        </w:rPr>
        <w:t>年</w:t>
      </w:r>
      <w:r>
        <w:rPr>
          <w:rFonts w:ascii="宋体" w:hAnsi="宋体" w:hint="eastAsia"/>
          <w:szCs w:val="21"/>
        </w:rPr>
        <w:t>1</w:t>
      </w:r>
      <w:r>
        <w:rPr>
          <w:rFonts w:ascii="宋体" w:hAnsi="宋体" w:hint="eastAsia"/>
          <w:szCs w:val="21"/>
        </w:rPr>
        <w:t>月</w:t>
      </w:r>
      <w:r>
        <w:rPr>
          <w:rFonts w:ascii="宋体" w:hAnsi="宋体" w:hint="eastAsia"/>
          <w:szCs w:val="21"/>
        </w:rPr>
        <w:t>1</w:t>
      </w:r>
      <w:r>
        <w:rPr>
          <w:rFonts w:ascii="宋体" w:hAnsi="宋体" w:hint="eastAsia"/>
          <w:szCs w:val="21"/>
        </w:rPr>
        <w:t>日之后申购或红利再投资所得的基金份额，自</w:t>
      </w:r>
      <w:r>
        <w:rPr>
          <w:rFonts w:ascii="宋体" w:hAnsi="宋体" w:hint="eastAsia"/>
          <w:szCs w:val="21"/>
        </w:rPr>
        <w:t>2041</w:t>
      </w:r>
      <w:r>
        <w:rPr>
          <w:rFonts w:ascii="宋体" w:hAnsi="宋体" w:hint="eastAsia"/>
          <w:szCs w:val="21"/>
        </w:rPr>
        <w:t>年第一个工作日起，虽然持有时间未满最短持有期限，但基金份额持有人也可赎回</w:t>
      </w:r>
      <w:r>
        <w:rPr>
          <w:rFonts w:ascii="宋体" w:hAnsi="宋体"/>
          <w:szCs w:val="21"/>
        </w:rPr>
        <w:t>。</w:t>
      </w:r>
    </w:p>
    <w:p w:rsidR="00000000" w:rsidRDefault="006F7C86">
      <w:pPr>
        <w:autoSpaceDE w:val="0"/>
        <w:autoSpaceDN w:val="0"/>
        <w:adjustRightInd w:val="0"/>
        <w:snapToGrid w:val="0"/>
        <w:spacing w:line="360" w:lineRule="auto"/>
        <w:ind w:firstLineChars="200" w:firstLine="420"/>
        <w:jc w:val="left"/>
        <w:rPr>
          <w:rFonts w:ascii="宋体" w:hAnsi="宋体" w:hint="eastAsia"/>
          <w:szCs w:val="21"/>
        </w:rPr>
      </w:pPr>
      <w:r>
        <w:rPr>
          <w:rFonts w:ascii="宋体" w:hAnsi="宋体" w:hint="eastAsia"/>
          <w:szCs w:val="21"/>
        </w:rPr>
        <w:t>本基金的基金份额持有人每笔认购、申购资金的最短持有期限内的基金份额不可以赎回。</w:t>
      </w:r>
    </w:p>
    <w:p w:rsidR="00000000" w:rsidRDefault="006F7C86">
      <w:pPr>
        <w:autoSpaceDE w:val="0"/>
        <w:autoSpaceDN w:val="0"/>
        <w:adjustRightInd w:val="0"/>
        <w:snapToGrid w:val="0"/>
        <w:spacing w:line="360" w:lineRule="auto"/>
        <w:ind w:firstLineChars="200" w:firstLine="420"/>
        <w:jc w:val="left"/>
        <w:rPr>
          <w:rFonts w:ascii="宋体" w:hAnsi="宋体"/>
          <w:szCs w:val="21"/>
        </w:rPr>
      </w:pPr>
      <w:r>
        <w:rPr>
          <w:rFonts w:ascii="宋体" w:hAnsi="宋体" w:hint="eastAsia"/>
          <w:szCs w:val="21"/>
        </w:rPr>
        <w:t>举例说明：假设某投资人在本基金开放日提出申购本基金的有效申请，该申购申请获得本基金管理人确认之日为</w:t>
      </w:r>
      <w:r>
        <w:rPr>
          <w:rFonts w:ascii="宋体" w:hAnsi="宋体" w:hint="eastAsia"/>
          <w:szCs w:val="21"/>
        </w:rPr>
        <w:t>2020</w:t>
      </w:r>
      <w:r>
        <w:rPr>
          <w:rFonts w:ascii="宋体" w:hAnsi="宋体" w:hint="eastAsia"/>
          <w:szCs w:val="21"/>
        </w:rPr>
        <w:t>年</w:t>
      </w:r>
      <w:r>
        <w:rPr>
          <w:rFonts w:ascii="宋体" w:hAnsi="宋体" w:hint="eastAsia"/>
          <w:szCs w:val="21"/>
        </w:rPr>
        <w:t>10</w:t>
      </w:r>
      <w:r>
        <w:rPr>
          <w:rFonts w:ascii="宋体" w:hAnsi="宋体" w:hint="eastAsia"/>
          <w:szCs w:val="21"/>
        </w:rPr>
        <w:t>月</w:t>
      </w:r>
      <w:r>
        <w:rPr>
          <w:rFonts w:ascii="宋体" w:hAnsi="宋体" w:hint="eastAsia"/>
          <w:szCs w:val="21"/>
        </w:rPr>
        <w:t>20</w:t>
      </w:r>
      <w:r>
        <w:rPr>
          <w:rFonts w:ascii="宋体" w:hAnsi="宋体" w:hint="eastAsia"/>
          <w:szCs w:val="21"/>
        </w:rPr>
        <w:t>日，则该投资人此次申购申请后所得本基金基金份额的最短持有期起始日为</w:t>
      </w:r>
      <w:r>
        <w:rPr>
          <w:rFonts w:ascii="宋体" w:hAnsi="宋体" w:hint="eastAsia"/>
          <w:szCs w:val="21"/>
        </w:rPr>
        <w:t>2020</w:t>
      </w:r>
      <w:r>
        <w:rPr>
          <w:rFonts w:ascii="宋体" w:hAnsi="宋体" w:hint="eastAsia"/>
          <w:szCs w:val="21"/>
        </w:rPr>
        <w:t>年</w:t>
      </w:r>
      <w:r>
        <w:rPr>
          <w:rFonts w:ascii="宋体" w:hAnsi="宋体" w:hint="eastAsia"/>
          <w:szCs w:val="21"/>
        </w:rPr>
        <w:t>10</w:t>
      </w:r>
      <w:r>
        <w:rPr>
          <w:rFonts w:ascii="宋体" w:hAnsi="宋体" w:hint="eastAsia"/>
          <w:szCs w:val="21"/>
        </w:rPr>
        <w:t>月</w:t>
      </w:r>
      <w:r>
        <w:rPr>
          <w:rFonts w:ascii="宋体" w:hAnsi="宋体" w:hint="eastAsia"/>
          <w:szCs w:val="21"/>
        </w:rPr>
        <w:t>20</w:t>
      </w:r>
      <w:r>
        <w:rPr>
          <w:rFonts w:ascii="宋体" w:hAnsi="宋体" w:hint="eastAsia"/>
          <w:szCs w:val="21"/>
        </w:rPr>
        <w:t>日，该基</w:t>
      </w:r>
      <w:r>
        <w:rPr>
          <w:rFonts w:ascii="宋体" w:hAnsi="宋体" w:hint="eastAsia"/>
          <w:szCs w:val="21"/>
        </w:rPr>
        <w:t>金份额的最短持有期的最后一日为</w:t>
      </w:r>
      <w:r>
        <w:rPr>
          <w:rFonts w:ascii="宋体" w:hAnsi="宋体" w:hint="eastAsia"/>
          <w:szCs w:val="21"/>
        </w:rPr>
        <w:t>2023</w:t>
      </w:r>
      <w:r>
        <w:rPr>
          <w:rFonts w:ascii="宋体" w:hAnsi="宋体" w:hint="eastAsia"/>
          <w:szCs w:val="21"/>
        </w:rPr>
        <w:t>年</w:t>
      </w:r>
      <w:r>
        <w:rPr>
          <w:rFonts w:ascii="宋体" w:hAnsi="宋体" w:hint="eastAsia"/>
          <w:szCs w:val="21"/>
        </w:rPr>
        <w:t>10</w:t>
      </w:r>
      <w:r>
        <w:rPr>
          <w:rFonts w:ascii="宋体" w:hAnsi="宋体" w:hint="eastAsia"/>
          <w:szCs w:val="21"/>
        </w:rPr>
        <w:t>月</w:t>
      </w:r>
      <w:r>
        <w:rPr>
          <w:rFonts w:ascii="宋体" w:hAnsi="宋体" w:hint="eastAsia"/>
          <w:szCs w:val="21"/>
        </w:rPr>
        <w:t>19</w:t>
      </w:r>
      <w:r>
        <w:rPr>
          <w:rFonts w:ascii="宋体" w:hAnsi="宋体" w:hint="eastAsia"/>
          <w:szCs w:val="21"/>
        </w:rPr>
        <w:t>日，该投资人可自</w:t>
      </w:r>
      <w:r>
        <w:rPr>
          <w:rFonts w:ascii="宋体" w:hAnsi="宋体" w:hint="eastAsia"/>
          <w:szCs w:val="21"/>
        </w:rPr>
        <w:t>2023</w:t>
      </w:r>
      <w:r>
        <w:rPr>
          <w:rFonts w:ascii="宋体" w:hAnsi="宋体" w:hint="eastAsia"/>
          <w:szCs w:val="21"/>
        </w:rPr>
        <w:t>年</w:t>
      </w:r>
      <w:r>
        <w:rPr>
          <w:rFonts w:ascii="宋体" w:hAnsi="宋体" w:hint="eastAsia"/>
          <w:szCs w:val="21"/>
        </w:rPr>
        <w:t>10</w:t>
      </w:r>
      <w:r>
        <w:rPr>
          <w:rFonts w:ascii="宋体" w:hAnsi="宋体" w:hint="eastAsia"/>
          <w:szCs w:val="21"/>
        </w:rPr>
        <w:t>月</w:t>
      </w:r>
      <w:r>
        <w:rPr>
          <w:rFonts w:ascii="宋体" w:hAnsi="宋体" w:hint="eastAsia"/>
          <w:szCs w:val="21"/>
        </w:rPr>
        <w:t>20</w:t>
      </w:r>
      <w:r>
        <w:rPr>
          <w:rFonts w:ascii="宋体" w:hAnsi="宋体" w:hint="eastAsia"/>
          <w:szCs w:val="21"/>
        </w:rPr>
        <w:t>日起（含</w:t>
      </w:r>
      <w:r>
        <w:rPr>
          <w:rFonts w:ascii="宋体" w:hAnsi="宋体" w:hint="eastAsia"/>
          <w:szCs w:val="21"/>
        </w:rPr>
        <w:t>2023</w:t>
      </w:r>
      <w:r>
        <w:rPr>
          <w:rFonts w:ascii="宋体" w:hAnsi="宋体" w:hint="eastAsia"/>
          <w:szCs w:val="21"/>
        </w:rPr>
        <w:t>年</w:t>
      </w:r>
      <w:r>
        <w:rPr>
          <w:rFonts w:ascii="宋体" w:hAnsi="宋体" w:hint="eastAsia"/>
          <w:szCs w:val="21"/>
        </w:rPr>
        <w:t>10</w:t>
      </w:r>
      <w:r>
        <w:rPr>
          <w:rFonts w:ascii="宋体" w:hAnsi="宋体" w:hint="eastAsia"/>
          <w:szCs w:val="21"/>
        </w:rPr>
        <w:t>月</w:t>
      </w:r>
      <w:r>
        <w:rPr>
          <w:rFonts w:ascii="宋体" w:hAnsi="宋体" w:hint="eastAsia"/>
          <w:szCs w:val="21"/>
        </w:rPr>
        <w:t>20</w:t>
      </w:r>
      <w:r>
        <w:rPr>
          <w:rFonts w:ascii="宋体" w:hAnsi="宋体" w:hint="eastAsia"/>
          <w:szCs w:val="21"/>
        </w:rPr>
        <w:t>日）对该基金份额提出赎回或转换转出申请。</w:t>
      </w:r>
    </w:p>
    <w:p w:rsidR="00000000" w:rsidRDefault="006F7C86">
      <w:pPr>
        <w:spacing w:line="360" w:lineRule="auto"/>
        <w:jc w:val="left"/>
        <w:rPr>
          <w:rFonts w:ascii="宋体" w:hAnsi="宋体" w:hint="eastAsia"/>
          <w:szCs w:val="21"/>
        </w:rPr>
      </w:pPr>
    </w:p>
    <w:p w:rsidR="00000000" w:rsidRDefault="006F7C86">
      <w:pPr>
        <w:spacing w:line="360" w:lineRule="auto"/>
        <w:ind w:firstLineChars="200" w:firstLine="420"/>
        <w:jc w:val="left"/>
        <w:rPr>
          <w:rFonts w:ascii="宋体" w:hAnsi="宋体" w:hint="eastAsia"/>
          <w:szCs w:val="21"/>
        </w:rPr>
      </w:pPr>
      <w:r>
        <w:rPr>
          <w:rFonts w:ascii="宋体" w:hAnsi="宋体"/>
          <w:szCs w:val="21"/>
        </w:rPr>
        <w:t>风险提示：</w:t>
      </w:r>
    </w:p>
    <w:p w:rsidR="00000000" w:rsidRDefault="006F7C86">
      <w:pPr>
        <w:spacing w:line="360" w:lineRule="auto"/>
        <w:ind w:firstLineChars="200" w:firstLine="420"/>
        <w:jc w:val="left"/>
        <w:rPr>
          <w:rFonts w:ascii="宋体" w:hAnsi="宋体" w:hint="eastAsia"/>
          <w:szCs w:val="21"/>
        </w:rPr>
      </w:pPr>
      <w:r>
        <w:rPr>
          <w:rFonts w:ascii="宋体" w:hAnsi="宋体" w:hint="eastAsia"/>
          <w:szCs w:val="21"/>
        </w:rPr>
        <w:t>“养老”的名称不代表收益保障或其他任何形式的收益承诺，且本基金不保本，可能发生亏损。本基金为养老目标基金，设置了投资人持有基金份额的最短持有期限，投资人无法随时赎回。投资有风险，投资人在进行投资决策前，请仔细阅读本招募说明书、基金合同、基金产品资料概要等信息披露文件，了解本基金的风险收益特征，并根据自身的投资目的、投资期限、投资经验、资产状</w:t>
      </w:r>
      <w:r>
        <w:rPr>
          <w:rFonts w:ascii="宋体" w:hAnsi="宋体" w:hint="eastAsia"/>
          <w:szCs w:val="21"/>
        </w:rPr>
        <w:t>况等判断基金是否和投资人的风险承受能力相适应</w:t>
      </w:r>
      <w:r>
        <w:rPr>
          <w:rFonts w:ascii="宋体" w:hAnsi="宋体" w:hint="eastAsia"/>
          <w:szCs w:val="21"/>
        </w:rPr>
        <w:t>。</w:t>
      </w:r>
    </w:p>
    <w:p w:rsidR="00000000" w:rsidRDefault="006F7C86">
      <w:pPr>
        <w:spacing w:line="360" w:lineRule="auto"/>
        <w:ind w:firstLineChars="200" w:firstLine="420"/>
        <w:jc w:val="left"/>
        <w:rPr>
          <w:rFonts w:ascii="宋体" w:hAnsi="宋体" w:hint="eastAsia"/>
          <w:szCs w:val="21"/>
        </w:rPr>
      </w:pPr>
      <w:r>
        <w:rPr>
          <w:rFonts w:ascii="宋体" w:hAnsi="宋体" w:hint="eastAsia"/>
          <w:szCs w:val="21"/>
        </w:rPr>
        <w:t>基金管理人承诺以恪尽职守、诚实信用、谨慎勤勉的原则管理和运用基金资产，但不保证本基金一定盈利，也不保证最低收益。基金管理人可以对招募说明书披露的下滑曲线进行调整，实际投资与预设的下滑曲线可能存在差异。当投资人赎回时，所得可能会高于或低于投资人先前所支付的金额。投资人应当认真阅读基金合同、基金招募说明书、基金产品资料概要等信息披露文件，自主判断基金的投资价值，自主做出投资决策，自行承担投资风险。本基金的过往业绩及其净值高低并不预示其未来业绩表现。基金管理人所管理</w:t>
      </w:r>
      <w:r>
        <w:rPr>
          <w:rFonts w:ascii="宋体" w:hAnsi="宋体" w:hint="eastAsia"/>
          <w:szCs w:val="21"/>
        </w:rPr>
        <w:t>的其他基金的业绩并不构成对本基金业绩表现的保证。基金管理人提醒投资人基金投资的“买者自负”原则，在做出投资决策后，基金运营状况与基金净值变化引致的投资风险，由投资人自行负担。</w:t>
      </w:r>
      <w:r>
        <w:rPr>
          <w:rFonts w:ascii="宋体" w:hAnsi="宋体" w:hint="eastAsia"/>
          <w:szCs w:val="21"/>
        </w:rPr>
        <w:tab/>
      </w:r>
      <w:r>
        <w:rPr>
          <w:rFonts w:ascii="宋体" w:hAnsi="宋体" w:hint="eastAsia"/>
          <w:szCs w:val="21"/>
        </w:rPr>
        <w:t>特此公告。</w:t>
      </w:r>
    </w:p>
    <w:p w:rsidR="00000000" w:rsidRDefault="006F7C86">
      <w:pPr>
        <w:spacing w:line="360" w:lineRule="auto"/>
        <w:jc w:val="left"/>
        <w:rPr>
          <w:rFonts w:ascii="宋体" w:hAnsi="宋体" w:hint="eastAsia"/>
          <w:szCs w:val="21"/>
        </w:rPr>
      </w:pPr>
    </w:p>
    <w:p w:rsidR="00000000" w:rsidRDefault="006F7C86">
      <w:pPr>
        <w:spacing w:line="360" w:lineRule="auto"/>
        <w:jc w:val="right"/>
        <w:rPr>
          <w:rFonts w:ascii="宋体" w:hAnsi="宋体" w:hint="eastAsia"/>
          <w:szCs w:val="21"/>
        </w:rPr>
      </w:pPr>
      <w:r>
        <w:rPr>
          <w:rFonts w:ascii="宋体" w:hAnsi="宋体" w:hint="eastAsia"/>
          <w:szCs w:val="21"/>
        </w:rPr>
        <w:t>银华基金管理股份有限公司</w:t>
      </w:r>
    </w:p>
    <w:p w:rsidR="00000000" w:rsidRDefault="006F7C86">
      <w:pPr>
        <w:spacing w:line="360" w:lineRule="auto"/>
        <w:jc w:val="right"/>
        <w:rPr>
          <w:rFonts w:ascii="宋体" w:hAnsi="宋体" w:hint="eastAsia"/>
          <w:szCs w:val="21"/>
        </w:rPr>
      </w:pPr>
      <w:r>
        <w:rPr>
          <w:rFonts w:ascii="宋体" w:hAnsi="宋体" w:hint="eastAsia"/>
          <w:szCs w:val="21"/>
        </w:rPr>
        <w:t>202</w:t>
      </w:r>
      <w:r>
        <w:rPr>
          <w:rFonts w:ascii="宋体" w:hAnsi="宋体" w:hint="eastAsia"/>
          <w:szCs w:val="21"/>
        </w:rPr>
        <w:t>5</w:t>
      </w:r>
      <w:r>
        <w:rPr>
          <w:rFonts w:ascii="宋体" w:hAnsi="宋体" w:hint="eastAsia"/>
          <w:szCs w:val="21"/>
        </w:rPr>
        <w:t>年</w:t>
      </w:r>
      <w:r>
        <w:rPr>
          <w:rFonts w:ascii="宋体" w:hAnsi="宋体" w:hint="eastAsia"/>
          <w:szCs w:val="21"/>
        </w:rPr>
        <w:t>11</w:t>
      </w:r>
      <w:r>
        <w:rPr>
          <w:rFonts w:ascii="宋体" w:hAnsi="宋体" w:hint="eastAsia"/>
          <w:szCs w:val="21"/>
        </w:rPr>
        <w:t>月</w:t>
      </w:r>
      <w:r>
        <w:rPr>
          <w:rFonts w:ascii="宋体" w:hAnsi="宋体" w:hint="eastAsia"/>
          <w:szCs w:val="21"/>
        </w:rPr>
        <w:t>2</w:t>
      </w:r>
      <w:r>
        <w:rPr>
          <w:rFonts w:ascii="宋体" w:hAnsi="宋体" w:hint="eastAsia"/>
          <w:szCs w:val="21"/>
        </w:rPr>
        <w:t>6</w:t>
      </w:r>
      <w:r>
        <w:rPr>
          <w:rFonts w:ascii="宋体" w:hAnsi="宋体" w:hint="eastAsia"/>
          <w:szCs w:val="21"/>
        </w:rPr>
        <w:t>日</w:t>
      </w:r>
    </w:p>
    <w:sectPr w:rsidR="00000000">
      <w:headerReference w:type="default" r:id="rId8"/>
      <w:footerReference w:type="default" r:id="rId9"/>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0000" w:rsidRDefault="006F7C86">
      <w:r>
        <w:separator/>
      </w:r>
    </w:p>
  </w:endnote>
  <w:endnote w:type="continuationSeparator" w:id="0">
    <w:p w:rsidR="00000000" w:rsidRDefault="006F7C8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Arial Unicode MS">
    <w:panose1 w:val="020B0604020202020204"/>
    <w:charset w:val="86"/>
    <w:family w:val="swiss"/>
    <w:pitch w:val="variable"/>
    <w:sig w:usb0="F7FFAFFF" w:usb1="E9DFFFFF" w:usb2="0000003F" w:usb3="00000000" w:csb0="003F01FF" w:csb1="00000000"/>
  </w:font>
  <w:font w:name="Cambria Math">
    <w:panose1 w:val="02040503050406030204"/>
    <w:charset w:val="00"/>
    <w:family w:val="roman"/>
    <w:pitch w:val="variable"/>
    <w:sig w:usb0="A00002EF" w:usb1="420020EB" w:usb2="00000000" w:usb3="00000000" w:csb0="0000009F"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F7C86">
    <w:pPr>
      <w:pStyle w:val="a5"/>
      <w:jc w:val="center"/>
    </w:pPr>
    <w:r>
      <w:fldChar w:fldCharType="begin"/>
    </w:r>
    <w:r>
      <w:instrText xml:space="preserve"> PAGE   \* MERGEFORMAT </w:instrText>
    </w:r>
    <w:r>
      <w:fldChar w:fldCharType="separate"/>
    </w:r>
    <w:r w:rsidRPr="006F7C86">
      <w:rPr>
        <w:noProof/>
        <w:lang w:val="zh-CN" w:eastAsia="zh-CN"/>
      </w:rPr>
      <w:t>1</w:t>
    </w:r>
    <w:r>
      <w:fldChar w:fldCharType="end"/>
    </w:r>
  </w:p>
  <w:p w:rsidR="00000000" w:rsidRDefault="006F7C86">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0000" w:rsidRDefault="006F7C86">
      <w:r>
        <w:separator/>
      </w:r>
    </w:p>
  </w:footnote>
  <w:footnote w:type="continuationSeparator" w:id="0">
    <w:p w:rsidR="00000000" w:rsidRDefault="006F7C8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F7C86">
    <w:pPr>
      <w:pStyle w:val="a6"/>
      <w:jc w:val="both"/>
      <w:rPr>
        <w:rFonts w:hint="eastAsia"/>
      </w:rPr>
    </w:pPr>
    <w:r>
      <w:rPr>
        <w:rFonts w:ascii="宋体" w:hAnsi="宋体" w:hint="eastAsia"/>
        <w:b/>
        <w:sz w:val="32"/>
        <w:szCs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i1025" type="#_x0000_t75" alt="17e0e628572b36a930039ef4a8c95ac4" style="width:139.9pt;height:17pt;mso-wrap-style:square;mso-position-horizontal-relative:page;mso-position-vertical-relative:page">
          <v:imagedata r:id="rId1" o:title="17e0e628572b36a930039ef4a8c95ac4"/>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CA1BA04"/>
    <w:multiLevelType w:val="singleLevel"/>
    <w:tmpl w:val="ECA1BA04"/>
    <w:lvl w:ilvl="0">
      <w:start w:val="1"/>
      <w:numFmt w:val="decimal"/>
      <w:suff w:val="nothing"/>
      <w:lvlText w:val="%1、"/>
      <w:lvlJc w:val="left"/>
    </w:lvl>
  </w:abstractNum>
  <w:abstractNum w:abstractNumId="1">
    <w:nsid w:val="0000000A"/>
    <w:multiLevelType w:val="multilevel"/>
    <w:tmpl w:val="0000000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405"/>
        </w:tabs>
        <w:ind w:left="405" w:hanging="420"/>
      </w:pPr>
    </w:lvl>
    <w:lvl w:ilvl="2">
      <w:start w:val="1"/>
      <w:numFmt w:val="lowerRoman"/>
      <w:lvlText w:val="%3."/>
      <w:lvlJc w:val="right"/>
      <w:pPr>
        <w:tabs>
          <w:tab w:val="num" w:pos="825"/>
        </w:tabs>
        <w:ind w:left="825" w:hanging="420"/>
      </w:pPr>
    </w:lvl>
    <w:lvl w:ilvl="3">
      <w:start w:val="1"/>
      <w:numFmt w:val="decimal"/>
      <w:lvlText w:val="%4."/>
      <w:lvlJc w:val="left"/>
      <w:pPr>
        <w:tabs>
          <w:tab w:val="num" w:pos="1245"/>
        </w:tabs>
        <w:ind w:left="1245" w:hanging="420"/>
      </w:pPr>
    </w:lvl>
    <w:lvl w:ilvl="4">
      <w:start w:val="1"/>
      <w:numFmt w:val="lowerLetter"/>
      <w:lvlText w:val="%5)"/>
      <w:lvlJc w:val="left"/>
      <w:pPr>
        <w:tabs>
          <w:tab w:val="num" w:pos="1665"/>
        </w:tabs>
        <w:ind w:left="1665" w:hanging="420"/>
      </w:pPr>
    </w:lvl>
    <w:lvl w:ilvl="5">
      <w:start w:val="1"/>
      <w:numFmt w:val="lowerRoman"/>
      <w:lvlText w:val="%6."/>
      <w:lvlJc w:val="right"/>
      <w:pPr>
        <w:tabs>
          <w:tab w:val="num" w:pos="2085"/>
        </w:tabs>
        <w:ind w:left="2085" w:hanging="420"/>
      </w:pPr>
    </w:lvl>
    <w:lvl w:ilvl="6">
      <w:start w:val="1"/>
      <w:numFmt w:val="decimal"/>
      <w:lvlText w:val="%7."/>
      <w:lvlJc w:val="left"/>
      <w:pPr>
        <w:tabs>
          <w:tab w:val="num" w:pos="2505"/>
        </w:tabs>
        <w:ind w:left="2505" w:hanging="420"/>
      </w:pPr>
    </w:lvl>
    <w:lvl w:ilvl="7">
      <w:start w:val="1"/>
      <w:numFmt w:val="lowerLetter"/>
      <w:lvlText w:val="%8)"/>
      <w:lvlJc w:val="left"/>
      <w:pPr>
        <w:tabs>
          <w:tab w:val="num" w:pos="2925"/>
        </w:tabs>
        <w:ind w:left="2925" w:hanging="420"/>
      </w:pPr>
    </w:lvl>
    <w:lvl w:ilvl="8">
      <w:start w:val="1"/>
      <w:numFmt w:val="lowerRoman"/>
      <w:lvlText w:val="%9."/>
      <w:lvlJc w:val="right"/>
      <w:pPr>
        <w:tabs>
          <w:tab w:val="num" w:pos="3345"/>
        </w:tabs>
        <w:ind w:left="3345"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stylePaneFormatFilter w:val="3F01"/>
  <w:doNotTrackMoves/>
  <w:defaultTabStop w:val="420"/>
  <w:drawingGridVerticalSpacing w:val="156"/>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commondata" w:val="eyJoZGlkIjoiZjVhNGJiMWVmZTg4ZjFhYWZhYWFiMzBkODkwYWRkZmUifQ=="/>
  </w:docVars>
  <w:rsids>
    <w:rsidRoot w:val="00172A27"/>
    <w:rsid w:val="00001C98"/>
    <w:rsid w:val="00002251"/>
    <w:rsid w:val="00005D2A"/>
    <w:rsid w:val="00007F9B"/>
    <w:rsid w:val="00011DF5"/>
    <w:rsid w:val="0001407E"/>
    <w:rsid w:val="00014A9E"/>
    <w:rsid w:val="00023357"/>
    <w:rsid w:val="0002672D"/>
    <w:rsid w:val="00031309"/>
    <w:rsid w:val="00042089"/>
    <w:rsid w:val="00044CC9"/>
    <w:rsid w:val="00051738"/>
    <w:rsid w:val="0007620F"/>
    <w:rsid w:val="00084A23"/>
    <w:rsid w:val="000855DD"/>
    <w:rsid w:val="00091301"/>
    <w:rsid w:val="00092778"/>
    <w:rsid w:val="0009403C"/>
    <w:rsid w:val="00094DC8"/>
    <w:rsid w:val="000957F5"/>
    <w:rsid w:val="000A2B39"/>
    <w:rsid w:val="000B036D"/>
    <w:rsid w:val="000B2C29"/>
    <w:rsid w:val="000B4520"/>
    <w:rsid w:val="000B5626"/>
    <w:rsid w:val="000B6AF4"/>
    <w:rsid w:val="000C41A9"/>
    <w:rsid w:val="000C615C"/>
    <w:rsid w:val="000D5474"/>
    <w:rsid w:val="000E1281"/>
    <w:rsid w:val="000E48B6"/>
    <w:rsid w:val="000E7730"/>
    <w:rsid w:val="000F417C"/>
    <w:rsid w:val="000F71D9"/>
    <w:rsid w:val="001009C8"/>
    <w:rsid w:val="001018E2"/>
    <w:rsid w:val="0011723A"/>
    <w:rsid w:val="00122F6F"/>
    <w:rsid w:val="001272F4"/>
    <w:rsid w:val="001314E7"/>
    <w:rsid w:val="00135D90"/>
    <w:rsid w:val="001445A0"/>
    <w:rsid w:val="00154AAF"/>
    <w:rsid w:val="00157747"/>
    <w:rsid w:val="00164538"/>
    <w:rsid w:val="001661AD"/>
    <w:rsid w:val="00167B2B"/>
    <w:rsid w:val="0017532E"/>
    <w:rsid w:val="00175F00"/>
    <w:rsid w:val="00177B4B"/>
    <w:rsid w:val="00182644"/>
    <w:rsid w:val="001858A5"/>
    <w:rsid w:val="00185C6A"/>
    <w:rsid w:val="00187B48"/>
    <w:rsid w:val="00191490"/>
    <w:rsid w:val="00192CF2"/>
    <w:rsid w:val="001935B7"/>
    <w:rsid w:val="00194C68"/>
    <w:rsid w:val="00194ECC"/>
    <w:rsid w:val="0019654E"/>
    <w:rsid w:val="00197302"/>
    <w:rsid w:val="001A0058"/>
    <w:rsid w:val="001A0891"/>
    <w:rsid w:val="001A140F"/>
    <w:rsid w:val="001A5212"/>
    <w:rsid w:val="001A5D89"/>
    <w:rsid w:val="001B195C"/>
    <w:rsid w:val="001C4EDE"/>
    <w:rsid w:val="001D16A3"/>
    <w:rsid w:val="001D4F95"/>
    <w:rsid w:val="001E1408"/>
    <w:rsid w:val="001E6DB9"/>
    <w:rsid w:val="001E6DE6"/>
    <w:rsid w:val="001F01D0"/>
    <w:rsid w:val="001F0FF7"/>
    <w:rsid w:val="001F201F"/>
    <w:rsid w:val="00205B93"/>
    <w:rsid w:val="002207F9"/>
    <w:rsid w:val="00231B7D"/>
    <w:rsid w:val="00231D54"/>
    <w:rsid w:val="002425BB"/>
    <w:rsid w:val="00243C4E"/>
    <w:rsid w:val="00245268"/>
    <w:rsid w:val="00246B7E"/>
    <w:rsid w:val="00253CA2"/>
    <w:rsid w:val="00256AA6"/>
    <w:rsid w:val="00261382"/>
    <w:rsid w:val="0026457B"/>
    <w:rsid w:val="002716F4"/>
    <w:rsid w:val="002718F8"/>
    <w:rsid w:val="002864FC"/>
    <w:rsid w:val="002933B3"/>
    <w:rsid w:val="00294369"/>
    <w:rsid w:val="00296096"/>
    <w:rsid w:val="00296609"/>
    <w:rsid w:val="002A077F"/>
    <w:rsid w:val="002A3F7F"/>
    <w:rsid w:val="002A6B4D"/>
    <w:rsid w:val="002B03EA"/>
    <w:rsid w:val="002B4090"/>
    <w:rsid w:val="002B4D3F"/>
    <w:rsid w:val="002C20C1"/>
    <w:rsid w:val="002C4BD5"/>
    <w:rsid w:val="002C5E1C"/>
    <w:rsid w:val="002C6886"/>
    <w:rsid w:val="002D2CB2"/>
    <w:rsid w:val="002D7344"/>
    <w:rsid w:val="002E24B3"/>
    <w:rsid w:val="002E2F15"/>
    <w:rsid w:val="002E7065"/>
    <w:rsid w:val="002F18B1"/>
    <w:rsid w:val="002F2AE8"/>
    <w:rsid w:val="002F6CCE"/>
    <w:rsid w:val="002F6D7D"/>
    <w:rsid w:val="002F6F51"/>
    <w:rsid w:val="003051BD"/>
    <w:rsid w:val="00317580"/>
    <w:rsid w:val="00320DB5"/>
    <w:rsid w:val="00323468"/>
    <w:rsid w:val="0034488C"/>
    <w:rsid w:val="0034590B"/>
    <w:rsid w:val="003526B6"/>
    <w:rsid w:val="00355BE2"/>
    <w:rsid w:val="003620FF"/>
    <w:rsid w:val="00365BA5"/>
    <w:rsid w:val="00374F5A"/>
    <w:rsid w:val="00377A8E"/>
    <w:rsid w:val="00380319"/>
    <w:rsid w:val="003831C6"/>
    <w:rsid w:val="00384D10"/>
    <w:rsid w:val="00385145"/>
    <w:rsid w:val="003877AD"/>
    <w:rsid w:val="003917D9"/>
    <w:rsid w:val="003A2177"/>
    <w:rsid w:val="003A376B"/>
    <w:rsid w:val="003A68DE"/>
    <w:rsid w:val="003A6E86"/>
    <w:rsid w:val="003A7E53"/>
    <w:rsid w:val="003B148B"/>
    <w:rsid w:val="003B6D77"/>
    <w:rsid w:val="003C0333"/>
    <w:rsid w:val="003D0B01"/>
    <w:rsid w:val="003D72B9"/>
    <w:rsid w:val="003E07AB"/>
    <w:rsid w:val="003E14D7"/>
    <w:rsid w:val="003E55FD"/>
    <w:rsid w:val="003E5739"/>
    <w:rsid w:val="003E6000"/>
    <w:rsid w:val="003F69FC"/>
    <w:rsid w:val="00413037"/>
    <w:rsid w:val="00421D53"/>
    <w:rsid w:val="00435FBD"/>
    <w:rsid w:val="00437624"/>
    <w:rsid w:val="0044557A"/>
    <w:rsid w:val="00450A01"/>
    <w:rsid w:val="00455ACE"/>
    <w:rsid w:val="00465155"/>
    <w:rsid w:val="004735C4"/>
    <w:rsid w:val="004848CC"/>
    <w:rsid w:val="004911A5"/>
    <w:rsid w:val="00491578"/>
    <w:rsid w:val="00496D4D"/>
    <w:rsid w:val="004A7178"/>
    <w:rsid w:val="004B0A3B"/>
    <w:rsid w:val="004B2587"/>
    <w:rsid w:val="004C5148"/>
    <w:rsid w:val="004C64F0"/>
    <w:rsid w:val="004D1356"/>
    <w:rsid w:val="004D2E90"/>
    <w:rsid w:val="004D3CDB"/>
    <w:rsid w:val="004D4911"/>
    <w:rsid w:val="004E0579"/>
    <w:rsid w:val="004E09F1"/>
    <w:rsid w:val="004E1CEC"/>
    <w:rsid w:val="004E2987"/>
    <w:rsid w:val="004E2C4A"/>
    <w:rsid w:val="004E7AD6"/>
    <w:rsid w:val="004F6267"/>
    <w:rsid w:val="005202A1"/>
    <w:rsid w:val="0053392F"/>
    <w:rsid w:val="00534F70"/>
    <w:rsid w:val="00536742"/>
    <w:rsid w:val="00537852"/>
    <w:rsid w:val="00541F5E"/>
    <w:rsid w:val="005476E5"/>
    <w:rsid w:val="00556FA1"/>
    <w:rsid w:val="00560D62"/>
    <w:rsid w:val="0056215B"/>
    <w:rsid w:val="005631B7"/>
    <w:rsid w:val="00563E32"/>
    <w:rsid w:val="0056486C"/>
    <w:rsid w:val="00570144"/>
    <w:rsid w:val="0057490C"/>
    <w:rsid w:val="00575521"/>
    <w:rsid w:val="00592530"/>
    <w:rsid w:val="00597F60"/>
    <w:rsid w:val="005A5CBD"/>
    <w:rsid w:val="005B02C4"/>
    <w:rsid w:val="005B0870"/>
    <w:rsid w:val="005B14C0"/>
    <w:rsid w:val="005B20C4"/>
    <w:rsid w:val="005B465E"/>
    <w:rsid w:val="005B79FD"/>
    <w:rsid w:val="005C3759"/>
    <w:rsid w:val="005C3BAF"/>
    <w:rsid w:val="005C4889"/>
    <w:rsid w:val="005C4DCE"/>
    <w:rsid w:val="005C4E0D"/>
    <w:rsid w:val="005E1C40"/>
    <w:rsid w:val="005E3310"/>
    <w:rsid w:val="005F1B90"/>
    <w:rsid w:val="005F7A72"/>
    <w:rsid w:val="00600370"/>
    <w:rsid w:val="006011A1"/>
    <w:rsid w:val="00601636"/>
    <w:rsid w:val="00603A7D"/>
    <w:rsid w:val="00604434"/>
    <w:rsid w:val="006070F6"/>
    <w:rsid w:val="00623511"/>
    <w:rsid w:val="0062428F"/>
    <w:rsid w:val="006252C3"/>
    <w:rsid w:val="00647D14"/>
    <w:rsid w:val="00655F7D"/>
    <w:rsid w:val="00663A6E"/>
    <w:rsid w:val="00663C32"/>
    <w:rsid w:val="00666659"/>
    <w:rsid w:val="006703DD"/>
    <w:rsid w:val="00675CF2"/>
    <w:rsid w:val="00686E98"/>
    <w:rsid w:val="006875A4"/>
    <w:rsid w:val="0069529C"/>
    <w:rsid w:val="006A2511"/>
    <w:rsid w:val="006A7E13"/>
    <w:rsid w:val="006B7133"/>
    <w:rsid w:val="006B73EC"/>
    <w:rsid w:val="006C42AC"/>
    <w:rsid w:val="006C42C8"/>
    <w:rsid w:val="006C5B46"/>
    <w:rsid w:val="006D5BFA"/>
    <w:rsid w:val="006D69A8"/>
    <w:rsid w:val="006E27A3"/>
    <w:rsid w:val="006E4870"/>
    <w:rsid w:val="006F0C4C"/>
    <w:rsid w:val="006F7C86"/>
    <w:rsid w:val="00704E46"/>
    <w:rsid w:val="007050D9"/>
    <w:rsid w:val="007122DB"/>
    <w:rsid w:val="00713A98"/>
    <w:rsid w:val="00717A43"/>
    <w:rsid w:val="00723374"/>
    <w:rsid w:val="00731C2D"/>
    <w:rsid w:val="007342F5"/>
    <w:rsid w:val="007346B1"/>
    <w:rsid w:val="007437A0"/>
    <w:rsid w:val="00744368"/>
    <w:rsid w:val="007478EF"/>
    <w:rsid w:val="00760A36"/>
    <w:rsid w:val="00764435"/>
    <w:rsid w:val="00765D31"/>
    <w:rsid w:val="007961D1"/>
    <w:rsid w:val="007A366F"/>
    <w:rsid w:val="007A3D22"/>
    <w:rsid w:val="007A72D2"/>
    <w:rsid w:val="007B025B"/>
    <w:rsid w:val="007B7FB2"/>
    <w:rsid w:val="007C25BA"/>
    <w:rsid w:val="007C2668"/>
    <w:rsid w:val="007C5400"/>
    <w:rsid w:val="007C7DBC"/>
    <w:rsid w:val="007D4FD7"/>
    <w:rsid w:val="007E1C23"/>
    <w:rsid w:val="007E653D"/>
    <w:rsid w:val="007F117C"/>
    <w:rsid w:val="007F240A"/>
    <w:rsid w:val="007F3AB3"/>
    <w:rsid w:val="00802786"/>
    <w:rsid w:val="008030A7"/>
    <w:rsid w:val="00820622"/>
    <w:rsid w:val="00847871"/>
    <w:rsid w:val="00850DFC"/>
    <w:rsid w:val="00850F10"/>
    <w:rsid w:val="00854B1F"/>
    <w:rsid w:val="0086561F"/>
    <w:rsid w:val="00881C06"/>
    <w:rsid w:val="00883A00"/>
    <w:rsid w:val="008846FF"/>
    <w:rsid w:val="00891162"/>
    <w:rsid w:val="008A1B61"/>
    <w:rsid w:val="008A3AC1"/>
    <w:rsid w:val="008A7DCE"/>
    <w:rsid w:val="008B692B"/>
    <w:rsid w:val="008C0669"/>
    <w:rsid w:val="008C2CA7"/>
    <w:rsid w:val="008C4B0C"/>
    <w:rsid w:val="008D4E7D"/>
    <w:rsid w:val="008E014A"/>
    <w:rsid w:val="008E11AC"/>
    <w:rsid w:val="008E15BD"/>
    <w:rsid w:val="008E3158"/>
    <w:rsid w:val="008F4115"/>
    <w:rsid w:val="00900F55"/>
    <w:rsid w:val="0090331F"/>
    <w:rsid w:val="00903E0C"/>
    <w:rsid w:val="00913C10"/>
    <w:rsid w:val="00917A92"/>
    <w:rsid w:val="009225B1"/>
    <w:rsid w:val="00927941"/>
    <w:rsid w:val="009320B6"/>
    <w:rsid w:val="009328C5"/>
    <w:rsid w:val="00933C07"/>
    <w:rsid w:val="00935AC3"/>
    <w:rsid w:val="00946432"/>
    <w:rsid w:val="00946C6C"/>
    <w:rsid w:val="009578E7"/>
    <w:rsid w:val="009648CB"/>
    <w:rsid w:val="00970B9C"/>
    <w:rsid w:val="00981A84"/>
    <w:rsid w:val="00985EFF"/>
    <w:rsid w:val="009910EE"/>
    <w:rsid w:val="00994AD0"/>
    <w:rsid w:val="009969BC"/>
    <w:rsid w:val="009A2144"/>
    <w:rsid w:val="009B1F0C"/>
    <w:rsid w:val="009B2915"/>
    <w:rsid w:val="009B657D"/>
    <w:rsid w:val="009C220E"/>
    <w:rsid w:val="009C62C5"/>
    <w:rsid w:val="009D3990"/>
    <w:rsid w:val="009E5383"/>
    <w:rsid w:val="009E6879"/>
    <w:rsid w:val="009F326E"/>
    <w:rsid w:val="009F418D"/>
    <w:rsid w:val="009F4763"/>
    <w:rsid w:val="009F6BED"/>
    <w:rsid w:val="009F76C7"/>
    <w:rsid w:val="009F77A6"/>
    <w:rsid w:val="009F7B92"/>
    <w:rsid w:val="00A025F3"/>
    <w:rsid w:val="00A027A8"/>
    <w:rsid w:val="00A031DD"/>
    <w:rsid w:val="00A06352"/>
    <w:rsid w:val="00A117F2"/>
    <w:rsid w:val="00A135D5"/>
    <w:rsid w:val="00A13C46"/>
    <w:rsid w:val="00A1788D"/>
    <w:rsid w:val="00A17A0E"/>
    <w:rsid w:val="00A21846"/>
    <w:rsid w:val="00A21C39"/>
    <w:rsid w:val="00A223D1"/>
    <w:rsid w:val="00A31618"/>
    <w:rsid w:val="00A343DA"/>
    <w:rsid w:val="00A40E0B"/>
    <w:rsid w:val="00A41E01"/>
    <w:rsid w:val="00A50979"/>
    <w:rsid w:val="00A51623"/>
    <w:rsid w:val="00A554F4"/>
    <w:rsid w:val="00A63A53"/>
    <w:rsid w:val="00A67D2A"/>
    <w:rsid w:val="00A73190"/>
    <w:rsid w:val="00A823F6"/>
    <w:rsid w:val="00A82711"/>
    <w:rsid w:val="00A922B6"/>
    <w:rsid w:val="00A93962"/>
    <w:rsid w:val="00A93C64"/>
    <w:rsid w:val="00AA3E25"/>
    <w:rsid w:val="00AA6B01"/>
    <w:rsid w:val="00AC42E2"/>
    <w:rsid w:val="00AC6B38"/>
    <w:rsid w:val="00AE2508"/>
    <w:rsid w:val="00AE52E9"/>
    <w:rsid w:val="00AF014F"/>
    <w:rsid w:val="00AF17AE"/>
    <w:rsid w:val="00AF3F0B"/>
    <w:rsid w:val="00B10920"/>
    <w:rsid w:val="00B10B22"/>
    <w:rsid w:val="00B1696B"/>
    <w:rsid w:val="00B20B36"/>
    <w:rsid w:val="00B34129"/>
    <w:rsid w:val="00B354AD"/>
    <w:rsid w:val="00B40C56"/>
    <w:rsid w:val="00B43D3B"/>
    <w:rsid w:val="00B4725B"/>
    <w:rsid w:val="00B64816"/>
    <w:rsid w:val="00B670ED"/>
    <w:rsid w:val="00B70A30"/>
    <w:rsid w:val="00B80260"/>
    <w:rsid w:val="00B83643"/>
    <w:rsid w:val="00B83ACE"/>
    <w:rsid w:val="00B85B3D"/>
    <w:rsid w:val="00B91306"/>
    <w:rsid w:val="00B91715"/>
    <w:rsid w:val="00B975E0"/>
    <w:rsid w:val="00BA017C"/>
    <w:rsid w:val="00BA199F"/>
    <w:rsid w:val="00BA6D34"/>
    <w:rsid w:val="00BB0A7C"/>
    <w:rsid w:val="00BB0BF0"/>
    <w:rsid w:val="00BB3E37"/>
    <w:rsid w:val="00BB57D0"/>
    <w:rsid w:val="00BC1B1A"/>
    <w:rsid w:val="00BC34ED"/>
    <w:rsid w:val="00BC7F25"/>
    <w:rsid w:val="00BD44AC"/>
    <w:rsid w:val="00BD68E7"/>
    <w:rsid w:val="00BE072E"/>
    <w:rsid w:val="00BE398B"/>
    <w:rsid w:val="00BF49FA"/>
    <w:rsid w:val="00BF64FA"/>
    <w:rsid w:val="00C0395D"/>
    <w:rsid w:val="00C045F1"/>
    <w:rsid w:val="00C049CE"/>
    <w:rsid w:val="00C04D4F"/>
    <w:rsid w:val="00C079B2"/>
    <w:rsid w:val="00C07C91"/>
    <w:rsid w:val="00C12A38"/>
    <w:rsid w:val="00C13C07"/>
    <w:rsid w:val="00C15BF4"/>
    <w:rsid w:val="00C32B51"/>
    <w:rsid w:val="00C427B1"/>
    <w:rsid w:val="00C433FA"/>
    <w:rsid w:val="00C44D9B"/>
    <w:rsid w:val="00C45197"/>
    <w:rsid w:val="00C45356"/>
    <w:rsid w:val="00C45446"/>
    <w:rsid w:val="00C47CBB"/>
    <w:rsid w:val="00C6351E"/>
    <w:rsid w:val="00C70CF1"/>
    <w:rsid w:val="00C734AE"/>
    <w:rsid w:val="00C9333F"/>
    <w:rsid w:val="00C93CE4"/>
    <w:rsid w:val="00CA4E5E"/>
    <w:rsid w:val="00CA7CA0"/>
    <w:rsid w:val="00CB4CBF"/>
    <w:rsid w:val="00CB4DC7"/>
    <w:rsid w:val="00CC4257"/>
    <w:rsid w:val="00CD12F0"/>
    <w:rsid w:val="00CD6183"/>
    <w:rsid w:val="00CD6525"/>
    <w:rsid w:val="00CE2430"/>
    <w:rsid w:val="00CE4E6A"/>
    <w:rsid w:val="00CE589B"/>
    <w:rsid w:val="00CE620A"/>
    <w:rsid w:val="00D00227"/>
    <w:rsid w:val="00D06A46"/>
    <w:rsid w:val="00D06AF2"/>
    <w:rsid w:val="00D12B98"/>
    <w:rsid w:val="00D1542B"/>
    <w:rsid w:val="00D17FFC"/>
    <w:rsid w:val="00D2186C"/>
    <w:rsid w:val="00D275A3"/>
    <w:rsid w:val="00D31A3E"/>
    <w:rsid w:val="00D35A59"/>
    <w:rsid w:val="00D40EC4"/>
    <w:rsid w:val="00D42F98"/>
    <w:rsid w:val="00D43FFB"/>
    <w:rsid w:val="00D46412"/>
    <w:rsid w:val="00D466F5"/>
    <w:rsid w:val="00D52632"/>
    <w:rsid w:val="00D562B9"/>
    <w:rsid w:val="00D704BF"/>
    <w:rsid w:val="00D76259"/>
    <w:rsid w:val="00D7758B"/>
    <w:rsid w:val="00D842AF"/>
    <w:rsid w:val="00D8455E"/>
    <w:rsid w:val="00D851A0"/>
    <w:rsid w:val="00D8704B"/>
    <w:rsid w:val="00DA258D"/>
    <w:rsid w:val="00DA57E6"/>
    <w:rsid w:val="00DA5FCB"/>
    <w:rsid w:val="00DA784A"/>
    <w:rsid w:val="00DB4924"/>
    <w:rsid w:val="00DB61DC"/>
    <w:rsid w:val="00DB6CDB"/>
    <w:rsid w:val="00DC00B3"/>
    <w:rsid w:val="00DC2AE2"/>
    <w:rsid w:val="00DC5D24"/>
    <w:rsid w:val="00DD00A0"/>
    <w:rsid w:val="00DD28E4"/>
    <w:rsid w:val="00DE0BFA"/>
    <w:rsid w:val="00DE3345"/>
    <w:rsid w:val="00DE5341"/>
    <w:rsid w:val="00DE69A1"/>
    <w:rsid w:val="00DE7DFE"/>
    <w:rsid w:val="00DF1386"/>
    <w:rsid w:val="00DF1BF2"/>
    <w:rsid w:val="00DF27CA"/>
    <w:rsid w:val="00DF6185"/>
    <w:rsid w:val="00E04A70"/>
    <w:rsid w:val="00E10CFE"/>
    <w:rsid w:val="00E123FC"/>
    <w:rsid w:val="00E13C0D"/>
    <w:rsid w:val="00E21D1C"/>
    <w:rsid w:val="00E250BC"/>
    <w:rsid w:val="00E274D4"/>
    <w:rsid w:val="00E45CD4"/>
    <w:rsid w:val="00E45DCC"/>
    <w:rsid w:val="00E4753B"/>
    <w:rsid w:val="00E53903"/>
    <w:rsid w:val="00E571FF"/>
    <w:rsid w:val="00E63AF3"/>
    <w:rsid w:val="00E65AB9"/>
    <w:rsid w:val="00E670F4"/>
    <w:rsid w:val="00E71E80"/>
    <w:rsid w:val="00E75F49"/>
    <w:rsid w:val="00E846DD"/>
    <w:rsid w:val="00E91E6C"/>
    <w:rsid w:val="00E926B0"/>
    <w:rsid w:val="00EA44D7"/>
    <w:rsid w:val="00EA4BF1"/>
    <w:rsid w:val="00EA6501"/>
    <w:rsid w:val="00EC5716"/>
    <w:rsid w:val="00ED5C58"/>
    <w:rsid w:val="00EE2849"/>
    <w:rsid w:val="00EE7F73"/>
    <w:rsid w:val="00EF07C5"/>
    <w:rsid w:val="00EF67ED"/>
    <w:rsid w:val="00F03341"/>
    <w:rsid w:val="00F05F9C"/>
    <w:rsid w:val="00F168F7"/>
    <w:rsid w:val="00F170F3"/>
    <w:rsid w:val="00F22F05"/>
    <w:rsid w:val="00F3196E"/>
    <w:rsid w:val="00F31AE5"/>
    <w:rsid w:val="00F325A7"/>
    <w:rsid w:val="00F325EF"/>
    <w:rsid w:val="00F35B60"/>
    <w:rsid w:val="00F42764"/>
    <w:rsid w:val="00F623DA"/>
    <w:rsid w:val="00F62DE3"/>
    <w:rsid w:val="00F650F8"/>
    <w:rsid w:val="00F66AED"/>
    <w:rsid w:val="00F70AC0"/>
    <w:rsid w:val="00F736EE"/>
    <w:rsid w:val="00F812AC"/>
    <w:rsid w:val="00F842B4"/>
    <w:rsid w:val="00F84778"/>
    <w:rsid w:val="00F938C5"/>
    <w:rsid w:val="00F97802"/>
    <w:rsid w:val="00FA3A09"/>
    <w:rsid w:val="00FB61B6"/>
    <w:rsid w:val="00FD4FD5"/>
    <w:rsid w:val="00FD6433"/>
    <w:rsid w:val="00FE0E7E"/>
    <w:rsid w:val="00FE6F14"/>
    <w:rsid w:val="00FF5544"/>
    <w:rsid w:val="00FF5BCA"/>
    <w:rsid w:val="011C09C5"/>
    <w:rsid w:val="023B030B"/>
    <w:rsid w:val="023D5DC0"/>
    <w:rsid w:val="03826437"/>
    <w:rsid w:val="04053B3F"/>
    <w:rsid w:val="048D136B"/>
    <w:rsid w:val="06415D54"/>
    <w:rsid w:val="06F35CC1"/>
    <w:rsid w:val="074E2EC0"/>
    <w:rsid w:val="07944B8F"/>
    <w:rsid w:val="07A92150"/>
    <w:rsid w:val="07CF3892"/>
    <w:rsid w:val="095066FD"/>
    <w:rsid w:val="098A57AE"/>
    <w:rsid w:val="09FB42D8"/>
    <w:rsid w:val="0A1575E9"/>
    <w:rsid w:val="0A5B5525"/>
    <w:rsid w:val="0BD10187"/>
    <w:rsid w:val="0BE01613"/>
    <w:rsid w:val="0CDC4D59"/>
    <w:rsid w:val="0D2C1A3F"/>
    <w:rsid w:val="0D5C773D"/>
    <w:rsid w:val="0D982966"/>
    <w:rsid w:val="0E5B0324"/>
    <w:rsid w:val="0FCB2BE8"/>
    <w:rsid w:val="10FD6727"/>
    <w:rsid w:val="11767F6C"/>
    <w:rsid w:val="11DE1E11"/>
    <w:rsid w:val="11F44604"/>
    <w:rsid w:val="120F6E22"/>
    <w:rsid w:val="12296ADA"/>
    <w:rsid w:val="128E58CF"/>
    <w:rsid w:val="141C4ED3"/>
    <w:rsid w:val="14EF03A6"/>
    <w:rsid w:val="153A43E1"/>
    <w:rsid w:val="154C112B"/>
    <w:rsid w:val="169A7CD9"/>
    <w:rsid w:val="16E85DE4"/>
    <w:rsid w:val="17594D9D"/>
    <w:rsid w:val="17A0346E"/>
    <w:rsid w:val="17B20B5B"/>
    <w:rsid w:val="18146A19"/>
    <w:rsid w:val="191C6990"/>
    <w:rsid w:val="194F27BE"/>
    <w:rsid w:val="196206F6"/>
    <w:rsid w:val="19D46760"/>
    <w:rsid w:val="1B8A31B8"/>
    <w:rsid w:val="1BA24524"/>
    <w:rsid w:val="1BDD5A46"/>
    <w:rsid w:val="1BE62236"/>
    <w:rsid w:val="1C235001"/>
    <w:rsid w:val="1C4F1ECC"/>
    <w:rsid w:val="1C71737A"/>
    <w:rsid w:val="1CF4274C"/>
    <w:rsid w:val="1D594011"/>
    <w:rsid w:val="1DC6455D"/>
    <w:rsid w:val="1E712AD5"/>
    <w:rsid w:val="1E862CC7"/>
    <w:rsid w:val="1E882B53"/>
    <w:rsid w:val="1EE20E8F"/>
    <w:rsid w:val="1F480423"/>
    <w:rsid w:val="1F6E5CC9"/>
    <w:rsid w:val="1F820AD9"/>
    <w:rsid w:val="1F8233AC"/>
    <w:rsid w:val="1F83674F"/>
    <w:rsid w:val="203F29D5"/>
    <w:rsid w:val="20CE6246"/>
    <w:rsid w:val="20E04E1F"/>
    <w:rsid w:val="218E591C"/>
    <w:rsid w:val="21A613E5"/>
    <w:rsid w:val="2252640A"/>
    <w:rsid w:val="229A2E52"/>
    <w:rsid w:val="23C34460"/>
    <w:rsid w:val="240F6B39"/>
    <w:rsid w:val="24325D57"/>
    <w:rsid w:val="247677E9"/>
    <w:rsid w:val="248F1E5B"/>
    <w:rsid w:val="24932711"/>
    <w:rsid w:val="24DF6339"/>
    <w:rsid w:val="254C3119"/>
    <w:rsid w:val="2670042E"/>
    <w:rsid w:val="268E666C"/>
    <w:rsid w:val="26A4306F"/>
    <w:rsid w:val="273D1E40"/>
    <w:rsid w:val="27CC7A3F"/>
    <w:rsid w:val="282C16DA"/>
    <w:rsid w:val="284C127B"/>
    <w:rsid w:val="291F4C1A"/>
    <w:rsid w:val="29584E08"/>
    <w:rsid w:val="29D245D2"/>
    <w:rsid w:val="2AA82E1B"/>
    <w:rsid w:val="2ADE50A2"/>
    <w:rsid w:val="2AED2FEE"/>
    <w:rsid w:val="2B98341A"/>
    <w:rsid w:val="2BF86EE7"/>
    <w:rsid w:val="2CCC34FD"/>
    <w:rsid w:val="2D595EFA"/>
    <w:rsid w:val="2E0372D2"/>
    <w:rsid w:val="2E0F7D44"/>
    <w:rsid w:val="2E590945"/>
    <w:rsid w:val="2E834C7A"/>
    <w:rsid w:val="2ECE4572"/>
    <w:rsid w:val="2F795CAB"/>
    <w:rsid w:val="2F8D7C56"/>
    <w:rsid w:val="300062E8"/>
    <w:rsid w:val="306E0E83"/>
    <w:rsid w:val="30B667DA"/>
    <w:rsid w:val="31FB1200"/>
    <w:rsid w:val="3298142A"/>
    <w:rsid w:val="32B160D9"/>
    <w:rsid w:val="33013AA8"/>
    <w:rsid w:val="33BD19E9"/>
    <w:rsid w:val="33C179EB"/>
    <w:rsid w:val="34D35079"/>
    <w:rsid w:val="34FC7203"/>
    <w:rsid w:val="35522C8A"/>
    <w:rsid w:val="35600AEB"/>
    <w:rsid w:val="357523C7"/>
    <w:rsid w:val="35AA230C"/>
    <w:rsid w:val="35CB68A5"/>
    <w:rsid w:val="36225909"/>
    <w:rsid w:val="36851D82"/>
    <w:rsid w:val="36FB05AB"/>
    <w:rsid w:val="373947B1"/>
    <w:rsid w:val="378748B5"/>
    <w:rsid w:val="38726602"/>
    <w:rsid w:val="391925E0"/>
    <w:rsid w:val="39710577"/>
    <w:rsid w:val="399A457B"/>
    <w:rsid w:val="39B60412"/>
    <w:rsid w:val="39CA67D5"/>
    <w:rsid w:val="39EB0ACB"/>
    <w:rsid w:val="3A074833"/>
    <w:rsid w:val="3AB04899"/>
    <w:rsid w:val="3ADA0CD0"/>
    <w:rsid w:val="3BD83028"/>
    <w:rsid w:val="3C8D1AE6"/>
    <w:rsid w:val="3C905248"/>
    <w:rsid w:val="3D0F6FAB"/>
    <w:rsid w:val="3D333895"/>
    <w:rsid w:val="3DA7771E"/>
    <w:rsid w:val="3DE32376"/>
    <w:rsid w:val="3DFE7716"/>
    <w:rsid w:val="3E0C7BCC"/>
    <w:rsid w:val="3E7A43E5"/>
    <w:rsid w:val="3ED67432"/>
    <w:rsid w:val="3FE743DD"/>
    <w:rsid w:val="402D5C23"/>
    <w:rsid w:val="40303BAB"/>
    <w:rsid w:val="410E0325"/>
    <w:rsid w:val="433707D9"/>
    <w:rsid w:val="43E35901"/>
    <w:rsid w:val="441F165E"/>
    <w:rsid w:val="443C0784"/>
    <w:rsid w:val="44510843"/>
    <w:rsid w:val="448A3FFB"/>
    <w:rsid w:val="44B149DF"/>
    <w:rsid w:val="44E36701"/>
    <w:rsid w:val="458B676B"/>
    <w:rsid w:val="45F33828"/>
    <w:rsid w:val="460F61A8"/>
    <w:rsid w:val="46BE06D9"/>
    <w:rsid w:val="46F24FEE"/>
    <w:rsid w:val="47D309CC"/>
    <w:rsid w:val="489D7EC8"/>
    <w:rsid w:val="490E7618"/>
    <w:rsid w:val="497C3F59"/>
    <w:rsid w:val="4989217D"/>
    <w:rsid w:val="4A513D7C"/>
    <w:rsid w:val="4A5B2B97"/>
    <w:rsid w:val="4C7279FA"/>
    <w:rsid w:val="4C7F31D9"/>
    <w:rsid w:val="4C831E93"/>
    <w:rsid w:val="4D460714"/>
    <w:rsid w:val="4DD2499C"/>
    <w:rsid w:val="4F175F33"/>
    <w:rsid w:val="4FCB046F"/>
    <w:rsid w:val="5043269F"/>
    <w:rsid w:val="505A46F9"/>
    <w:rsid w:val="50EC1CBA"/>
    <w:rsid w:val="516B68C8"/>
    <w:rsid w:val="51A258E6"/>
    <w:rsid w:val="525A1CF5"/>
    <w:rsid w:val="527C6AFD"/>
    <w:rsid w:val="52800ADD"/>
    <w:rsid w:val="52F23A48"/>
    <w:rsid w:val="532314BB"/>
    <w:rsid w:val="534E0E94"/>
    <w:rsid w:val="536F56D6"/>
    <w:rsid w:val="541E7F73"/>
    <w:rsid w:val="55846D51"/>
    <w:rsid w:val="55FC3B01"/>
    <w:rsid w:val="56B0546E"/>
    <w:rsid w:val="5A6913EB"/>
    <w:rsid w:val="5A72324E"/>
    <w:rsid w:val="5AFA7937"/>
    <w:rsid w:val="5AFC5A89"/>
    <w:rsid w:val="5BC44C69"/>
    <w:rsid w:val="5BF00879"/>
    <w:rsid w:val="5BFD786B"/>
    <w:rsid w:val="5C6B68E8"/>
    <w:rsid w:val="5DE30421"/>
    <w:rsid w:val="5DE81F5E"/>
    <w:rsid w:val="5E5F59DE"/>
    <w:rsid w:val="5E9B2641"/>
    <w:rsid w:val="5EEA02C1"/>
    <w:rsid w:val="5F566956"/>
    <w:rsid w:val="5F8B1CF9"/>
    <w:rsid w:val="5FEB3A0E"/>
    <w:rsid w:val="609A4A1D"/>
    <w:rsid w:val="613D5A2A"/>
    <w:rsid w:val="61E41603"/>
    <w:rsid w:val="61F54E5A"/>
    <w:rsid w:val="62CF7C34"/>
    <w:rsid w:val="62F7643C"/>
    <w:rsid w:val="644864A8"/>
    <w:rsid w:val="64FB3010"/>
    <w:rsid w:val="6511041C"/>
    <w:rsid w:val="672C7AA4"/>
    <w:rsid w:val="677F5FA5"/>
    <w:rsid w:val="687369FF"/>
    <w:rsid w:val="692A1518"/>
    <w:rsid w:val="6A624CB4"/>
    <w:rsid w:val="6B715907"/>
    <w:rsid w:val="6BE047F9"/>
    <w:rsid w:val="6BF732D9"/>
    <w:rsid w:val="6C5E688D"/>
    <w:rsid w:val="6C6D0F7D"/>
    <w:rsid w:val="6C76168B"/>
    <w:rsid w:val="6CA05ACB"/>
    <w:rsid w:val="6CB87485"/>
    <w:rsid w:val="6CC8520B"/>
    <w:rsid w:val="6D420188"/>
    <w:rsid w:val="6DD43630"/>
    <w:rsid w:val="6E6C5200"/>
    <w:rsid w:val="6EA66D2E"/>
    <w:rsid w:val="6F0701BC"/>
    <w:rsid w:val="6F1345F9"/>
    <w:rsid w:val="6F3F7C2C"/>
    <w:rsid w:val="6F573C15"/>
    <w:rsid w:val="6F803C82"/>
    <w:rsid w:val="7021574B"/>
    <w:rsid w:val="706D5C3A"/>
    <w:rsid w:val="71176EC6"/>
    <w:rsid w:val="713D3402"/>
    <w:rsid w:val="7209589D"/>
    <w:rsid w:val="721553EC"/>
    <w:rsid w:val="734263F4"/>
    <w:rsid w:val="735A004C"/>
    <w:rsid w:val="73EB753D"/>
    <w:rsid w:val="745D3B5B"/>
    <w:rsid w:val="74EE5ABE"/>
    <w:rsid w:val="75454282"/>
    <w:rsid w:val="7585185D"/>
    <w:rsid w:val="763F143C"/>
    <w:rsid w:val="76DF121B"/>
    <w:rsid w:val="773D0B40"/>
    <w:rsid w:val="78046984"/>
    <w:rsid w:val="78DE24EA"/>
    <w:rsid w:val="78F67AD9"/>
    <w:rsid w:val="791E116B"/>
    <w:rsid w:val="7A1340B2"/>
    <w:rsid w:val="7A823E85"/>
    <w:rsid w:val="7AEF57C1"/>
    <w:rsid w:val="7B7E0B02"/>
    <w:rsid w:val="7BB53FD4"/>
    <w:rsid w:val="7BB858C0"/>
    <w:rsid w:val="7C3D0C61"/>
    <w:rsid w:val="7C4C1BA4"/>
    <w:rsid w:val="7C5F6CFB"/>
    <w:rsid w:val="7C74417C"/>
    <w:rsid w:val="7D1B1B0A"/>
    <w:rsid w:val="7D4C2EBF"/>
    <w:rsid w:val="7DF550F7"/>
    <w:rsid w:val="7E670045"/>
    <w:rsid w:val="7ED2779D"/>
    <w:rsid w:val="7F971878"/>
    <w:rsid w:val="7FF4798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Body Tex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rPr>
  </w:style>
  <w:style w:type="paragraph" w:styleId="2">
    <w:name w:val="heading 2"/>
    <w:basedOn w:val="a"/>
    <w:next w:val="a"/>
    <w:link w:val="2Char"/>
    <w:qFormat/>
    <w:pPr>
      <w:keepNext/>
      <w:keepLines/>
      <w:spacing w:before="260" w:after="260" w:line="412" w:lineRule="auto"/>
      <w:outlineLvl w:val="1"/>
    </w:pPr>
    <w:rPr>
      <w:rFonts w:ascii="Arial" w:eastAsia="黑体" w:hAnsi="Arial"/>
      <w:b/>
      <w:sz w:val="32"/>
      <w:szCs w:val="22"/>
    </w:rPr>
  </w:style>
  <w:style w:type="paragraph" w:styleId="4">
    <w:name w:val="heading 4"/>
    <w:basedOn w:val="a"/>
    <w:next w:val="a"/>
    <w:link w:val="4Char"/>
    <w:qFormat/>
    <w:pPr>
      <w:keepNext/>
      <w:keepLines/>
      <w:spacing w:before="280" w:after="290" w:line="376" w:lineRule="auto"/>
      <w:outlineLvl w:val="3"/>
    </w:pPr>
    <w:rPr>
      <w:rFonts w:ascii="Cambria" w:hAnsi="Cambria"/>
      <w:b/>
      <w:bCs/>
      <w:sz w:val="28"/>
      <w:szCs w:val="28"/>
    </w:rPr>
  </w:style>
  <w:style w:type="character" w:default="1" w:styleId="a0">
    <w:name w:val="Default Paragraph Font"/>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rPr>
      <w:rFonts w:ascii="Arial" w:eastAsia="黑体" w:hAnsi="Arial"/>
      <w:b/>
      <w:kern w:val="2"/>
      <w:sz w:val="32"/>
      <w:szCs w:val="22"/>
    </w:rPr>
  </w:style>
  <w:style w:type="character" w:customStyle="1" w:styleId="4Char">
    <w:name w:val="标题 4 Char"/>
    <w:link w:val="4"/>
    <w:semiHidden/>
    <w:rPr>
      <w:rFonts w:ascii="Cambria" w:eastAsia="宋体" w:hAnsi="Cambria" w:cs="Times New Roman"/>
      <w:b/>
      <w:bCs/>
      <w:kern w:val="2"/>
      <w:sz w:val="28"/>
      <w:szCs w:val="28"/>
    </w:rPr>
  </w:style>
  <w:style w:type="paragraph" w:styleId="a3">
    <w:name w:val="annotation text"/>
    <w:basedOn w:val="a"/>
    <w:link w:val="Char"/>
    <w:pPr>
      <w:jc w:val="left"/>
    </w:pPr>
  </w:style>
  <w:style w:type="character" w:customStyle="1" w:styleId="Char">
    <w:name w:val="批注文字 Char"/>
    <w:link w:val="a3"/>
    <w:rPr>
      <w:kern w:val="2"/>
      <w:sz w:val="21"/>
    </w:rPr>
  </w:style>
  <w:style w:type="paragraph" w:styleId="20">
    <w:name w:val="Body Text Indent 2"/>
    <w:basedOn w:val="a"/>
    <w:link w:val="2Char0"/>
    <w:qFormat/>
    <w:pPr>
      <w:spacing w:line="360" w:lineRule="auto"/>
      <w:ind w:firstLineChars="200" w:firstLine="420"/>
    </w:pPr>
    <w:rPr>
      <w:rFonts w:ascii="宋体" w:hAnsi="宋体"/>
    </w:rPr>
  </w:style>
  <w:style w:type="character" w:customStyle="1" w:styleId="2Char0">
    <w:name w:val="正文文本缩进 2 Char"/>
    <w:link w:val="20"/>
    <w:qFormat/>
    <w:rPr>
      <w:rFonts w:ascii="宋体" w:hAnsi="宋体"/>
      <w:kern w:val="2"/>
      <w:sz w:val="21"/>
    </w:rPr>
  </w:style>
  <w:style w:type="paragraph" w:styleId="a4">
    <w:name w:val="Balloon Text"/>
    <w:basedOn w:val="a"/>
    <w:link w:val="Char0"/>
    <w:rPr>
      <w:sz w:val="18"/>
      <w:szCs w:val="18"/>
    </w:rPr>
  </w:style>
  <w:style w:type="character" w:customStyle="1" w:styleId="Char0">
    <w:name w:val="批注框文本 Char"/>
    <w:link w:val="a4"/>
    <w:rPr>
      <w:kern w:val="2"/>
      <w:sz w:val="18"/>
      <w:szCs w:val="18"/>
    </w:rPr>
  </w:style>
  <w:style w:type="paragraph" w:styleId="a5">
    <w:name w:val="footer"/>
    <w:basedOn w:val="a"/>
    <w:link w:val="Char1"/>
    <w:uiPriority w:val="99"/>
    <w:pPr>
      <w:tabs>
        <w:tab w:val="center" w:pos="4153"/>
        <w:tab w:val="right" w:pos="8306"/>
      </w:tabs>
      <w:snapToGrid w:val="0"/>
      <w:jc w:val="left"/>
    </w:pPr>
    <w:rPr>
      <w:sz w:val="18"/>
      <w:szCs w:val="18"/>
    </w:rPr>
  </w:style>
  <w:style w:type="character" w:customStyle="1" w:styleId="Char1">
    <w:name w:val="页脚 Char"/>
    <w:link w:val="a5"/>
    <w:uiPriority w:val="99"/>
    <w:rPr>
      <w:kern w:val="2"/>
      <w:sz w:val="18"/>
      <w:szCs w:val="18"/>
    </w:rPr>
  </w:style>
  <w:style w:type="paragraph" w:styleId="a6">
    <w:name w:val="header"/>
    <w:basedOn w:val="a"/>
    <w:link w:val="Char2"/>
    <w:uiPriority w:val="99"/>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6"/>
    <w:uiPriority w:val="99"/>
    <w:rPr>
      <w:kern w:val="2"/>
      <w:sz w:val="18"/>
      <w:szCs w:val="18"/>
    </w:rPr>
  </w:style>
  <w:style w:type="paragraph" w:styleId="a7">
    <w:name w:val="Subtitle"/>
    <w:basedOn w:val="a"/>
    <w:next w:val="a"/>
    <w:link w:val="Char3"/>
    <w:qFormat/>
    <w:pPr>
      <w:spacing w:before="240" w:after="60" w:line="312" w:lineRule="auto"/>
      <w:jc w:val="center"/>
      <w:outlineLvl w:val="1"/>
    </w:pPr>
    <w:rPr>
      <w:rFonts w:ascii="Cambria" w:hAnsi="Cambria"/>
      <w:b/>
      <w:bCs/>
      <w:kern w:val="28"/>
      <w:sz w:val="32"/>
      <w:szCs w:val="32"/>
    </w:rPr>
  </w:style>
  <w:style w:type="character" w:customStyle="1" w:styleId="Char3">
    <w:name w:val="副标题 Char"/>
    <w:link w:val="a7"/>
    <w:rPr>
      <w:rFonts w:ascii="Cambria" w:hAnsi="Cambria" w:cs="Times New Roman"/>
      <w:b/>
      <w:bCs/>
      <w:kern w:val="28"/>
      <w:sz w:val="32"/>
      <w:szCs w:val="32"/>
    </w:rPr>
  </w:style>
  <w:style w:type="paragraph" w:styleId="a8">
    <w:name w:val="annotation subject"/>
    <w:basedOn w:val="a3"/>
    <w:next w:val="a3"/>
    <w:link w:val="Char4"/>
    <w:rPr>
      <w:b/>
      <w:bCs/>
    </w:rPr>
  </w:style>
  <w:style w:type="character" w:customStyle="1" w:styleId="Char4">
    <w:name w:val="批注主题 Char"/>
    <w:link w:val="a8"/>
    <w:rPr>
      <w:b/>
      <w:bCs/>
      <w:kern w:val="2"/>
      <w:sz w:val="21"/>
    </w:rPr>
  </w:style>
  <w:style w:type="character" w:styleId="a9">
    <w:name w:val="Strong"/>
    <w:basedOn w:val="a0"/>
    <w:qFormat/>
    <w:rPr>
      <w:b/>
    </w:rPr>
  </w:style>
  <w:style w:type="character" w:styleId="aa">
    <w:name w:val="Emphasis"/>
    <w:basedOn w:val="a0"/>
    <w:qFormat/>
    <w:rPr>
      <w:i/>
    </w:rPr>
  </w:style>
  <w:style w:type="character" w:styleId="ab">
    <w:name w:val="Hyperlink"/>
    <w:rPr>
      <w:color w:val="0000FF"/>
      <w:u w:val="single"/>
    </w:rPr>
  </w:style>
  <w:style w:type="character" w:styleId="ac">
    <w:name w:val="annotation reference"/>
    <w:rPr>
      <w:sz w:val="21"/>
      <w:szCs w:val="21"/>
    </w:rPr>
  </w:style>
  <w:style w:type="paragraph" w:styleId="ad">
    <w:name w:val="Revision"/>
    <w:uiPriority w:val="99"/>
    <w:semiHidden/>
    <w:rPr>
      <w:kern w:val="2"/>
      <w:sz w:val="21"/>
    </w:rPr>
  </w:style>
  <w:style w:type="paragraph" w:customStyle="1" w:styleId="080318">
    <w:name w:val="产品方案正文080318"/>
    <w:basedOn w:val="a"/>
    <w:qFormat/>
    <w:pPr>
      <w:autoSpaceDE w:val="0"/>
      <w:autoSpaceDN w:val="0"/>
      <w:adjustRightInd w:val="0"/>
      <w:snapToGrid w:val="0"/>
      <w:spacing w:line="360" w:lineRule="auto"/>
      <w:ind w:firstLineChars="200" w:firstLine="200"/>
    </w:pPr>
    <w:rPr>
      <w:rFonts w:ascii="宋体" w:cs="宋体"/>
      <w:lang w:val="zh-CN"/>
    </w:rPr>
  </w:style>
  <w:style w:type="paragraph" w:customStyle="1" w:styleId="p0">
    <w:name w:val="p0"/>
    <w:basedOn w:val="a"/>
    <w:pPr>
      <w:widowControl/>
    </w:pPr>
    <w:rPr>
      <w:kern w:val="0"/>
    </w:rPr>
  </w:style>
  <w:style w:type="paragraph" w:customStyle="1" w:styleId="ae">
    <w:name w:val="产品二级小标题"/>
    <w:basedOn w:val="a"/>
    <w:pPr>
      <w:autoSpaceDE w:val="0"/>
      <w:autoSpaceDN w:val="0"/>
      <w:adjustRightInd w:val="0"/>
      <w:snapToGrid w:val="0"/>
      <w:spacing w:line="360" w:lineRule="auto"/>
      <w:ind w:firstLineChars="200" w:firstLine="422"/>
    </w:pPr>
    <w:rPr>
      <w:rFonts w:ascii="Arial Unicode MS" w:eastAsia="Arial Unicode MS" w:hAnsi="Cambria Math" w:cs="Arial Unicode MS"/>
      <w:b/>
      <w:bCs/>
      <w:lang w:val="zh-CN"/>
    </w:rPr>
  </w:style>
  <w:style w:type="paragraph" w:customStyle="1" w:styleId="21">
    <w:name w:val="产品小标题2"/>
    <w:basedOn w:val="a"/>
    <w:next w:val="a"/>
    <w:qFormat/>
    <w:pPr>
      <w:spacing w:before="120" w:line="415" w:lineRule="auto"/>
      <w:ind w:firstLineChars="200" w:firstLine="562"/>
      <w:jc w:val="left"/>
      <w:outlineLvl w:val="0"/>
    </w:pPr>
    <w:rPr>
      <w:rFonts w:ascii="Courier New" w:eastAsia="Courier New" w:hAnsi="Cambria Math" w:cs="Cambria Math"/>
      <w:b/>
      <w:kern w:val="0"/>
      <w:sz w:val="28"/>
      <w:szCs w:val="24"/>
    </w:rPr>
  </w:style>
  <w:style w:type="paragraph" w:customStyle="1" w:styleId="af">
    <w:name w:val="文件正文"/>
    <w:basedOn w:val="20"/>
    <w:qFormat/>
    <w:pPr>
      <w:adjustRightInd w:val="0"/>
      <w:snapToGrid w:val="0"/>
      <w:ind w:firstLine="883"/>
    </w:pPr>
    <w:rPr>
      <w:sz w:val="24"/>
    </w:rPr>
  </w:style>
  <w:style w:type="paragraph" w:customStyle="1" w:styleId="XBRLTitle2">
    <w:name w:val="XBRLTitle2"/>
    <w:basedOn w:val="a7"/>
    <w:next w:val="4"/>
    <w:pPr>
      <w:keepNext/>
      <w:keepLines/>
      <w:numPr>
        <w:ilvl w:val="1"/>
        <w:numId w:val="1"/>
      </w:numPr>
      <w:tabs>
        <w:tab w:val="left" w:pos="405"/>
      </w:tabs>
      <w:spacing w:beforeLines="50" w:afterLines="50" w:line="240" w:lineRule="auto"/>
      <w:jc w:val="left"/>
    </w:pPr>
    <w:rPr>
      <w:sz w:val="24"/>
    </w:rPr>
  </w:style>
  <w:style w:type="paragraph" w:customStyle="1" w:styleId="Default">
    <w:name w:val="Default"/>
    <w:pPr>
      <w:widowControl w:val="0"/>
      <w:autoSpaceDE w:val="0"/>
      <w:autoSpaceDN w:val="0"/>
      <w:adjustRightInd w:val="0"/>
    </w:pPr>
    <w:rPr>
      <w:rFonts w:ascii="宋体" w:hAnsi="宋体" w:cs="宋体"/>
      <w:color w:val="000000"/>
      <w:sz w:val="24"/>
      <w:szCs w:val="24"/>
    </w:rPr>
  </w:style>
  <w:style w:type="paragraph" w:styleId="af0">
    <w:name w:val="List Paragraph"/>
    <w:basedOn w:val="a"/>
    <w:uiPriority w:val="34"/>
    <w:qFormat/>
    <w:pPr>
      <w:ind w:firstLineChars="200" w:firstLine="420"/>
    </w:pPr>
    <w:rPr>
      <w:szCs w:val="24"/>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zhixiao.yhfund.com.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629</Words>
  <Characters>3587</Characters>
  <Application>Microsoft Office Word</Application>
  <DocSecurity>4</DocSecurity>
  <PresentationFormat/>
  <Lines>29</Lines>
  <Paragraphs>8</Paragraphs>
  <Slides>0</Slides>
  <Notes>0</Notes>
  <HiddenSlides>0</HiddenSlides>
  <MMClips>0</MMClips>
  <ScaleCrop>false</ScaleCrop>
  <Company>YHFund</Company>
  <LinksUpToDate>false</LinksUpToDate>
  <CharactersWithSpaces>4208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银华基金管理有限公司</dc:title>
  <dc:subject/>
  <dc:creator>wangxf</dc:creator>
  <cp:keywords/>
  <cp:lastModifiedBy>ZHONGM</cp:lastModifiedBy>
  <cp:revision>2</cp:revision>
  <cp:lastPrinted>2019-01-03T07:34:00Z</cp:lastPrinted>
  <dcterms:created xsi:type="dcterms:W3CDTF">2025-11-25T16:02:00Z</dcterms:created>
  <dcterms:modified xsi:type="dcterms:W3CDTF">2025-11-25T16:02:00Z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2052-12.8.2.18913</vt:lpwstr>
  </property>
  <property fmtid="{D5CDD505-2E9C-101B-9397-08002B2CF9AE}" pid="3" name="ICV">
    <vt:lpwstr>AF69864F57A1440EA845EC3695519196</vt:lpwstr>
  </property>
</Properties>
</file>