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B30E07">
      <w:pPr>
        <w:pStyle w:val="XBRL2"/>
        <w:spacing w:before="156"/>
      </w:pPr>
      <w:bookmarkStart w:id="0" w:name="_Toc348410291"/>
      <w:bookmarkEnd w:id="0"/>
      <w:r>
        <w:t xml:space="preserve">　</w:t>
      </w:r>
      <w:r>
        <w:t xml:space="preserve"> </w:t>
      </w:r>
    </w:p>
    <w:p w:rsidR="00000000" w:rsidRDefault="00B30E07">
      <w:pPr>
        <w:jc w:val="center"/>
      </w:pPr>
      <w:r>
        <w:rPr>
          <w:rFonts w:cs="Times New Roman" w:hint="eastAsia"/>
          <w:b/>
          <w:sz w:val="48"/>
          <w:szCs w:val="48"/>
        </w:rPr>
        <w:t>工银瑞信养老目标日期</w:t>
      </w:r>
      <w:r>
        <w:rPr>
          <w:rFonts w:cs="Times New Roman" w:hint="eastAsia"/>
          <w:b/>
          <w:sz w:val="48"/>
          <w:szCs w:val="48"/>
        </w:rPr>
        <w:t>2035</w:t>
      </w:r>
      <w:r>
        <w:rPr>
          <w:rFonts w:cs="Times New Roman" w:hint="eastAsia"/>
          <w:b/>
          <w:sz w:val="48"/>
          <w:szCs w:val="48"/>
        </w:rPr>
        <w:t>三年持有期混合型基金中基金（</w:t>
      </w:r>
      <w:r>
        <w:rPr>
          <w:rFonts w:cs="Times New Roman" w:hint="eastAsia"/>
          <w:b/>
          <w:sz w:val="48"/>
          <w:szCs w:val="48"/>
        </w:rPr>
        <w:t>FOF</w:t>
      </w:r>
      <w:r>
        <w:rPr>
          <w:rFonts w:cs="Times New Roman" w:hint="eastAsia"/>
          <w:b/>
          <w:sz w:val="48"/>
          <w:szCs w:val="48"/>
        </w:rPr>
        <w:t>）</w:t>
      </w:r>
      <w:r>
        <w:rPr>
          <w:rFonts w:cs="Times New Roman" w:hint="eastAsia"/>
          <w:b/>
          <w:sz w:val="48"/>
          <w:szCs w:val="48"/>
        </w:rPr>
        <w:t>Y</w:t>
      </w:r>
      <w:r>
        <w:rPr>
          <w:rFonts w:cs="Times New Roman" w:hint="eastAsia"/>
          <w:b/>
          <w:sz w:val="48"/>
          <w:szCs w:val="48"/>
        </w:rPr>
        <w:t>类基金份额开放日常赎回业务的公告</w:t>
      </w:r>
    </w:p>
    <w:p w:rsidR="00000000" w:rsidRDefault="00B30E07">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000000" w:rsidRDefault="00B30E07">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000000" w:rsidRDefault="00B30E07">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000000" w:rsidRDefault="00B30E07">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000000" w:rsidRDefault="00B30E07">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000000" w:rsidRDefault="00B30E07">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000000" w:rsidRDefault="00B30E07">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000000" w:rsidRDefault="00B30E07">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000000" w:rsidRDefault="00B30E07">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000000" w:rsidRDefault="00B30E07">
      <w:pPr>
        <w:spacing w:line="360" w:lineRule="auto"/>
        <w:jc w:val="center"/>
        <w:rPr>
          <w:rFonts w:hint="eastAsia"/>
          <w:sz w:val="24"/>
          <w:szCs w:val="30"/>
        </w:rPr>
      </w:pPr>
      <w:r>
        <w:rPr>
          <w:rFonts w:hint="eastAsia"/>
          <w:sz w:val="24"/>
          <w:szCs w:val="30"/>
        </w:rPr>
        <w:t xml:space="preserve">　</w:t>
      </w:r>
      <w:r>
        <w:rPr>
          <w:rFonts w:hint="eastAsia"/>
          <w:sz w:val="24"/>
          <w:szCs w:val="30"/>
        </w:rPr>
        <w:t xml:space="preserve"> </w:t>
      </w:r>
    </w:p>
    <w:p w:rsidR="00000000" w:rsidRDefault="00B30E07">
      <w:pPr>
        <w:spacing w:line="360" w:lineRule="auto"/>
        <w:jc w:val="center"/>
        <w:rPr>
          <w:rFonts w:hint="eastAsia"/>
        </w:rPr>
      </w:pPr>
      <w:r>
        <w:rPr>
          <w:rFonts w:hint="eastAsia"/>
          <w:b/>
          <w:bCs/>
          <w:sz w:val="24"/>
          <w:szCs w:val="30"/>
        </w:rPr>
        <w:t>公告送出日期：</w:t>
      </w:r>
      <w:r>
        <w:rPr>
          <w:rFonts w:hint="eastAsia"/>
          <w:b/>
          <w:bCs/>
          <w:sz w:val="24"/>
          <w:szCs w:val="30"/>
        </w:rPr>
        <w:t>2025</w:t>
      </w:r>
      <w:r>
        <w:rPr>
          <w:rFonts w:hint="eastAsia"/>
          <w:b/>
          <w:bCs/>
          <w:sz w:val="24"/>
          <w:szCs w:val="30"/>
        </w:rPr>
        <w:t>年</w:t>
      </w:r>
      <w:r>
        <w:rPr>
          <w:rFonts w:hint="eastAsia"/>
          <w:b/>
          <w:bCs/>
          <w:sz w:val="24"/>
          <w:szCs w:val="30"/>
        </w:rPr>
        <w:t>11</w:t>
      </w:r>
      <w:r>
        <w:rPr>
          <w:rFonts w:hint="eastAsia"/>
          <w:b/>
          <w:bCs/>
          <w:sz w:val="24"/>
          <w:szCs w:val="30"/>
        </w:rPr>
        <w:t>月</w:t>
      </w:r>
      <w:r>
        <w:rPr>
          <w:rFonts w:hint="eastAsia"/>
          <w:b/>
          <w:bCs/>
          <w:sz w:val="24"/>
          <w:szCs w:val="30"/>
        </w:rPr>
        <w:t>26</w:t>
      </w:r>
      <w:r>
        <w:rPr>
          <w:rFonts w:hint="eastAsia"/>
          <w:b/>
          <w:bCs/>
          <w:sz w:val="24"/>
          <w:szCs w:val="30"/>
        </w:rPr>
        <w:t>日</w:t>
      </w:r>
    </w:p>
    <w:p w:rsidR="00000000" w:rsidRDefault="00B30E07">
      <w:pPr>
        <w:pStyle w:val="XBRLTitle1"/>
        <w:spacing w:before="156" w:line="360" w:lineRule="auto"/>
        <w:rPr>
          <w:rFonts w:hint="eastAsia"/>
        </w:rPr>
      </w:pPr>
      <w:r>
        <w:rPr>
          <w:rFonts w:hint="eastAsia"/>
          <w:color w:val="404040"/>
          <w:kern w:val="0"/>
        </w:rPr>
        <w:br w:type="page"/>
      </w:r>
      <w:bookmarkStart w:id="1" w:name="_Toc34841028"/>
      <w:bookmarkStart w:id="2" w:name="_Toc34758519"/>
      <w:bookmarkStart w:id="3" w:name="_Toc481075046"/>
      <w:bookmarkStart w:id="4" w:name="_Toc17897936"/>
      <w:bookmarkStart w:id="5" w:name="_Toc490050000"/>
      <w:bookmarkStart w:id="6" w:name="_Toc513295892"/>
      <w:bookmarkStart w:id="7" w:name="_Toc513295846"/>
      <w:bookmarkStart w:id="8" w:name="_Toc438646451"/>
      <w:bookmarkStart w:id="9" w:name="_Toc512519480"/>
      <w:bookmarkStart w:id="10" w:name="_Toc17898178"/>
      <w:bookmarkStart w:id="11" w:name="m101"/>
      <w:bookmarkStart w:id="12" w:name="_Toc194311890"/>
      <w:bookmarkStart w:id="13" w:name="m01_01"/>
      <w:r>
        <w:rPr>
          <w:rFonts w:hAnsi="宋体" w:hint="eastAsia"/>
        </w:rPr>
        <w:lastRenderedPageBreak/>
        <w:t>公告基本信息</w:t>
      </w:r>
      <w:bookmarkEnd w:id="1"/>
      <w:bookmarkEnd w:id="2"/>
      <w:bookmarkEnd w:id="3"/>
      <w:bookmarkEnd w:id="4"/>
      <w:bookmarkEnd w:id="5"/>
      <w:bookmarkEnd w:id="6"/>
      <w:bookmarkEnd w:id="7"/>
      <w:bookmarkEnd w:id="8"/>
      <w:bookmarkEnd w:id="9"/>
      <w:bookmarkEnd w:id="10"/>
      <w:r>
        <w:rPr>
          <w:rFonts w:hAnsi="宋体" w:hint="eastAsia"/>
          <w:szCs w:val="44"/>
        </w:rPr>
        <w:t xml:space="preserve"> </w:t>
      </w:r>
    </w:p>
    <w:tbl>
      <w:tblPr>
        <w:tblW w:w="86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53"/>
        <w:gridCol w:w="2840"/>
        <w:gridCol w:w="2840"/>
      </w:tblGrid>
      <w:tr w:rsidR="00000000">
        <w:tc>
          <w:tcPr>
            <w:tcW w:w="2953" w:type="dxa"/>
            <w:tcBorders>
              <w:top w:val="single" w:sz="4" w:space="0" w:color="000000"/>
              <w:left w:val="single" w:sz="4" w:space="0" w:color="000000"/>
              <w:bottom w:val="single" w:sz="4" w:space="0" w:color="000000"/>
              <w:right w:val="single" w:sz="4" w:space="0" w:color="000000"/>
            </w:tcBorders>
            <w:vAlign w:val="center"/>
          </w:tcPr>
          <w:p w:rsidR="00000000" w:rsidRDefault="00B30E07">
            <w:pPr>
              <w:rPr>
                <w:rFonts w:hint="eastAsia"/>
              </w:rPr>
            </w:pPr>
            <w:r>
              <w:rPr>
                <w:rFonts w:hint="eastAsia"/>
              </w:rPr>
              <w:t>基金名称</w:t>
            </w:r>
            <w:r>
              <w:rPr>
                <w:rFonts w:hint="eastAsia"/>
              </w:rPr>
              <w:t xml:space="preserve"> </w:t>
            </w:r>
          </w:p>
        </w:tc>
        <w:tc>
          <w:tcPr>
            <w:tcW w:w="568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0E07">
            <w:pPr>
              <w:rPr>
                <w:rFonts w:hint="eastAsia"/>
              </w:rPr>
            </w:pPr>
            <w:r>
              <w:rPr>
                <w:rFonts w:hint="eastAsia"/>
              </w:rPr>
              <w:t>工银瑞信养老目标日期</w:t>
            </w:r>
            <w:r>
              <w:rPr>
                <w:rFonts w:hint="eastAsia"/>
              </w:rPr>
              <w:t>2035</w:t>
            </w:r>
            <w:r>
              <w:rPr>
                <w:rFonts w:hint="eastAsia"/>
              </w:rPr>
              <w:t>三年持有期混合型基金中基金（</w:t>
            </w:r>
            <w:r>
              <w:rPr>
                <w:rFonts w:hint="eastAsia"/>
              </w:rPr>
              <w:t>FOF</w:t>
            </w:r>
            <w:r>
              <w:rPr>
                <w:rFonts w:hint="eastAsia"/>
              </w:rPr>
              <w:t>）</w:t>
            </w:r>
          </w:p>
        </w:tc>
      </w:tr>
      <w:tr w:rsidR="00000000">
        <w:tc>
          <w:tcPr>
            <w:tcW w:w="2953" w:type="dxa"/>
            <w:tcBorders>
              <w:top w:val="single" w:sz="4" w:space="0" w:color="000000"/>
              <w:left w:val="single" w:sz="4" w:space="0" w:color="000000"/>
              <w:bottom w:val="single" w:sz="4" w:space="0" w:color="000000"/>
              <w:right w:val="single" w:sz="4" w:space="0" w:color="000000"/>
            </w:tcBorders>
            <w:vAlign w:val="center"/>
          </w:tcPr>
          <w:p w:rsidR="00000000" w:rsidRDefault="00B30E07">
            <w:pPr>
              <w:rPr>
                <w:rFonts w:hint="eastAsia"/>
              </w:rPr>
            </w:pPr>
            <w:r>
              <w:rPr>
                <w:rFonts w:hint="eastAsia"/>
              </w:rPr>
              <w:t>基金简称</w:t>
            </w:r>
            <w:r>
              <w:rPr>
                <w:rFonts w:hint="eastAsia"/>
              </w:rPr>
              <w:t xml:space="preserve"> </w:t>
            </w:r>
          </w:p>
        </w:tc>
        <w:tc>
          <w:tcPr>
            <w:tcW w:w="568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0E07">
            <w:pPr>
              <w:rPr>
                <w:rFonts w:hint="eastAsia"/>
              </w:rPr>
            </w:pPr>
            <w:r>
              <w:rPr>
                <w:rFonts w:hint="eastAsia"/>
              </w:rPr>
              <w:t>工银养老</w:t>
            </w:r>
            <w:r>
              <w:rPr>
                <w:rFonts w:hint="eastAsia"/>
              </w:rPr>
              <w:t>2035</w:t>
            </w:r>
            <w:r>
              <w:rPr>
                <w:rFonts w:hint="eastAsia"/>
              </w:rPr>
              <w:t>三年持有</w:t>
            </w:r>
          </w:p>
        </w:tc>
      </w:tr>
      <w:tr w:rsidR="00000000">
        <w:tc>
          <w:tcPr>
            <w:tcW w:w="2953" w:type="dxa"/>
            <w:tcBorders>
              <w:top w:val="single" w:sz="4" w:space="0" w:color="000000"/>
              <w:left w:val="single" w:sz="4" w:space="0" w:color="000000"/>
              <w:bottom w:val="single" w:sz="4" w:space="0" w:color="000000"/>
              <w:right w:val="single" w:sz="4" w:space="0" w:color="000000"/>
            </w:tcBorders>
            <w:vAlign w:val="center"/>
          </w:tcPr>
          <w:p w:rsidR="00000000" w:rsidRDefault="00B30E07">
            <w:pPr>
              <w:rPr>
                <w:rFonts w:hint="eastAsia"/>
              </w:rPr>
            </w:pPr>
            <w:r>
              <w:rPr>
                <w:rFonts w:hint="eastAsia"/>
              </w:rPr>
              <w:t>基金主代码</w:t>
            </w:r>
            <w:r>
              <w:rPr>
                <w:rFonts w:hint="eastAsia"/>
              </w:rPr>
              <w:t xml:space="preserve"> </w:t>
            </w:r>
          </w:p>
        </w:tc>
        <w:tc>
          <w:tcPr>
            <w:tcW w:w="568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0E07">
            <w:pPr>
              <w:rPr>
                <w:rFonts w:hint="eastAsia"/>
              </w:rPr>
            </w:pPr>
            <w:r>
              <w:rPr>
                <w:rFonts w:hint="eastAsia"/>
              </w:rPr>
              <w:t>006295</w:t>
            </w:r>
          </w:p>
        </w:tc>
      </w:tr>
      <w:tr w:rsidR="00000000">
        <w:tc>
          <w:tcPr>
            <w:tcW w:w="2953" w:type="dxa"/>
            <w:tcBorders>
              <w:top w:val="single" w:sz="4" w:space="0" w:color="000000"/>
              <w:left w:val="single" w:sz="4" w:space="0" w:color="000000"/>
              <w:bottom w:val="single" w:sz="4" w:space="0" w:color="000000"/>
              <w:right w:val="single" w:sz="4" w:space="0" w:color="000000"/>
            </w:tcBorders>
            <w:vAlign w:val="center"/>
          </w:tcPr>
          <w:p w:rsidR="00000000" w:rsidRDefault="00B30E07">
            <w:pPr>
              <w:rPr>
                <w:rFonts w:hint="eastAsia"/>
              </w:rPr>
            </w:pPr>
            <w:r>
              <w:rPr>
                <w:rFonts w:hint="eastAsia"/>
              </w:rPr>
              <w:t>基金运作方式</w:t>
            </w:r>
            <w:r>
              <w:rPr>
                <w:rFonts w:hint="eastAsia"/>
              </w:rPr>
              <w:t xml:space="preserve"> </w:t>
            </w:r>
          </w:p>
        </w:tc>
        <w:tc>
          <w:tcPr>
            <w:tcW w:w="568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0E07">
            <w:pPr>
              <w:rPr>
                <w:rFonts w:hint="eastAsia"/>
              </w:rPr>
            </w:pPr>
            <w:r>
              <w:rPr>
                <w:rFonts w:hint="eastAsia"/>
              </w:rPr>
              <w:t>契约型开放式</w:t>
            </w:r>
          </w:p>
        </w:tc>
      </w:tr>
      <w:tr w:rsidR="00000000">
        <w:tc>
          <w:tcPr>
            <w:tcW w:w="2953" w:type="dxa"/>
            <w:tcBorders>
              <w:top w:val="single" w:sz="4" w:space="0" w:color="000000"/>
              <w:left w:val="single" w:sz="4" w:space="0" w:color="000000"/>
              <w:bottom w:val="single" w:sz="4" w:space="0" w:color="000000"/>
              <w:right w:val="single" w:sz="4" w:space="0" w:color="000000"/>
            </w:tcBorders>
            <w:vAlign w:val="center"/>
          </w:tcPr>
          <w:p w:rsidR="00000000" w:rsidRDefault="00B30E07">
            <w:pPr>
              <w:rPr>
                <w:rFonts w:hint="eastAsia"/>
              </w:rPr>
            </w:pPr>
            <w:r>
              <w:rPr>
                <w:rFonts w:hint="eastAsia"/>
              </w:rPr>
              <w:t>基金合同生效日</w:t>
            </w:r>
            <w:r>
              <w:rPr>
                <w:rFonts w:hint="eastAsia"/>
              </w:rPr>
              <w:t xml:space="preserve"> </w:t>
            </w:r>
          </w:p>
        </w:tc>
        <w:tc>
          <w:tcPr>
            <w:tcW w:w="568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0E07">
            <w:pPr>
              <w:rPr>
                <w:rFonts w:hint="eastAsia"/>
              </w:rPr>
            </w:pPr>
            <w:r>
              <w:rPr>
                <w:rFonts w:hint="eastAsia"/>
              </w:rPr>
              <w:t>2018</w:t>
            </w:r>
            <w:r>
              <w:rPr>
                <w:rFonts w:hint="eastAsia"/>
              </w:rPr>
              <w:t>年</w:t>
            </w:r>
            <w:r>
              <w:rPr>
                <w:rFonts w:hint="eastAsia"/>
              </w:rPr>
              <w:t>10</w:t>
            </w:r>
            <w:r>
              <w:rPr>
                <w:rFonts w:hint="eastAsia"/>
              </w:rPr>
              <w:t>月</w:t>
            </w:r>
            <w:r>
              <w:rPr>
                <w:rFonts w:hint="eastAsia"/>
              </w:rPr>
              <w:t>31</w:t>
            </w:r>
            <w:r>
              <w:rPr>
                <w:rFonts w:hint="eastAsia"/>
              </w:rPr>
              <w:t>日</w:t>
            </w:r>
          </w:p>
        </w:tc>
      </w:tr>
      <w:tr w:rsidR="00000000">
        <w:tc>
          <w:tcPr>
            <w:tcW w:w="2953" w:type="dxa"/>
            <w:tcBorders>
              <w:top w:val="single" w:sz="4" w:space="0" w:color="000000"/>
              <w:left w:val="single" w:sz="4" w:space="0" w:color="000000"/>
              <w:bottom w:val="single" w:sz="4" w:space="0" w:color="000000"/>
              <w:right w:val="single" w:sz="4" w:space="0" w:color="000000"/>
            </w:tcBorders>
            <w:vAlign w:val="center"/>
          </w:tcPr>
          <w:p w:rsidR="00000000" w:rsidRDefault="00B30E07">
            <w:pPr>
              <w:rPr>
                <w:rFonts w:hint="eastAsia"/>
              </w:rPr>
            </w:pPr>
            <w:r>
              <w:rPr>
                <w:rFonts w:hint="eastAsia"/>
              </w:rPr>
              <w:t>基金管理人名称</w:t>
            </w:r>
            <w:r>
              <w:rPr>
                <w:rFonts w:hint="eastAsia"/>
              </w:rPr>
              <w:t xml:space="preserve"> </w:t>
            </w:r>
          </w:p>
        </w:tc>
        <w:tc>
          <w:tcPr>
            <w:tcW w:w="568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0E07">
            <w:pPr>
              <w:rPr>
                <w:rFonts w:hint="eastAsia"/>
              </w:rPr>
            </w:pPr>
            <w:r>
              <w:rPr>
                <w:rFonts w:hint="eastAsia"/>
              </w:rPr>
              <w:t>工银瑞信基金管理有限公司</w:t>
            </w:r>
          </w:p>
        </w:tc>
      </w:tr>
      <w:tr w:rsidR="00000000">
        <w:tc>
          <w:tcPr>
            <w:tcW w:w="2953" w:type="dxa"/>
            <w:tcBorders>
              <w:top w:val="single" w:sz="4" w:space="0" w:color="000000"/>
              <w:left w:val="single" w:sz="4" w:space="0" w:color="000000"/>
              <w:bottom w:val="single" w:sz="4" w:space="0" w:color="000000"/>
              <w:right w:val="single" w:sz="4" w:space="0" w:color="000000"/>
            </w:tcBorders>
            <w:vAlign w:val="center"/>
          </w:tcPr>
          <w:p w:rsidR="00000000" w:rsidRDefault="00B30E07">
            <w:pPr>
              <w:rPr>
                <w:rFonts w:hint="eastAsia"/>
              </w:rPr>
            </w:pPr>
            <w:r>
              <w:rPr>
                <w:rFonts w:hint="eastAsia"/>
              </w:rPr>
              <w:t>基金托管人名称</w:t>
            </w:r>
            <w:r>
              <w:rPr>
                <w:rFonts w:hint="eastAsia"/>
              </w:rPr>
              <w:t xml:space="preserve"> </w:t>
            </w:r>
          </w:p>
        </w:tc>
        <w:tc>
          <w:tcPr>
            <w:tcW w:w="568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0E07">
            <w:pPr>
              <w:rPr>
                <w:rFonts w:hint="eastAsia"/>
              </w:rPr>
            </w:pPr>
            <w:r>
              <w:rPr>
                <w:rFonts w:hint="eastAsia"/>
              </w:rPr>
              <w:t>交通银行股份有限公司</w:t>
            </w:r>
          </w:p>
        </w:tc>
      </w:tr>
      <w:tr w:rsidR="00000000">
        <w:tc>
          <w:tcPr>
            <w:tcW w:w="2953" w:type="dxa"/>
            <w:tcBorders>
              <w:top w:val="single" w:sz="4" w:space="0" w:color="000000"/>
              <w:left w:val="single" w:sz="4" w:space="0" w:color="000000"/>
              <w:bottom w:val="single" w:sz="4" w:space="0" w:color="000000"/>
              <w:right w:val="single" w:sz="4" w:space="0" w:color="000000"/>
            </w:tcBorders>
            <w:vAlign w:val="center"/>
          </w:tcPr>
          <w:p w:rsidR="00000000" w:rsidRDefault="00B30E07">
            <w:pPr>
              <w:rPr>
                <w:rFonts w:hint="eastAsia"/>
              </w:rPr>
            </w:pPr>
            <w:r>
              <w:rPr>
                <w:rFonts w:hint="eastAsia"/>
              </w:rPr>
              <w:t>基金注册登记机构名称</w:t>
            </w:r>
            <w:r>
              <w:rPr>
                <w:rFonts w:hint="eastAsia"/>
              </w:rPr>
              <w:t xml:space="preserve"> </w:t>
            </w:r>
          </w:p>
        </w:tc>
        <w:tc>
          <w:tcPr>
            <w:tcW w:w="568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0E07">
            <w:pPr>
              <w:rPr>
                <w:rFonts w:hint="eastAsia"/>
              </w:rPr>
            </w:pPr>
            <w:r>
              <w:rPr>
                <w:rFonts w:hint="eastAsia"/>
              </w:rPr>
              <w:t>工银瑞信基金管理有限公司</w:t>
            </w:r>
          </w:p>
        </w:tc>
      </w:tr>
      <w:tr w:rsidR="00000000">
        <w:tc>
          <w:tcPr>
            <w:tcW w:w="2953" w:type="dxa"/>
            <w:tcBorders>
              <w:top w:val="single" w:sz="4" w:space="0" w:color="000000"/>
              <w:left w:val="single" w:sz="4" w:space="0" w:color="000000"/>
              <w:bottom w:val="single" w:sz="4" w:space="0" w:color="000000"/>
              <w:right w:val="single" w:sz="4" w:space="0" w:color="000000"/>
            </w:tcBorders>
            <w:vAlign w:val="center"/>
          </w:tcPr>
          <w:p w:rsidR="00000000" w:rsidRDefault="00B30E07">
            <w:pPr>
              <w:rPr>
                <w:rFonts w:hint="eastAsia"/>
              </w:rPr>
            </w:pPr>
            <w:r>
              <w:rPr>
                <w:rFonts w:hint="eastAsia"/>
              </w:rPr>
              <w:t>公告依据</w:t>
            </w:r>
            <w:r>
              <w:rPr>
                <w:rFonts w:hint="eastAsia"/>
              </w:rPr>
              <w:t xml:space="preserve"> </w:t>
            </w:r>
          </w:p>
        </w:tc>
        <w:tc>
          <w:tcPr>
            <w:tcW w:w="568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0E07">
            <w:pPr>
              <w:rPr>
                <w:rFonts w:hint="eastAsia"/>
              </w:rPr>
            </w:pPr>
            <w:r>
              <w:rPr>
                <w:rFonts w:hint="eastAsia"/>
              </w:rPr>
              <w:t>根据《中华人民共和国证券投资基金法》、《公开募集证券投资基金运作管理办法》、《公开募集证券投资基金信息披露管理办法》及其他有关法律法规以及本基金相关法律文件等。</w:t>
            </w:r>
          </w:p>
        </w:tc>
      </w:tr>
      <w:tr w:rsidR="00000000">
        <w:tc>
          <w:tcPr>
            <w:tcW w:w="2953" w:type="dxa"/>
            <w:tcBorders>
              <w:top w:val="single" w:sz="4" w:space="0" w:color="000000"/>
              <w:left w:val="single" w:sz="4" w:space="0" w:color="000000"/>
              <w:bottom w:val="single" w:sz="4" w:space="0" w:color="000000"/>
              <w:right w:val="single" w:sz="4" w:space="0" w:color="000000"/>
            </w:tcBorders>
            <w:vAlign w:val="center"/>
          </w:tcPr>
          <w:p w:rsidR="00000000" w:rsidRDefault="00B30E07">
            <w:pPr>
              <w:rPr>
                <w:rFonts w:hint="eastAsia"/>
              </w:rPr>
            </w:pPr>
            <w:r>
              <w:rPr>
                <w:rFonts w:hint="eastAsia"/>
              </w:rPr>
              <w:t>赎回起始日</w:t>
            </w:r>
            <w:r>
              <w:rPr>
                <w:rFonts w:hint="eastAsia"/>
              </w:rPr>
              <w:t xml:space="preserve"> </w:t>
            </w:r>
          </w:p>
        </w:tc>
        <w:tc>
          <w:tcPr>
            <w:tcW w:w="5680"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B30E07">
            <w:pPr>
              <w:rPr>
                <w:rFonts w:hint="eastAsia"/>
              </w:rPr>
            </w:pPr>
            <w:r>
              <w:rPr>
                <w:rFonts w:hint="eastAsia"/>
              </w:rPr>
              <w:t>2025</w:t>
            </w:r>
            <w:r>
              <w:rPr>
                <w:rFonts w:hint="eastAsia"/>
              </w:rPr>
              <w:t>年</w:t>
            </w:r>
            <w:r>
              <w:rPr>
                <w:rFonts w:hint="eastAsia"/>
              </w:rPr>
              <w:t>12</w:t>
            </w:r>
            <w:r>
              <w:rPr>
                <w:rFonts w:hint="eastAsia"/>
              </w:rPr>
              <w:t>月</w:t>
            </w:r>
            <w:r>
              <w:rPr>
                <w:rFonts w:hint="eastAsia"/>
              </w:rPr>
              <w:t>2</w:t>
            </w:r>
            <w:r>
              <w:rPr>
                <w:rFonts w:hint="eastAsia"/>
              </w:rPr>
              <w:t>日</w:t>
            </w:r>
          </w:p>
        </w:tc>
      </w:tr>
      <w:tr w:rsidR="00000000">
        <w:tc>
          <w:tcPr>
            <w:tcW w:w="2953" w:type="dxa"/>
            <w:tcBorders>
              <w:top w:val="single" w:sz="4" w:space="0" w:color="000000"/>
              <w:left w:val="single" w:sz="4" w:space="0" w:color="000000"/>
              <w:bottom w:val="single" w:sz="4" w:space="0" w:color="000000"/>
              <w:right w:val="nil"/>
            </w:tcBorders>
            <w:vAlign w:val="center"/>
          </w:tcPr>
          <w:p w:rsidR="00000000" w:rsidRDefault="00B30E07">
            <w:pPr>
              <w:rPr>
                <w:rFonts w:hint="eastAsia"/>
              </w:rPr>
            </w:pPr>
            <w:r>
              <w:rPr>
                <w:rFonts w:ascii="Times New Roman" w:hAnsi="Times New Roman" w:hint="eastAsia"/>
              </w:rPr>
              <w:t>下属分级基金的基金简称</w:t>
            </w:r>
            <w:r>
              <w:rPr>
                <w:rFonts w:hint="eastAsia"/>
              </w:rPr>
              <w:t xml:space="preserve"> </w:t>
            </w:r>
          </w:p>
        </w:tc>
        <w:tc>
          <w:tcPr>
            <w:tcW w:w="2840" w:type="dxa"/>
            <w:tcBorders>
              <w:top w:val="single" w:sz="4" w:space="0" w:color="000000"/>
              <w:left w:val="single" w:sz="4" w:space="0" w:color="000000"/>
              <w:bottom w:val="single" w:sz="4" w:space="0" w:color="000000"/>
              <w:right w:val="single" w:sz="4" w:space="0" w:color="000000"/>
            </w:tcBorders>
            <w:vAlign w:val="center"/>
          </w:tcPr>
          <w:p w:rsidR="00000000" w:rsidRDefault="00B30E07">
            <w:pPr>
              <w:rPr>
                <w:rFonts w:hint="eastAsia"/>
              </w:rPr>
            </w:pPr>
            <w:r>
              <w:rPr>
                <w:rFonts w:ascii="Times New Roman" w:hAnsi="Times New Roman" w:hint="eastAsia"/>
              </w:rPr>
              <w:t>工银养老</w:t>
            </w:r>
            <w:r>
              <w:rPr>
                <w:rFonts w:ascii="Times New Roman" w:hAnsi="Times New Roman" w:hint="eastAsia"/>
              </w:rPr>
              <w:t>2035</w:t>
            </w:r>
            <w:r>
              <w:rPr>
                <w:rFonts w:ascii="Times New Roman" w:hAnsi="Times New Roman" w:hint="eastAsia"/>
              </w:rPr>
              <w:t>三年持有</w:t>
            </w:r>
            <w:r>
              <w:rPr>
                <w:rFonts w:ascii="Times New Roman" w:hAnsi="Times New Roman" w:hint="eastAsia"/>
              </w:rPr>
              <w:t>A</w:t>
            </w:r>
            <w:r>
              <w:rPr>
                <w:rFonts w:hint="eastAsia"/>
              </w:rPr>
              <w:t xml:space="preserve"> </w:t>
            </w:r>
          </w:p>
        </w:tc>
        <w:tc>
          <w:tcPr>
            <w:tcW w:w="2840" w:type="dxa"/>
            <w:tcBorders>
              <w:top w:val="single" w:sz="4" w:space="0" w:color="000000"/>
              <w:left w:val="single" w:sz="4" w:space="0" w:color="000000"/>
              <w:bottom w:val="single" w:sz="4" w:space="0" w:color="000000"/>
              <w:right w:val="single" w:sz="4" w:space="0" w:color="000000"/>
            </w:tcBorders>
            <w:vAlign w:val="center"/>
          </w:tcPr>
          <w:p w:rsidR="00000000" w:rsidRDefault="00B30E07">
            <w:pPr>
              <w:rPr>
                <w:rFonts w:hint="eastAsia"/>
              </w:rPr>
            </w:pPr>
            <w:r>
              <w:rPr>
                <w:rFonts w:ascii="Times New Roman" w:hAnsi="Times New Roman" w:hint="eastAsia"/>
              </w:rPr>
              <w:t>工银养老</w:t>
            </w:r>
            <w:r>
              <w:rPr>
                <w:rFonts w:ascii="Times New Roman" w:hAnsi="Times New Roman" w:hint="eastAsia"/>
              </w:rPr>
              <w:t>2035</w:t>
            </w:r>
            <w:r>
              <w:rPr>
                <w:rFonts w:ascii="Times New Roman" w:hAnsi="Times New Roman" w:hint="eastAsia"/>
              </w:rPr>
              <w:t>三年持有</w:t>
            </w:r>
            <w:r>
              <w:rPr>
                <w:rFonts w:ascii="Times New Roman" w:hAnsi="Times New Roman" w:hint="eastAsia"/>
              </w:rPr>
              <w:t>Y</w:t>
            </w:r>
            <w:r>
              <w:rPr>
                <w:rFonts w:hint="eastAsia"/>
              </w:rPr>
              <w:t xml:space="preserve"> </w:t>
            </w:r>
          </w:p>
        </w:tc>
      </w:tr>
      <w:tr w:rsidR="00000000">
        <w:tc>
          <w:tcPr>
            <w:tcW w:w="2953" w:type="dxa"/>
            <w:tcBorders>
              <w:top w:val="single" w:sz="4" w:space="0" w:color="000000"/>
              <w:left w:val="single" w:sz="4" w:space="0" w:color="000000"/>
              <w:bottom w:val="single" w:sz="4" w:space="0" w:color="000000"/>
              <w:right w:val="nil"/>
            </w:tcBorders>
            <w:vAlign w:val="center"/>
          </w:tcPr>
          <w:p w:rsidR="00000000" w:rsidRDefault="00B30E07">
            <w:pPr>
              <w:rPr>
                <w:rFonts w:hint="eastAsia"/>
              </w:rPr>
            </w:pPr>
            <w:r>
              <w:rPr>
                <w:rFonts w:ascii="Times New Roman" w:hAnsi="Times New Roman" w:hint="eastAsia"/>
              </w:rPr>
              <w:t>下属分级基金的交易代码</w:t>
            </w:r>
            <w:r>
              <w:rPr>
                <w:rFonts w:hint="eastAsia"/>
              </w:rPr>
              <w:t xml:space="preserve"> </w:t>
            </w:r>
          </w:p>
        </w:tc>
        <w:tc>
          <w:tcPr>
            <w:tcW w:w="2840" w:type="dxa"/>
            <w:tcBorders>
              <w:top w:val="single" w:sz="4" w:space="0" w:color="000000"/>
              <w:left w:val="single" w:sz="4" w:space="0" w:color="000000"/>
              <w:bottom w:val="single" w:sz="4" w:space="0" w:color="000000"/>
              <w:right w:val="single" w:sz="4" w:space="0" w:color="000000"/>
            </w:tcBorders>
            <w:vAlign w:val="center"/>
          </w:tcPr>
          <w:p w:rsidR="00000000" w:rsidRDefault="00B30E07">
            <w:pPr>
              <w:rPr>
                <w:rFonts w:hint="eastAsia"/>
              </w:rPr>
            </w:pPr>
            <w:r>
              <w:rPr>
                <w:rFonts w:ascii="Times New Roman" w:hAnsi="Times New Roman" w:hint="eastAsia"/>
              </w:rPr>
              <w:t>006295</w:t>
            </w:r>
            <w:r>
              <w:rPr>
                <w:rFonts w:hint="eastAsia"/>
              </w:rPr>
              <w:t xml:space="preserve"> </w:t>
            </w:r>
          </w:p>
        </w:tc>
        <w:tc>
          <w:tcPr>
            <w:tcW w:w="2840" w:type="dxa"/>
            <w:tcBorders>
              <w:top w:val="single" w:sz="4" w:space="0" w:color="000000"/>
              <w:left w:val="single" w:sz="4" w:space="0" w:color="000000"/>
              <w:bottom w:val="single" w:sz="4" w:space="0" w:color="000000"/>
              <w:right w:val="single" w:sz="4" w:space="0" w:color="000000"/>
            </w:tcBorders>
            <w:vAlign w:val="center"/>
          </w:tcPr>
          <w:p w:rsidR="00000000" w:rsidRDefault="00B30E07">
            <w:pPr>
              <w:rPr>
                <w:rFonts w:hint="eastAsia"/>
              </w:rPr>
            </w:pPr>
            <w:r>
              <w:rPr>
                <w:rFonts w:ascii="Times New Roman" w:hAnsi="Times New Roman" w:hint="eastAsia"/>
              </w:rPr>
              <w:t>017251</w:t>
            </w:r>
            <w:r>
              <w:rPr>
                <w:rFonts w:hint="eastAsia"/>
              </w:rPr>
              <w:t xml:space="preserve"> </w:t>
            </w:r>
          </w:p>
        </w:tc>
      </w:tr>
      <w:tr w:rsidR="00000000">
        <w:tc>
          <w:tcPr>
            <w:tcW w:w="2953" w:type="dxa"/>
            <w:tcBorders>
              <w:top w:val="single" w:sz="4" w:space="0" w:color="000000"/>
              <w:left w:val="single" w:sz="4" w:space="0" w:color="000000"/>
              <w:bottom w:val="single" w:sz="4" w:space="0" w:color="000000"/>
              <w:right w:val="nil"/>
            </w:tcBorders>
            <w:vAlign w:val="center"/>
          </w:tcPr>
          <w:p w:rsidR="00000000" w:rsidRDefault="00B30E07">
            <w:pPr>
              <w:rPr>
                <w:rFonts w:hint="eastAsia"/>
              </w:rPr>
            </w:pPr>
            <w:r>
              <w:rPr>
                <w:rFonts w:ascii="Times New Roman" w:hAnsi="Times New Roman" w:hint="eastAsia"/>
              </w:rPr>
              <w:t>该分级基金是否开放赎回</w:t>
            </w:r>
            <w:r>
              <w:rPr>
                <w:rFonts w:hint="eastAsia"/>
              </w:rPr>
              <w:t xml:space="preserve"> </w:t>
            </w:r>
          </w:p>
        </w:tc>
        <w:tc>
          <w:tcPr>
            <w:tcW w:w="2840" w:type="dxa"/>
            <w:tcBorders>
              <w:top w:val="single" w:sz="4" w:space="0" w:color="000000"/>
              <w:left w:val="single" w:sz="4" w:space="0" w:color="000000"/>
              <w:bottom w:val="single" w:sz="4" w:space="0" w:color="000000"/>
              <w:right w:val="single" w:sz="4" w:space="0" w:color="000000"/>
            </w:tcBorders>
            <w:vAlign w:val="center"/>
          </w:tcPr>
          <w:p w:rsidR="00000000" w:rsidRDefault="00B30E07">
            <w:pPr>
              <w:rPr>
                <w:rFonts w:hint="eastAsia"/>
              </w:rPr>
            </w:pPr>
            <w:r>
              <w:rPr>
                <w:rFonts w:ascii="Times New Roman" w:hAnsi="Times New Roman" w:hint="eastAsia"/>
              </w:rPr>
              <w:t>是</w:t>
            </w:r>
          </w:p>
        </w:tc>
        <w:tc>
          <w:tcPr>
            <w:tcW w:w="2840" w:type="dxa"/>
            <w:tcBorders>
              <w:top w:val="single" w:sz="4" w:space="0" w:color="000000"/>
              <w:left w:val="single" w:sz="4" w:space="0" w:color="000000"/>
              <w:bottom w:val="single" w:sz="4" w:space="0" w:color="000000"/>
              <w:right w:val="single" w:sz="4" w:space="0" w:color="000000"/>
            </w:tcBorders>
            <w:vAlign w:val="center"/>
          </w:tcPr>
          <w:p w:rsidR="00000000" w:rsidRDefault="00B30E07">
            <w:pPr>
              <w:rPr>
                <w:rFonts w:hint="eastAsia"/>
              </w:rPr>
            </w:pPr>
            <w:r>
              <w:rPr>
                <w:rFonts w:ascii="Times New Roman" w:hAnsi="Times New Roman" w:hint="eastAsia"/>
              </w:rPr>
              <w:t>是</w:t>
            </w:r>
            <w:r>
              <w:rPr>
                <w:rFonts w:hint="eastAsia"/>
              </w:rPr>
              <w:t xml:space="preserve"> </w:t>
            </w:r>
          </w:p>
        </w:tc>
      </w:tr>
    </w:tbl>
    <w:p w:rsidR="00000000" w:rsidRDefault="00B30E07">
      <w:pPr>
        <w:spacing w:line="360" w:lineRule="auto"/>
        <w:rPr>
          <w:rFonts w:hint="eastAsia"/>
        </w:rPr>
      </w:pPr>
      <w:r>
        <w:rPr>
          <w:rFonts w:hint="eastAsia"/>
          <w:szCs w:val="21"/>
        </w:rPr>
        <w:t>注：投资者可以自最短持有期到期日后的</w:t>
      </w:r>
      <w:r>
        <w:rPr>
          <w:rFonts w:hint="eastAsia"/>
          <w:szCs w:val="21"/>
        </w:rPr>
        <w:t>开放日内进行基金</w:t>
      </w:r>
      <w:r>
        <w:rPr>
          <w:rFonts w:hint="eastAsia"/>
          <w:szCs w:val="21"/>
        </w:rPr>
        <w:t>A</w:t>
      </w:r>
      <w:r>
        <w:rPr>
          <w:rFonts w:hint="eastAsia"/>
          <w:szCs w:val="21"/>
        </w:rPr>
        <w:t>类、</w:t>
      </w:r>
      <w:r>
        <w:rPr>
          <w:rFonts w:hint="eastAsia"/>
          <w:szCs w:val="21"/>
        </w:rPr>
        <w:t>Y</w:t>
      </w:r>
      <w:r>
        <w:rPr>
          <w:rFonts w:hint="eastAsia"/>
          <w:szCs w:val="21"/>
        </w:rPr>
        <w:t>类份额的赎回。工银养老</w:t>
      </w:r>
      <w:r>
        <w:rPr>
          <w:rFonts w:hint="eastAsia"/>
          <w:szCs w:val="21"/>
        </w:rPr>
        <w:t>2035</w:t>
      </w:r>
      <w:r>
        <w:rPr>
          <w:rFonts w:hint="eastAsia"/>
          <w:szCs w:val="21"/>
        </w:rPr>
        <w:t>三年持有</w:t>
      </w:r>
      <w:r>
        <w:rPr>
          <w:rFonts w:hint="eastAsia"/>
          <w:szCs w:val="21"/>
        </w:rPr>
        <w:t>A</w:t>
      </w:r>
      <w:r>
        <w:rPr>
          <w:rFonts w:hint="eastAsia"/>
          <w:szCs w:val="21"/>
        </w:rPr>
        <w:t>赎回起始日为</w:t>
      </w:r>
      <w:r>
        <w:rPr>
          <w:rFonts w:hint="eastAsia"/>
          <w:szCs w:val="21"/>
        </w:rPr>
        <w:t>2021</w:t>
      </w:r>
      <w:r>
        <w:rPr>
          <w:rFonts w:hint="eastAsia"/>
          <w:szCs w:val="21"/>
        </w:rPr>
        <w:t>年</w:t>
      </w:r>
      <w:r>
        <w:rPr>
          <w:rFonts w:hint="eastAsia"/>
          <w:szCs w:val="21"/>
        </w:rPr>
        <w:t>11</w:t>
      </w:r>
      <w:r>
        <w:rPr>
          <w:rFonts w:hint="eastAsia"/>
          <w:szCs w:val="21"/>
        </w:rPr>
        <w:t>月</w:t>
      </w:r>
      <w:r>
        <w:rPr>
          <w:rFonts w:hint="eastAsia"/>
          <w:szCs w:val="21"/>
        </w:rPr>
        <w:t>1</w:t>
      </w:r>
      <w:r>
        <w:rPr>
          <w:rFonts w:hint="eastAsia"/>
          <w:szCs w:val="21"/>
        </w:rPr>
        <w:t>日。工银养老</w:t>
      </w:r>
      <w:r>
        <w:rPr>
          <w:rFonts w:hint="eastAsia"/>
          <w:szCs w:val="21"/>
        </w:rPr>
        <w:t>2035</w:t>
      </w:r>
      <w:r>
        <w:rPr>
          <w:rFonts w:hint="eastAsia"/>
          <w:szCs w:val="21"/>
        </w:rPr>
        <w:t>三年持有</w:t>
      </w:r>
      <w:r>
        <w:rPr>
          <w:rFonts w:hint="eastAsia"/>
          <w:szCs w:val="21"/>
        </w:rPr>
        <w:t>Y</w:t>
      </w:r>
      <w:r>
        <w:rPr>
          <w:rFonts w:hint="eastAsia"/>
          <w:szCs w:val="21"/>
        </w:rPr>
        <w:t>赎回起始日为</w:t>
      </w:r>
      <w:r>
        <w:rPr>
          <w:rFonts w:hint="eastAsia"/>
          <w:szCs w:val="21"/>
        </w:rPr>
        <w:t>2025</w:t>
      </w:r>
      <w:r>
        <w:rPr>
          <w:rFonts w:hint="eastAsia"/>
          <w:szCs w:val="21"/>
        </w:rPr>
        <w:t>年</w:t>
      </w:r>
      <w:r>
        <w:rPr>
          <w:rFonts w:hint="eastAsia"/>
          <w:szCs w:val="21"/>
        </w:rPr>
        <w:t>12</w:t>
      </w:r>
      <w:r>
        <w:rPr>
          <w:rFonts w:hint="eastAsia"/>
          <w:szCs w:val="21"/>
        </w:rPr>
        <w:t>月</w:t>
      </w:r>
      <w:r>
        <w:rPr>
          <w:rFonts w:hint="eastAsia"/>
          <w:szCs w:val="21"/>
        </w:rPr>
        <w:t>2</w:t>
      </w:r>
      <w:r>
        <w:rPr>
          <w:rFonts w:hint="eastAsia"/>
          <w:szCs w:val="21"/>
        </w:rPr>
        <w:t>日</w:t>
      </w:r>
      <w:r>
        <w:rPr>
          <w:rFonts w:hint="eastAsia"/>
          <w:szCs w:val="21"/>
        </w:rPr>
        <w:t>。</w:t>
      </w:r>
    </w:p>
    <w:p w:rsidR="00000000" w:rsidRDefault="00B30E07">
      <w:pPr>
        <w:pStyle w:val="XBRLTitle1"/>
        <w:spacing w:before="156" w:line="360" w:lineRule="auto"/>
        <w:rPr>
          <w:rFonts w:hint="eastAsia"/>
        </w:rPr>
      </w:pPr>
      <w:bookmarkStart w:id="14" w:name="_Toc34841029"/>
      <w:bookmarkStart w:id="15" w:name="_Toc34758520"/>
      <w:bookmarkStart w:id="16" w:name="_Toc513295893"/>
      <w:bookmarkStart w:id="17" w:name="_Toc481075047"/>
      <w:bookmarkStart w:id="18" w:name="_Toc512519481"/>
      <w:bookmarkStart w:id="19" w:name="_Toc438646452"/>
      <w:bookmarkStart w:id="20" w:name="_Toc513295847"/>
      <w:bookmarkStart w:id="21" w:name="_Toc17898179"/>
      <w:bookmarkStart w:id="22" w:name="_Toc490050001"/>
      <w:bookmarkStart w:id="23" w:name="_Toc17897937"/>
      <w:r>
        <w:rPr>
          <w:rFonts w:hAnsi="宋体" w:hint="eastAsia"/>
        </w:rPr>
        <w:t>日常赎回业务的办理时间</w:t>
      </w:r>
      <w:bookmarkEnd w:id="14"/>
      <w:bookmarkEnd w:id="15"/>
      <w:r>
        <w:rPr>
          <w:rFonts w:hAnsi="宋体" w:hint="eastAsia"/>
        </w:rPr>
        <w:t xml:space="preserve"> </w:t>
      </w:r>
    </w:p>
    <w:p w:rsidR="00000000" w:rsidRDefault="00B30E07">
      <w:pPr>
        <w:spacing w:line="360" w:lineRule="auto"/>
        <w:ind w:firstLineChars="200" w:firstLine="420"/>
        <w:rPr>
          <w:rFonts w:hint="eastAsia"/>
        </w:rPr>
      </w:pPr>
      <w:bookmarkStart w:id="24" w:name="m201_01"/>
      <w:bookmarkStart w:id="25" w:name="m07_04_07_09"/>
      <w:bookmarkStart w:id="26" w:name="m07_04_07_09_tab"/>
      <w:bookmarkStart w:id="27" w:name="m201"/>
      <w:bookmarkStart w:id="28" w:name="m07_04_13_00"/>
      <w:r>
        <w:rPr>
          <w:rFonts w:hint="eastAsia"/>
          <w:lang/>
        </w:rPr>
        <w:t>本基金采用目标日期策略投资，目标退休日期设定为</w:t>
      </w:r>
      <w:r>
        <w:rPr>
          <w:rFonts w:hint="eastAsia"/>
          <w:lang/>
        </w:rPr>
        <w:t>2035</w:t>
      </w:r>
      <w:r>
        <w:rPr>
          <w:rFonts w:hint="eastAsia"/>
          <w:lang/>
        </w:rPr>
        <w:t>年</w:t>
      </w:r>
      <w:r>
        <w:rPr>
          <w:rFonts w:hint="eastAsia"/>
          <w:lang/>
        </w:rPr>
        <w:t>12</w:t>
      </w:r>
      <w:r>
        <w:rPr>
          <w:rFonts w:hint="eastAsia"/>
          <w:lang/>
        </w:rPr>
        <w:t>月</w:t>
      </w:r>
      <w:r>
        <w:rPr>
          <w:rFonts w:hint="eastAsia"/>
          <w:lang/>
        </w:rPr>
        <w:t>31</w:t>
      </w:r>
      <w:r>
        <w:rPr>
          <w:rFonts w:hint="eastAsia"/>
          <w:lang/>
        </w:rPr>
        <w:t>日。投资者可在每个开放日进行申购；对于每份基金份额，最短持有期指基金合同生效日（对认购份额而言，下同）或基金份额申购确认日（对申购份额而言，下同）起，至基金合同生效日或基金份额申购确认日的第三年的年度对日（如无该对应日的，则顺延至下一日）止的期间。投资者可以自</w:t>
      </w:r>
      <w:r>
        <w:rPr>
          <w:rFonts w:hint="eastAsia"/>
          <w:lang/>
        </w:rPr>
        <w:t>最短持有期到期日后的开放日内进行基金份额的赎回。对于目标退休日期到期日持有不满</w:t>
      </w:r>
      <w:r>
        <w:rPr>
          <w:rFonts w:hint="eastAsia"/>
          <w:lang/>
        </w:rPr>
        <w:t>3</w:t>
      </w:r>
      <w:r>
        <w:rPr>
          <w:rFonts w:hint="eastAsia"/>
          <w:lang/>
        </w:rPr>
        <w:t>年的每笔申购份额，其最短持有期到期日为</w:t>
      </w:r>
      <w:r>
        <w:rPr>
          <w:rFonts w:hint="eastAsia"/>
          <w:lang/>
        </w:rPr>
        <w:t>2035</w:t>
      </w:r>
      <w:r>
        <w:rPr>
          <w:rFonts w:hint="eastAsia"/>
          <w:lang/>
        </w:rPr>
        <w:t>年</w:t>
      </w:r>
      <w:r>
        <w:rPr>
          <w:rFonts w:hint="eastAsia"/>
          <w:lang/>
        </w:rPr>
        <w:t>12</w:t>
      </w:r>
      <w:r>
        <w:rPr>
          <w:rFonts w:hint="eastAsia"/>
          <w:lang/>
        </w:rPr>
        <w:t>月</w:t>
      </w:r>
      <w:r>
        <w:rPr>
          <w:rFonts w:hint="eastAsia"/>
          <w:lang/>
        </w:rPr>
        <w:t>31</w:t>
      </w:r>
      <w:r>
        <w:rPr>
          <w:rFonts w:hint="eastAsia"/>
          <w:lang/>
        </w:rPr>
        <w:t>日，即对应份额的持有人可自</w:t>
      </w:r>
      <w:r>
        <w:rPr>
          <w:rFonts w:hint="eastAsia"/>
          <w:lang/>
        </w:rPr>
        <w:t>2036</w:t>
      </w:r>
      <w:r>
        <w:rPr>
          <w:rFonts w:hint="eastAsia"/>
          <w:lang/>
        </w:rPr>
        <w:t>年</w:t>
      </w:r>
      <w:r>
        <w:rPr>
          <w:rFonts w:hint="eastAsia"/>
          <w:lang/>
        </w:rPr>
        <w:t>1</w:t>
      </w:r>
      <w:r>
        <w:rPr>
          <w:rFonts w:hint="eastAsia"/>
          <w:lang/>
        </w:rPr>
        <w:t>月</w:t>
      </w:r>
      <w:r>
        <w:rPr>
          <w:rFonts w:hint="eastAsia"/>
          <w:lang/>
        </w:rPr>
        <w:t>1</w:t>
      </w:r>
      <w:r>
        <w:rPr>
          <w:rFonts w:hint="eastAsia"/>
          <w:lang/>
        </w:rPr>
        <w:t>日起的开放日进行基金份额的赎回。但基金管理人根据法律法规、中国证监会的要求或基金合同的规定公告暂停申购、赎回时除外。</w:t>
      </w:r>
      <w:r>
        <w:rPr>
          <w:rFonts w:hint="eastAsia"/>
          <w:lang/>
        </w:rPr>
        <w:br/>
      </w:r>
      <w:r>
        <w:rPr>
          <w:rFonts w:hint="eastAsia"/>
          <w:lang/>
        </w:rPr>
        <w:t xml:space="preserve">　　自</w:t>
      </w:r>
      <w:r>
        <w:rPr>
          <w:rFonts w:hint="eastAsia"/>
          <w:lang/>
        </w:rPr>
        <w:t>2036</w:t>
      </w:r>
      <w:r>
        <w:rPr>
          <w:rFonts w:hint="eastAsia"/>
          <w:lang/>
        </w:rPr>
        <w:t>年</w:t>
      </w:r>
      <w:r>
        <w:rPr>
          <w:rFonts w:hint="eastAsia"/>
          <w:lang/>
        </w:rPr>
        <w:t>1</w:t>
      </w:r>
      <w:r>
        <w:rPr>
          <w:rFonts w:hint="eastAsia"/>
          <w:lang/>
        </w:rPr>
        <w:t>月</w:t>
      </w:r>
      <w:r>
        <w:rPr>
          <w:rFonts w:hint="eastAsia"/>
          <w:lang/>
        </w:rPr>
        <w:t>1</w:t>
      </w:r>
      <w:r>
        <w:rPr>
          <w:rFonts w:hint="eastAsia"/>
          <w:lang/>
        </w:rPr>
        <w:t>日起，本基金自动转型为开放式基金中基金（</w:t>
      </w:r>
      <w:r>
        <w:rPr>
          <w:rFonts w:hint="eastAsia"/>
          <w:lang/>
        </w:rPr>
        <w:t>FOF</w:t>
      </w:r>
      <w:r>
        <w:rPr>
          <w:rFonts w:hint="eastAsia"/>
          <w:lang/>
        </w:rPr>
        <w:t>），基金名称调整为“工银瑞信安享稳健目标风险混合型基金中基金（</w:t>
      </w:r>
      <w:r>
        <w:rPr>
          <w:rFonts w:hint="eastAsia"/>
          <w:lang/>
        </w:rPr>
        <w:t>FOF</w:t>
      </w:r>
      <w:r>
        <w:rPr>
          <w:rFonts w:hint="eastAsia"/>
          <w:lang/>
        </w:rPr>
        <w:t>）”，投资者可在每个开放日进行申购、赎回；对于转型之日前（不含当日）已确认申购</w:t>
      </w:r>
      <w:r>
        <w:rPr>
          <w:rFonts w:hint="eastAsia"/>
          <w:lang/>
        </w:rPr>
        <w:t>成功的每份份额，自转型之日后的开放期内可以赎回。但基金管理人根据法律法规、中国证监会的要求或基金合同的约定公告暂停申购、赎回时除外。具体办理时间为上海证券交易所、深圳证券交易所的正常交易日的交易时间（若该交易日为非港股</w:t>
      </w:r>
      <w:r>
        <w:rPr>
          <w:rFonts w:hint="eastAsia"/>
          <w:lang/>
        </w:rPr>
        <w:lastRenderedPageBreak/>
        <w:t>通交易日，则本基金不开放），但基金管理人根据法律法规、中国证监会的要求或基金合同的规定公告暂停申购、赎回时除外。</w:t>
      </w:r>
      <w:r>
        <w:rPr>
          <w:rFonts w:hint="eastAsia"/>
          <w:lang/>
        </w:rPr>
        <w:br/>
      </w:r>
      <w:r>
        <w:rPr>
          <w:rFonts w:hint="eastAsia"/>
          <w:lang/>
        </w:rPr>
        <w:t xml:space="preserve">　　基金合同生效后，若出现新的证券交易市场、证券交易所交易时间变更或其他特殊情况，基金管理人将视情况对前述开放日及开放时间进行相应的调整，但应在实施日前依照《公开募集证券投资基金信</w:t>
      </w:r>
      <w:r>
        <w:rPr>
          <w:rFonts w:hint="eastAsia"/>
          <w:lang/>
        </w:rPr>
        <w:t>息披露管理办法》（以下简称《信息披露办法》）的有关规定在指定媒介上公告。</w:t>
      </w:r>
      <w:r>
        <w:rPr>
          <w:rFonts w:hint="eastAsia"/>
          <w:lang/>
        </w:rPr>
        <w:br/>
      </w:r>
      <w:r>
        <w:rPr>
          <w:rFonts w:hint="eastAsia"/>
          <w:lang/>
        </w:rPr>
        <w:t xml:space="preserve">　　基金管理人不得在基金合同约定之外的日期或者时间办理基金份额的赎回。投资人在基金合同约定之外的日期和时间提出赎回申请且登记机构确认接受的，其基金份额赎回价格为下一开放日基金份额赎回价格。</w:t>
      </w:r>
    </w:p>
    <w:p w:rsidR="00000000" w:rsidRDefault="00B30E07">
      <w:pPr>
        <w:pStyle w:val="XBRLTitle1"/>
        <w:spacing w:before="156" w:line="360" w:lineRule="auto"/>
        <w:rPr>
          <w:rFonts w:hint="eastAsia"/>
        </w:rPr>
      </w:pPr>
      <w:bookmarkStart w:id="29" w:name="_Toc17897942"/>
      <w:bookmarkStart w:id="30" w:name="_Toc438646458"/>
      <w:bookmarkStart w:id="31" w:name="_Toc490050008"/>
      <w:bookmarkStart w:id="32" w:name="_Toc34841034"/>
      <w:bookmarkStart w:id="33" w:name="_Toc513295851"/>
      <w:bookmarkStart w:id="34" w:name="_Toc481075054"/>
      <w:bookmarkStart w:id="35" w:name="_Toc512519487"/>
      <w:bookmarkStart w:id="36" w:name="_Toc513295899"/>
      <w:bookmarkStart w:id="37" w:name="_Toc34758525"/>
      <w:bookmarkStart w:id="38" w:name="_Toc481075053"/>
      <w:bookmarkStart w:id="39" w:name="_Toc454983260"/>
      <w:bookmarkStart w:id="40" w:name="_Toc490050007"/>
      <w:bookmarkStart w:id="41" w:name="_Toc452398732"/>
      <w:bookmarkStart w:id="42" w:name="_Toc244948694"/>
      <w:bookmarkStart w:id="43" w:name="_Toc512519486"/>
      <w:bookmarkStart w:id="44" w:name="m03_03"/>
      <w:bookmarkStart w:id="45" w:name="_Toc247616208"/>
      <w:bookmarkStart w:id="46" w:name="_Toc433036679"/>
      <w:bookmarkStart w:id="47" w:name="_Toc17898185"/>
      <w:bookmarkStart w:id="48" w:name="_Toc485300223"/>
      <w:bookmarkStart w:id="49" w:name="_Toc453852604"/>
      <w:bookmarkStart w:id="50" w:name="_Toc512519485"/>
      <w:bookmarkStart w:id="51" w:name="m401"/>
      <w:bookmarkStart w:id="52" w:name="m401_tab"/>
      <w:bookmarkStart w:id="53" w:name="_Toc245003735"/>
      <w:bookmarkStart w:id="54" w:name="_Toc512519482"/>
      <w:bookmarkStart w:id="55" w:name="_Toc438646455"/>
      <w:bookmarkStart w:id="56" w:name="_Toc17898186"/>
      <w:bookmarkStart w:id="57" w:name="_Toc481075049"/>
      <w:bookmarkStart w:id="58" w:name="_Toc513295894"/>
      <w:bookmarkStart w:id="59" w:name="_Toc17898180"/>
      <w:bookmarkStart w:id="60" w:name="_Toc17897938"/>
      <w:bookmarkStart w:id="61" w:name="_Toc513295848"/>
      <w:bookmarkStart w:id="62" w:name="_Toc490050003"/>
      <w:bookmarkStart w:id="63" w:name="_Toc490050005"/>
      <w:bookmarkStart w:id="64" w:name="_Toc512519484"/>
      <w:bookmarkStart w:id="65" w:name="_Toc438646457"/>
      <w:bookmarkStart w:id="66" w:name="_Toc481075051"/>
      <w:bookmarkStart w:id="67" w:name="_Toc481075052"/>
      <w:bookmarkStart w:id="68" w:name="_Toc490050006"/>
      <w:bookmarkStart w:id="69" w:name="_Toc17897941"/>
      <w:bookmarkStart w:id="70" w:name="_Toc497398101"/>
      <w:bookmarkStart w:id="71" w:name="_Toc506208214"/>
      <w:r>
        <w:rPr>
          <w:rFonts w:hAnsi="宋体" w:hint="eastAsia"/>
        </w:rPr>
        <w:t>日常赎回业务</w:t>
      </w:r>
      <w:bookmarkEnd w:id="29"/>
      <w:bookmarkEnd w:id="56"/>
      <w:bookmarkEnd w:id="30"/>
      <w:bookmarkEnd w:id="31"/>
      <w:bookmarkEnd w:id="32"/>
      <w:bookmarkEnd w:id="33"/>
      <w:bookmarkEnd w:id="34"/>
      <w:bookmarkEnd w:id="35"/>
      <w:bookmarkEnd w:id="36"/>
      <w:bookmarkEnd w:id="37"/>
      <w:r>
        <w:rPr>
          <w:rFonts w:hAnsi="宋体" w:hint="eastAsia"/>
          <w:szCs w:val="44"/>
        </w:rPr>
        <w:t xml:space="preserve"> </w:t>
      </w:r>
    </w:p>
    <w:p w:rsidR="00000000" w:rsidRDefault="00B30E07">
      <w:pPr>
        <w:pStyle w:val="XBRLTitle2"/>
        <w:spacing w:before="156" w:line="360" w:lineRule="auto"/>
        <w:rPr>
          <w:rFonts w:hint="eastAsia"/>
        </w:rPr>
      </w:pPr>
      <w:bookmarkStart w:id="72" w:name="_Toc490050009"/>
      <w:bookmarkStart w:id="73" w:name="_Toc17898187"/>
      <w:bookmarkStart w:id="74" w:name="_Toc438646459"/>
      <w:bookmarkStart w:id="75" w:name="_Toc481075055"/>
      <w:bookmarkStart w:id="76" w:name="_Toc34758526"/>
      <w:bookmarkStart w:id="77" w:name="_Toc34841035"/>
      <w:bookmarkStart w:id="78" w:name="_Toc513295900"/>
      <w:bookmarkStart w:id="79" w:name="_Toc512519488"/>
      <w:bookmarkStart w:id="80" w:name="_Toc513295852"/>
      <w:bookmarkStart w:id="81" w:name="_Toc17897943"/>
      <w:r>
        <w:rPr>
          <w:rFonts w:hAnsi="宋体" w:hint="eastAsia"/>
        </w:rPr>
        <w:t>赎回份额限制</w:t>
      </w:r>
      <w:bookmarkEnd w:id="72"/>
      <w:bookmarkEnd w:id="73"/>
      <w:bookmarkEnd w:id="74"/>
      <w:bookmarkEnd w:id="75"/>
      <w:bookmarkEnd w:id="76"/>
      <w:bookmarkEnd w:id="77"/>
      <w:bookmarkEnd w:id="78"/>
      <w:bookmarkEnd w:id="79"/>
      <w:bookmarkEnd w:id="80"/>
      <w:bookmarkEnd w:id="81"/>
      <w:r>
        <w:rPr>
          <w:rFonts w:hAnsi="宋体" w:hint="eastAsia"/>
        </w:rPr>
        <w:t xml:space="preserve"> </w:t>
      </w:r>
    </w:p>
    <w:p w:rsidR="00000000" w:rsidRDefault="00B30E07">
      <w:pPr>
        <w:spacing w:line="360" w:lineRule="auto"/>
        <w:ind w:firstLineChars="200" w:firstLine="420"/>
        <w:rPr>
          <w:rFonts w:hint="eastAsia"/>
        </w:rPr>
      </w:pPr>
      <w:r>
        <w:rPr>
          <w:rFonts w:hint="eastAsia"/>
          <w:lang/>
        </w:rPr>
        <w:t>1</w:t>
      </w:r>
      <w:r>
        <w:rPr>
          <w:rFonts w:hint="eastAsia"/>
          <w:lang/>
        </w:rPr>
        <w:t>、每次赎回基金份额不得低于</w:t>
      </w:r>
      <w:r>
        <w:rPr>
          <w:rFonts w:hint="eastAsia"/>
          <w:lang/>
        </w:rPr>
        <w:t>1</w:t>
      </w:r>
      <w:r>
        <w:rPr>
          <w:rFonts w:hint="eastAsia"/>
          <w:lang/>
        </w:rPr>
        <w:t>份，基金份额持有人赎回时或赎回后保留的基金份额余额不足</w:t>
      </w:r>
      <w:r>
        <w:rPr>
          <w:rFonts w:hint="eastAsia"/>
          <w:lang/>
        </w:rPr>
        <w:t>1</w:t>
      </w:r>
      <w:r>
        <w:rPr>
          <w:rFonts w:hint="eastAsia"/>
          <w:lang/>
        </w:rPr>
        <w:t>份的，在赎回时需一次全部赎回。实际操作中，以各销售机构的具体规定为准。</w:t>
      </w:r>
      <w:r>
        <w:rPr>
          <w:rFonts w:hint="eastAsia"/>
          <w:lang/>
        </w:rPr>
        <w:br/>
      </w:r>
      <w:r>
        <w:rPr>
          <w:rFonts w:hint="eastAsia"/>
          <w:lang/>
        </w:rPr>
        <w:t xml:space="preserve">　　如遇巨额赎回等情况发生而导致延期赎回时，赎回办理和款项</w:t>
      </w:r>
      <w:r>
        <w:rPr>
          <w:rFonts w:hint="eastAsia"/>
          <w:lang/>
        </w:rPr>
        <w:t>支付的办法将参照基金合同有关巨额赎回或连续巨额赎回的条款处理。</w:t>
      </w:r>
      <w:r>
        <w:rPr>
          <w:rFonts w:hint="eastAsia"/>
          <w:lang/>
        </w:rPr>
        <w:br/>
      </w:r>
      <w:r>
        <w:rPr>
          <w:rFonts w:hint="eastAsia"/>
          <w:lang/>
        </w:rPr>
        <w:t xml:space="preserve">　　</w:t>
      </w:r>
      <w:r>
        <w:rPr>
          <w:rFonts w:hint="eastAsia"/>
          <w:lang/>
        </w:rPr>
        <w:t>2</w:t>
      </w:r>
      <w:r>
        <w:rPr>
          <w:rFonts w:hint="eastAsia"/>
          <w:lang/>
        </w:rPr>
        <w:t>、基金管理人可在法律法规允许的情况下，调整上述规定赎回份额的数量限制。基金管理人必须在调整实施前依照《信息披露办法》的有关规定在指定媒介上公告。</w:t>
      </w:r>
    </w:p>
    <w:p w:rsidR="00000000" w:rsidRDefault="00B30E07">
      <w:pPr>
        <w:pStyle w:val="XBRLTitle2"/>
        <w:spacing w:before="156" w:line="360" w:lineRule="auto"/>
        <w:rPr>
          <w:rFonts w:hint="eastAsia"/>
        </w:rPr>
      </w:pPr>
      <w:bookmarkStart w:id="82" w:name="_Toc490050010"/>
      <w:bookmarkStart w:id="83" w:name="_Toc512519489"/>
      <w:bookmarkStart w:id="84" w:name="_Toc34758527"/>
      <w:bookmarkStart w:id="85" w:name="_Toc17897944"/>
      <w:bookmarkStart w:id="86" w:name="_Toc17898188"/>
      <w:bookmarkStart w:id="87" w:name="_Toc513295853"/>
      <w:bookmarkStart w:id="88" w:name="_Toc34841036"/>
      <w:bookmarkStart w:id="89" w:name="m402"/>
      <w:bookmarkStart w:id="90" w:name="_Toc438646460"/>
      <w:bookmarkStart w:id="91" w:name="_Toc513295901"/>
      <w:bookmarkStart w:id="92" w:name="_Toc481075056"/>
      <w:r>
        <w:rPr>
          <w:rFonts w:hAnsi="宋体" w:hint="eastAsia"/>
        </w:rPr>
        <w:t>赎回费率</w:t>
      </w:r>
      <w:bookmarkEnd w:id="82"/>
      <w:bookmarkEnd w:id="83"/>
      <w:bookmarkEnd w:id="84"/>
      <w:bookmarkEnd w:id="85"/>
      <w:bookmarkEnd w:id="86"/>
      <w:bookmarkEnd w:id="87"/>
      <w:bookmarkEnd w:id="92"/>
      <w:bookmarkEnd w:id="91"/>
      <w:bookmarkEnd w:id="90"/>
      <w:bookmarkEnd w:id="88"/>
      <w:r>
        <w:rPr>
          <w:rFonts w:hAnsi="宋体" w:hint="eastAsia"/>
        </w:rPr>
        <w:t xml:space="preserve"> </w:t>
      </w:r>
    </w:p>
    <w:bookmarkEnd w:id="89"/>
    <w:p w:rsidR="00000000" w:rsidRDefault="00B30E07">
      <w:pPr>
        <w:wordWrap w:val="0"/>
        <w:spacing w:line="360" w:lineRule="auto"/>
        <w:ind w:firstLineChars="200" w:firstLine="420"/>
        <w:rPr>
          <w:rFonts w:hint="eastAsia"/>
        </w:rPr>
      </w:pPr>
      <w:r>
        <w:rPr>
          <w:rFonts w:hint="eastAsia"/>
          <w:lang/>
        </w:rPr>
        <w:t>本基金对目标退休日期到期前赎回的份额不收取赎回费。</w:t>
      </w:r>
      <w:r>
        <w:rPr>
          <w:rFonts w:hint="eastAsia"/>
          <w:lang/>
        </w:rPr>
        <w:br/>
      </w:r>
      <w:r>
        <w:rPr>
          <w:rFonts w:hint="eastAsia"/>
          <w:lang/>
        </w:rPr>
        <w:t xml:space="preserve">　　本基金转型为开放式基金中基金（</w:t>
      </w:r>
      <w:r>
        <w:rPr>
          <w:rFonts w:hint="eastAsia"/>
          <w:lang/>
        </w:rPr>
        <w:t>FOF</w:t>
      </w:r>
      <w:r>
        <w:rPr>
          <w:rFonts w:hint="eastAsia"/>
          <w:lang/>
        </w:rPr>
        <w:t>）后赎回的</w:t>
      </w:r>
      <w:r>
        <w:rPr>
          <w:rFonts w:hint="eastAsia"/>
          <w:szCs w:val="21"/>
        </w:rPr>
        <w:t>A</w:t>
      </w:r>
      <w:r>
        <w:rPr>
          <w:rFonts w:hint="eastAsia"/>
          <w:szCs w:val="21"/>
        </w:rPr>
        <w:t>类、</w:t>
      </w:r>
      <w:r>
        <w:rPr>
          <w:rFonts w:hint="eastAsia"/>
          <w:lang/>
        </w:rPr>
        <w:t>Y</w:t>
      </w:r>
      <w:r>
        <w:rPr>
          <w:rFonts w:hint="eastAsia"/>
          <w:lang/>
        </w:rPr>
        <w:t>类基金份额适用的赎回费率如下表所示：</w:t>
      </w:r>
      <w:r>
        <w:rPr>
          <w:rFonts w:hint="eastAsia"/>
        </w:rPr>
        <w:t xml:space="preserve"> </w:t>
      </w:r>
    </w:p>
    <w:tbl>
      <w:tblPr>
        <w:tblW w:w="9000" w:type="dxa"/>
        <w:tblInd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000"/>
      </w:tblPr>
      <w:tblGrid>
        <w:gridCol w:w="2435"/>
        <w:gridCol w:w="4130"/>
        <w:gridCol w:w="2435"/>
      </w:tblGrid>
      <w:tr w:rsidR="00000000">
        <w:tc>
          <w:tcPr>
            <w:tcW w:w="0" w:type="auto"/>
            <w:vMerge w:val="restart"/>
          </w:tcPr>
          <w:p w:rsidR="00000000" w:rsidRDefault="00B30E07">
            <w:pPr>
              <w:jc w:val="center"/>
            </w:pPr>
            <w:r>
              <w:t>费用种类</w:t>
            </w:r>
          </w:p>
        </w:tc>
        <w:tc>
          <w:tcPr>
            <w:tcW w:w="0" w:type="auto"/>
            <w:gridSpan w:val="2"/>
          </w:tcPr>
          <w:p w:rsidR="00000000" w:rsidRDefault="00B30E07">
            <w:pPr>
              <w:jc w:val="left"/>
            </w:pPr>
            <w:r>
              <w:rPr>
                <w:rFonts w:hint="eastAsia"/>
                <w:szCs w:val="21"/>
              </w:rPr>
              <w:t>A</w:t>
            </w:r>
            <w:r>
              <w:rPr>
                <w:rFonts w:hint="eastAsia"/>
                <w:szCs w:val="21"/>
              </w:rPr>
              <w:t>类、</w:t>
            </w:r>
            <w:r>
              <w:t>Y</w:t>
            </w:r>
            <w:r>
              <w:t>类基金份额</w:t>
            </w:r>
          </w:p>
        </w:tc>
      </w:tr>
      <w:tr w:rsidR="00000000">
        <w:tc>
          <w:tcPr>
            <w:tcW w:w="0" w:type="auto"/>
            <w:vMerge/>
          </w:tcPr>
          <w:p w:rsidR="00000000" w:rsidRDefault="00B30E07">
            <w:pPr>
              <w:jc w:val="left"/>
            </w:pPr>
          </w:p>
        </w:tc>
        <w:tc>
          <w:tcPr>
            <w:tcW w:w="0" w:type="auto"/>
          </w:tcPr>
          <w:p w:rsidR="00000000" w:rsidRDefault="00B30E07">
            <w:pPr>
              <w:jc w:val="left"/>
            </w:pPr>
            <w:r>
              <w:t>情形</w:t>
            </w:r>
          </w:p>
        </w:tc>
        <w:tc>
          <w:tcPr>
            <w:tcW w:w="0" w:type="auto"/>
          </w:tcPr>
          <w:p w:rsidR="00000000" w:rsidRDefault="00B30E07">
            <w:pPr>
              <w:jc w:val="left"/>
            </w:pPr>
            <w:r>
              <w:t>费率</w:t>
            </w:r>
          </w:p>
        </w:tc>
      </w:tr>
      <w:tr w:rsidR="00000000">
        <w:tc>
          <w:tcPr>
            <w:tcW w:w="0" w:type="auto"/>
            <w:vMerge w:val="restart"/>
          </w:tcPr>
          <w:p w:rsidR="00000000" w:rsidRDefault="00B30E07">
            <w:pPr>
              <w:jc w:val="left"/>
            </w:pPr>
            <w:r>
              <w:t>赎回费率</w:t>
            </w:r>
          </w:p>
        </w:tc>
        <w:tc>
          <w:tcPr>
            <w:tcW w:w="0" w:type="auto"/>
          </w:tcPr>
          <w:p w:rsidR="00000000" w:rsidRDefault="00B30E07">
            <w:pPr>
              <w:jc w:val="left"/>
            </w:pPr>
            <w:r>
              <w:t>持有期限</w:t>
            </w:r>
          </w:p>
        </w:tc>
        <w:tc>
          <w:tcPr>
            <w:tcW w:w="0" w:type="auto"/>
          </w:tcPr>
          <w:p w:rsidR="00000000" w:rsidRDefault="00B30E07">
            <w:pPr>
              <w:jc w:val="left"/>
            </w:pPr>
            <w:r>
              <w:t>赎回费率</w:t>
            </w:r>
          </w:p>
        </w:tc>
      </w:tr>
      <w:tr w:rsidR="00000000">
        <w:tc>
          <w:tcPr>
            <w:tcW w:w="0" w:type="auto"/>
            <w:vMerge/>
          </w:tcPr>
          <w:p w:rsidR="00000000" w:rsidRDefault="00B30E07">
            <w:pPr>
              <w:jc w:val="left"/>
            </w:pPr>
          </w:p>
        </w:tc>
        <w:tc>
          <w:tcPr>
            <w:tcW w:w="0" w:type="auto"/>
          </w:tcPr>
          <w:p w:rsidR="00000000" w:rsidRDefault="00B30E07">
            <w:pPr>
              <w:jc w:val="left"/>
            </w:pPr>
            <w:r>
              <w:t>Y</w:t>
            </w:r>
            <w:r>
              <w:t>＜</w:t>
            </w:r>
            <w:r>
              <w:t>7</w:t>
            </w:r>
            <w:r>
              <w:t>天</w:t>
            </w:r>
          </w:p>
        </w:tc>
        <w:tc>
          <w:tcPr>
            <w:tcW w:w="0" w:type="auto"/>
          </w:tcPr>
          <w:p w:rsidR="00000000" w:rsidRDefault="00B30E07">
            <w:pPr>
              <w:jc w:val="right"/>
            </w:pPr>
            <w:r>
              <w:t>1.50%</w:t>
            </w:r>
          </w:p>
        </w:tc>
      </w:tr>
      <w:tr w:rsidR="00000000">
        <w:tc>
          <w:tcPr>
            <w:tcW w:w="0" w:type="auto"/>
            <w:vMerge/>
          </w:tcPr>
          <w:p w:rsidR="00000000" w:rsidRDefault="00B30E07">
            <w:pPr>
              <w:jc w:val="left"/>
            </w:pPr>
          </w:p>
        </w:tc>
        <w:tc>
          <w:tcPr>
            <w:tcW w:w="0" w:type="auto"/>
          </w:tcPr>
          <w:p w:rsidR="00000000" w:rsidRDefault="00B30E07">
            <w:pPr>
              <w:jc w:val="left"/>
            </w:pPr>
            <w:r>
              <w:t>7</w:t>
            </w:r>
            <w:r>
              <w:t>天</w:t>
            </w:r>
            <w:r>
              <w:t>≤Y</w:t>
            </w:r>
            <w:r>
              <w:t>＜</w:t>
            </w:r>
            <w:r>
              <w:t>30</w:t>
            </w:r>
            <w:r>
              <w:t>天</w:t>
            </w:r>
          </w:p>
        </w:tc>
        <w:tc>
          <w:tcPr>
            <w:tcW w:w="0" w:type="auto"/>
          </w:tcPr>
          <w:p w:rsidR="00000000" w:rsidRDefault="00B30E07">
            <w:pPr>
              <w:jc w:val="right"/>
            </w:pPr>
            <w:r>
              <w:t>0.75</w:t>
            </w:r>
            <w:r>
              <w:t>%</w:t>
            </w:r>
          </w:p>
        </w:tc>
      </w:tr>
      <w:tr w:rsidR="00000000">
        <w:tc>
          <w:tcPr>
            <w:tcW w:w="0" w:type="auto"/>
            <w:vMerge/>
          </w:tcPr>
          <w:p w:rsidR="00000000" w:rsidRDefault="00B30E07">
            <w:pPr>
              <w:jc w:val="left"/>
            </w:pPr>
          </w:p>
        </w:tc>
        <w:tc>
          <w:tcPr>
            <w:tcW w:w="0" w:type="auto"/>
          </w:tcPr>
          <w:p w:rsidR="00000000" w:rsidRDefault="00B30E07">
            <w:pPr>
              <w:jc w:val="left"/>
            </w:pPr>
            <w:r>
              <w:t>30</w:t>
            </w:r>
            <w:r>
              <w:t>天</w:t>
            </w:r>
            <w:r>
              <w:t>≤Y</w:t>
            </w:r>
            <w:r>
              <w:t>＜</w:t>
            </w:r>
            <w:r>
              <w:t>6</w:t>
            </w:r>
            <w:r>
              <w:t>个月</w:t>
            </w:r>
          </w:p>
        </w:tc>
        <w:tc>
          <w:tcPr>
            <w:tcW w:w="0" w:type="auto"/>
          </w:tcPr>
          <w:p w:rsidR="00000000" w:rsidRDefault="00B30E07">
            <w:pPr>
              <w:jc w:val="right"/>
            </w:pPr>
            <w:r>
              <w:t>0.50%</w:t>
            </w:r>
          </w:p>
        </w:tc>
      </w:tr>
      <w:tr w:rsidR="00000000">
        <w:tc>
          <w:tcPr>
            <w:tcW w:w="0" w:type="auto"/>
            <w:vMerge/>
          </w:tcPr>
          <w:p w:rsidR="00000000" w:rsidRDefault="00B30E07">
            <w:pPr>
              <w:jc w:val="left"/>
            </w:pPr>
          </w:p>
        </w:tc>
        <w:tc>
          <w:tcPr>
            <w:tcW w:w="0" w:type="auto"/>
          </w:tcPr>
          <w:p w:rsidR="00000000" w:rsidRDefault="00B30E07">
            <w:pPr>
              <w:jc w:val="left"/>
            </w:pPr>
            <w:r>
              <w:t>6</w:t>
            </w:r>
            <w:r>
              <w:t>个月</w:t>
            </w:r>
            <w:r>
              <w:t>≤Y</w:t>
            </w:r>
            <w:r>
              <w:t>＜</w:t>
            </w:r>
            <w:r>
              <w:t>1</w:t>
            </w:r>
            <w:r>
              <w:t>年</w:t>
            </w:r>
          </w:p>
        </w:tc>
        <w:tc>
          <w:tcPr>
            <w:tcW w:w="0" w:type="auto"/>
          </w:tcPr>
          <w:p w:rsidR="00000000" w:rsidRDefault="00B30E07">
            <w:pPr>
              <w:jc w:val="right"/>
            </w:pPr>
            <w:r>
              <w:t>0.10%</w:t>
            </w:r>
          </w:p>
        </w:tc>
      </w:tr>
      <w:tr w:rsidR="00000000">
        <w:tc>
          <w:tcPr>
            <w:tcW w:w="0" w:type="auto"/>
            <w:vMerge/>
          </w:tcPr>
          <w:p w:rsidR="00000000" w:rsidRDefault="00B30E07">
            <w:pPr>
              <w:jc w:val="left"/>
            </w:pPr>
          </w:p>
        </w:tc>
        <w:tc>
          <w:tcPr>
            <w:tcW w:w="0" w:type="auto"/>
          </w:tcPr>
          <w:p w:rsidR="00000000" w:rsidRDefault="00B30E07">
            <w:pPr>
              <w:jc w:val="left"/>
            </w:pPr>
            <w:r>
              <w:t>1</w:t>
            </w:r>
            <w:r>
              <w:t>年</w:t>
            </w:r>
            <w:r>
              <w:t>≤Y</w:t>
            </w:r>
          </w:p>
        </w:tc>
        <w:tc>
          <w:tcPr>
            <w:tcW w:w="0" w:type="auto"/>
          </w:tcPr>
          <w:p w:rsidR="00000000" w:rsidRDefault="00B30E07">
            <w:pPr>
              <w:jc w:val="right"/>
            </w:pPr>
            <w:r>
              <w:t>0</w:t>
            </w:r>
          </w:p>
        </w:tc>
      </w:tr>
    </w:tbl>
    <w:p w:rsidR="00000000" w:rsidRDefault="00B30E07">
      <w:pPr>
        <w:spacing w:line="360" w:lineRule="auto"/>
        <w:jc w:val="left"/>
        <w:rPr>
          <w:rFonts w:hint="eastAsia"/>
        </w:rPr>
      </w:pPr>
      <w:r>
        <w:rPr>
          <w:rFonts w:hint="eastAsia"/>
          <w:szCs w:val="21"/>
        </w:rPr>
        <w:t>注：</w:t>
      </w:r>
      <w:r>
        <w:rPr>
          <w:rFonts w:hint="eastAsia"/>
          <w:szCs w:val="21"/>
        </w:rPr>
        <w:t>1</w:t>
      </w:r>
      <w:r>
        <w:rPr>
          <w:rFonts w:hint="eastAsia"/>
          <w:szCs w:val="21"/>
        </w:rPr>
        <w:t>、</w:t>
      </w:r>
      <w:r>
        <w:rPr>
          <w:rFonts w:hint="eastAsia"/>
          <w:szCs w:val="21"/>
        </w:rPr>
        <w:t>Y</w:t>
      </w:r>
      <w:r>
        <w:rPr>
          <w:rFonts w:hint="eastAsia"/>
          <w:szCs w:val="21"/>
        </w:rPr>
        <w:t>为持有期，</w:t>
      </w:r>
      <w:r>
        <w:rPr>
          <w:rFonts w:hint="eastAsia"/>
          <w:szCs w:val="21"/>
        </w:rPr>
        <w:t>1</w:t>
      </w:r>
      <w:r>
        <w:rPr>
          <w:rFonts w:hint="eastAsia"/>
          <w:szCs w:val="21"/>
        </w:rPr>
        <w:t>个月指</w:t>
      </w:r>
      <w:r>
        <w:rPr>
          <w:rFonts w:hint="eastAsia"/>
          <w:szCs w:val="21"/>
        </w:rPr>
        <w:t>30</w:t>
      </w:r>
      <w:r>
        <w:rPr>
          <w:rFonts w:hint="eastAsia"/>
          <w:szCs w:val="21"/>
        </w:rPr>
        <w:t>天，</w:t>
      </w:r>
      <w:r>
        <w:rPr>
          <w:rFonts w:hint="eastAsia"/>
          <w:szCs w:val="21"/>
        </w:rPr>
        <w:t>1</w:t>
      </w:r>
      <w:r>
        <w:rPr>
          <w:rFonts w:hint="eastAsia"/>
          <w:szCs w:val="21"/>
        </w:rPr>
        <w:t>年指</w:t>
      </w:r>
      <w:r>
        <w:rPr>
          <w:rFonts w:hint="eastAsia"/>
          <w:szCs w:val="21"/>
        </w:rPr>
        <w:t>365</w:t>
      </w:r>
      <w:r>
        <w:rPr>
          <w:rFonts w:hint="eastAsia"/>
          <w:szCs w:val="21"/>
        </w:rPr>
        <w:t>天</w:t>
      </w:r>
      <w:r>
        <w:rPr>
          <w:rFonts w:hint="eastAsia"/>
          <w:szCs w:val="21"/>
        </w:rPr>
        <w:br/>
      </w:r>
      <w:r>
        <w:rPr>
          <w:rFonts w:hint="eastAsia"/>
          <w:szCs w:val="21"/>
        </w:rPr>
        <w:t xml:space="preserve">　　</w:t>
      </w:r>
      <w:r>
        <w:rPr>
          <w:rFonts w:hint="eastAsia"/>
          <w:szCs w:val="21"/>
        </w:rPr>
        <w:t>2</w:t>
      </w:r>
      <w:r>
        <w:rPr>
          <w:rFonts w:hint="eastAsia"/>
          <w:szCs w:val="21"/>
        </w:rPr>
        <w:t>、赎回费用由赎回基金份额的基金份额持有人承担，在基金份额持有人赎回基金份额时收取。本基金</w:t>
      </w:r>
      <w:r>
        <w:rPr>
          <w:rFonts w:hint="eastAsia"/>
          <w:szCs w:val="21"/>
        </w:rPr>
        <w:t>A</w:t>
      </w:r>
      <w:r>
        <w:rPr>
          <w:rFonts w:hint="eastAsia"/>
          <w:szCs w:val="21"/>
        </w:rPr>
        <w:t>类、</w:t>
      </w:r>
      <w:r>
        <w:rPr>
          <w:rFonts w:hint="eastAsia"/>
          <w:szCs w:val="21"/>
        </w:rPr>
        <w:t>Y</w:t>
      </w:r>
      <w:r>
        <w:rPr>
          <w:rFonts w:hint="eastAsia"/>
          <w:szCs w:val="21"/>
        </w:rPr>
        <w:t>类基金份额对持续持有期少于</w:t>
      </w:r>
      <w:r>
        <w:rPr>
          <w:rFonts w:hint="eastAsia"/>
          <w:szCs w:val="21"/>
        </w:rPr>
        <w:t>30</w:t>
      </w:r>
      <w:r>
        <w:rPr>
          <w:rFonts w:hint="eastAsia"/>
          <w:szCs w:val="21"/>
        </w:rPr>
        <w:t>日的投资人收取的赎回费将全额计入基金财产；对持续持有期不少于</w:t>
      </w:r>
      <w:r>
        <w:rPr>
          <w:rFonts w:hint="eastAsia"/>
          <w:szCs w:val="21"/>
        </w:rPr>
        <w:t>30</w:t>
      </w:r>
      <w:r>
        <w:rPr>
          <w:rFonts w:hint="eastAsia"/>
          <w:szCs w:val="21"/>
        </w:rPr>
        <w:t>日但少于</w:t>
      </w:r>
      <w:r>
        <w:rPr>
          <w:rFonts w:hint="eastAsia"/>
          <w:szCs w:val="21"/>
        </w:rPr>
        <w:t>3</w:t>
      </w:r>
      <w:r>
        <w:rPr>
          <w:rFonts w:hint="eastAsia"/>
          <w:szCs w:val="21"/>
        </w:rPr>
        <w:t>个月的投资人收取的赎回费总额的</w:t>
      </w:r>
      <w:r>
        <w:rPr>
          <w:rFonts w:hint="eastAsia"/>
          <w:szCs w:val="21"/>
        </w:rPr>
        <w:t>75%</w:t>
      </w:r>
      <w:r>
        <w:rPr>
          <w:rFonts w:hint="eastAsia"/>
          <w:szCs w:val="21"/>
        </w:rPr>
        <w:t>计入基金财产；对持续持有期不少于</w:t>
      </w:r>
      <w:r>
        <w:rPr>
          <w:rFonts w:hint="eastAsia"/>
          <w:szCs w:val="21"/>
        </w:rPr>
        <w:t>3</w:t>
      </w:r>
      <w:r>
        <w:rPr>
          <w:rFonts w:hint="eastAsia"/>
          <w:szCs w:val="21"/>
        </w:rPr>
        <w:t>个月但少于</w:t>
      </w:r>
      <w:r>
        <w:rPr>
          <w:rFonts w:hint="eastAsia"/>
          <w:szCs w:val="21"/>
        </w:rPr>
        <w:t>6</w:t>
      </w:r>
      <w:r>
        <w:rPr>
          <w:rFonts w:hint="eastAsia"/>
          <w:szCs w:val="21"/>
        </w:rPr>
        <w:t>个月的投资人收取的赎回费总额的</w:t>
      </w:r>
      <w:r>
        <w:rPr>
          <w:rFonts w:hint="eastAsia"/>
          <w:szCs w:val="21"/>
        </w:rPr>
        <w:t>50%</w:t>
      </w:r>
      <w:r>
        <w:rPr>
          <w:rFonts w:hint="eastAsia"/>
          <w:szCs w:val="21"/>
        </w:rPr>
        <w:t>计入基金财产；对持续持有期不少于</w:t>
      </w:r>
      <w:r>
        <w:rPr>
          <w:rFonts w:hint="eastAsia"/>
          <w:szCs w:val="21"/>
        </w:rPr>
        <w:t>6</w:t>
      </w:r>
      <w:r>
        <w:rPr>
          <w:rFonts w:hint="eastAsia"/>
          <w:szCs w:val="21"/>
        </w:rPr>
        <w:t>个月的投</w:t>
      </w:r>
      <w:r>
        <w:rPr>
          <w:rFonts w:hint="eastAsia"/>
          <w:szCs w:val="21"/>
        </w:rPr>
        <w:t>资人收取的赎回费总额的</w:t>
      </w:r>
      <w:r>
        <w:rPr>
          <w:rFonts w:hint="eastAsia"/>
          <w:szCs w:val="21"/>
        </w:rPr>
        <w:t>25%</w:t>
      </w:r>
      <w:r>
        <w:rPr>
          <w:rFonts w:hint="eastAsia"/>
          <w:szCs w:val="21"/>
        </w:rPr>
        <w:t>计入基金财产（</w:t>
      </w:r>
      <w:r>
        <w:rPr>
          <w:rFonts w:hint="eastAsia"/>
          <w:szCs w:val="21"/>
        </w:rPr>
        <w:t>1</w:t>
      </w:r>
      <w:r>
        <w:rPr>
          <w:rFonts w:hint="eastAsia"/>
          <w:szCs w:val="21"/>
        </w:rPr>
        <w:t>年以</w:t>
      </w:r>
      <w:r>
        <w:rPr>
          <w:rFonts w:hint="eastAsia"/>
          <w:szCs w:val="21"/>
        </w:rPr>
        <w:t>365</w:t>
      </w:r>
      <w:r>
        <w:rPr>
          <w:rFonts w:hint="eastAsia"/>
          <w:szCs w:val="21"/>
        </w:rPr>
        <w:t>天计）。</w:t>
      </w:r>
    </w:p>
    <w:p w:rsidR="00000000" w:rsidRDefault="00B30E07">
      <w:pPr>
        <w:pStyle w:val="XBRLTitle2"/>
        <w:spacing w:before="156" w:line="360" w:lineRule="auto"/>
        <w:rPr>
          <w:rFonts w:hint="eastAsia"/>
        </w:rPr>
      </w:pPr>
      <w:bookmarkStart w:id="93" w:name="_Toc34758528"/>
      <w:bookmarkStart w:id="94" w:name="_Toc17897946"/>
      <w:bookmarkStart w:id="95" w:name="_Toc512519493"/>
      <w:bookmarkStart w:id="96" w:name="_Toc513295855"/>
      <w:bookmarkStart w:id="97" w:name="_Toc34841037"/>
      <w:bookmarkStart w:id="98" w:name="m405_01_2550"/>
      <w:bookmarkStart w:id="99" w:name="_Toc490050014"/>
      <w:bookmarkStart w:id="100" w:name="_Toc17898192"/>
      <w:bookmarkStart w:id="101" w:name="_Toc513295905"/>
      <w:bookmarkStart w:id="102" w:name="_Toc481075061"/>
      <w:bookmarkStart w:id="103" w:name="m403"/>
      <w:bookmarkEnd w:id="103"/>
      <w:r>
        <w:rPr>
          <w:rFonts w:hAnsi="宋体" w:hint="eastAsia"/>
        </w:rPr>
        <w:t>其他与赎回相关的事项</w:t>
      </w:r>
      <w:bookmarkEnd w:id="102"/>
      <w:bookmarkEnd w:id="101"/>
      <w:bookmarkEnd w:id="100"/>
      <w:bookmarkEnd w:id="99"/>
      <w:bookmarkEnd w:id="97"/>
      <w:bookmarkEnd w:id="96"/>
      <w:bookmarkEnd w:id="94"/>
      <w:bookmarkEnd w:id="95"/>
      <w:bookmarkEnd w:id="93"/>
      <w:r>
        <w:rPr>
          <w:rFonts w:hAnsi="宋体" w:hint="eastAsia"/>
        </w:rPr>
        <w:t xml:space="preserve"> </w:t>
      </w:r>
    </w:p>
    <w:p w:rsidR="00000000" w:rsidRDefault="00B30E07">
      <w:pPr>
        <w:spacing w:line="360" w:lineRule="auto"/>
        <w:ind w:firstLineChars="200" w:firstLine="420"/>
        <w:rPr>
          <w:rFonts w:hint="eastAsia"/>
        </w:rPr>
      </w:pPr>
      <w:r>
        <w:rPr>
          <w:rFonts w:hint="eastAsia"/>
          <w:lang/>
        </w:rPr>
        <w:t>1</w:t>
      </w:r>
      <w:r>
        <w:rPr>
          <w:rFonts w:hint="eastAsia"/>
          <w:lang/>
        </w:rPr>
        <w:t>、基金管理人可以在基金合同约定的范围内调整费率或收费方式，并最迟应于新的费率或收费方式实施日前依照《信息披露办法》的有关规定在指定媒介上公告。</w:t>
      </w:r>
      <w:r>
        <w:rPr>
          <w:rFonts w:hint="eastAsia"/>
          <w:lang/>
        </w:rPr>
        <w:br/>
      </w:r>
      <w:r>
        <w:rPr>
          <w:rFonts w:hint="eastAsia"/>
          <w:lang/>
        </w:rPr>
        <w:t xml:space="preserve">　　</w:t>
      </w:r>
      <w:r>
        <w:rPr>
          <w:rFonts w:hint="eastAsia"/>
          <w:lang/>
        </w:rPr>
        <w:t>2</w:t>
      </w:r>
      <w:r>
        <w:rPr>
          <w:rFonts w:hint="eastAsia"/>
          <w:lang/>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的销售费率。</w:t>
      </w:r>
      <w:r>
        <w:rPr>
          <w:rFonts w:hint="eastAsia"/>
          <w:lang/>
        </w:rPr>
        <w:br/>
      </w:r>
      <w:r>
        <w:rPr>
          <w:rFonts w:hint="eastAsia"/>
          <w:lang/>
        </w:rPr>
        <w:t xml:space="preserve">　　</w:t>
      </w:r>
      <w:r>
        <w:rPr>
          <w:rFonts w:hint="eastAsia"/>
          <w:lang/>
        </w:rPr>
        <w:t>3</w:t>
      </w:r>
      <w:r>
        <w:rPr>
          <w:rFonts w:hint="eastAsia"/>
          <w:lang/>
        </w:rPr>
        <w:t>、当本基金发生大额赎回情形时，基金管理人可以采用摆动</w:t>
      </w:r>
      <w:r>
        <w:rPr>
          <w:rFonts w:hint="eastAsia"/>
          <w:lang/>
        </w:rPr>
        <w:t>定价机制，以确保基金估值的公平性，具体处理原则与操作规范遵循相关法律法规以及监管部门、自律规则的规定。</w:t>
      </w:r>
    </w:p>
    <w:p w:rsidR="00000000" w:rsidRDefault="00B30E07">
      <w:pPr>
        <w:pStyle w:val="XBRLTitle1"/>
        <w:spacing w:before="156" w:line="360" w:lineRule="auto"/>
        <w:rPr>
          <w:rFonts w:hint="eastAsia"/>
        </w:rPr>
      </w:pPr>
      <w:bookmarkStart w:id="104" w:name="_Toc3475852111"/>
      <w:bookmarkStart w:id="105" w:name="_Toc34841042"/>
      <w:bookmarkEnd w:id="98"/>
      <w:r>
        <w:rPr>
          <w:rFonts w:hAnsi="宋体" w:hint="eastAsia"/>
        </w:rPr>
        <w:t>基金销售机构</w:t>
      </w:r>
      <w:bookmarkEnd w:id="55"/>
      <w:bookmarkEnd w:id="54"/>
      <w:bookmarkEnd w:id="57"/>
      <w:bookmarkEnd w:id="58"/>
      <w:bookmarkEnd w:id="59"/>
      <w:bookmarkEnd w:id="60"/>
      <w:bookmarkEnd w:id="61"/>
      <w:bookmarkEnd w:id="62"/>
      <w:bookmarkEnd w:id="104"/>
      <w:bookmarkEnd w:id="105"/>
      <w:r>
        <w:rPr>
          <w:rFonts w:hAnsi="宋体" w:hint="eastAsia"/>
        </w:rPr>
        <w:t xml:space="preserve"> </w:t>
      </w:r>
    </w:p>
    <w:p w:rsidR="00000000" w:rsidRDefault="00B30E07">
      <w:pPr>
        <w:pStyle w:val="XBRLTitle2"/>
        <w:spacing w:before="156" w:line="360" w:lineRule="auto"/>
        <w:rPr>
          <w:rFonts w:hint="eastAsia"/>
        </w:rPr>
      </w:pPr>
      <w:bookmarkStart w:id="106" w:name="_Toc51346565811"/>
      <w:r>
        <w:rPr>
          <w:rFonts w:hAnsi="宋体" w:hint="eastAsia"/>
        </w:rPr>
        <w:t>场外销售机构</w:t>
      </w:r>
      <w:bookmarkEnd w:id="63"/>
      <w:bookmarkEnd w:id="64"/>
      <w:bookmarkEnd w:id="65"/>
      <w:bookmarkEnd w:id="66"/>
      <w:bookmarkEnd w:id="106"/>
      <w:r>
        <w:rPr>
          <w:rFonts w:hAnsi="宋体" w:hint="eastAsia"/>
        </w:rPr>
        <w:t xml:space="preserve"> </w:t>
      </w:r>
    </w:p>
    <w:p w:rsidR="00000000" w:rsidRDefault="00B30E07">
      <w:pPr>
        <w:pStyle w:val="XBRLTitle3"/>
        <w:spacing w:before="156"/>
        <w:rPr>
          <w:rFonts w:hint="eastAsia"/>
        </w:rPr>
      </w:pPr>
      <w:bookmarkStart w:id="107" w:name="_Toc51346565911"/>
      <w:r>
        <w:rPr>
          <w:rFonts w:hint="eastAsia"/>
        </w:rPr>
        <w:t>直销机构</w:t>
      </w:r>
      <w:bookmarkEnd w:id="50"/>
      <w:bookmarkEnd w:id="67"/>
      <w:bookmarkEnd w:id="68"/>
      <w:bookmarkEnd w:id="107"/>
      <w:r>
        <w:rPr>
          <w:rFonts w:hint="eastAsia"/>
        </w:rPr>
        <w:t xml:space="preserve"> </w:t>
      </w:r>
    </w:p>
    <w:p w:rsidR="00000000" w:rsidRDefault="00B30E07">
      <w:pPr>
        <w:spacing w:line="360" w:lineRule="auto"/>
        <w:ind w:firstLineChars="200" w:firstLine="420"/>
        <w:rPr>
          <w:rFonts w:hint="eastAsia"/>
        </w:rPr>
      </w:pPr>
      <w:r>
        <w:rPr>
          <w:rFonts w:hint="eastAsia"/>
          <w:lang/>
        </w:rPr>
        <w:t>名称：工银瑞信基金管理有限公司</w:t>
      </w:r>
      <w:r>
        <w:rPr>
          <w:rFonts w:hint="eastAsia"/>
          <w:lang/>
        </w:rPr>
        <w:br/>
      </w:r>
      <w:r>
        <w:rPr>
          <w:rFonts w:hint="eastAsia"/>
          <w:lang/>
        </w:rPr>
        <w:t xml:space="preserve">　　住所：北京市西城区金融大街</w:t>
      </w:r>
      <w:r>
        <w:rPr>
          <w:rFonts w:hint="eastAsia"/>
          <w:lang/>
        </w:rPr>
        <w:t>5</w:t>
      </w:r>
      <w:r>
        <w:rPr>
          <w:rFonts w:hint="eastAsia"/>
          <w:lang/>
        </w:rPr>
        <w:t>号、甲</w:t>
      </w:r>
      <w:r>
        <w:rPr>
          <w:rFonts w:hint="eastAsia"/>
          <w:lang/>
        </w:rPr>
        <w:t>5</w:t>
      </w:r>
      <w:r>
        <w:rPr>
          <w:rFonts w:hint="eastAsia"/>
          <w:lang/>
        </w:rPr>
        <w:t>号</w:t>
      </w:r>
      <w:r>
        <w:rPr>
          <w:rFonts w:hint="eastAsia"/>
          <w:lang/>
        </w:rPr>
        <w:t>9</w:t>
      </w:r>
      <w:r>
        <w:rPr>
          <w:rFonts w:hint="eastAsia"/>
          <w:lang/>
        </w:rPr>
        <w:t>层甲</w:t>
      </w:r>
      <w:r>
        <w:rPr>
          <w:rFonts w:hint="eastAsia"/>
          <w:lang/>
        </w:rPr>
        <w:t>5</w:t>
      </w:r>
      <w:r>
        <w:rPr>
          <w:rFonts w:hint="eastAsia"/>
          <w:lang/>
        </w:rPr>
        <w:t>号</w:t>
      </w:r>
      <w:r>
        <w:rPr>
          <w:rFonts w:hint="eastAsia"/>
          <w:lang/>
        </w:rPr>
        <w:t>901</w:t>
      </w:r>
      <w:r>
        <w:rPr>
          <w:rFonts w:hint="eastAsia"/>
          <w:lang/>
        </w:rPr>
        <w:br/>
      </w:r>
      <w:r>
        <w:rPr>
          <w:rFonts w:hint="eastAsia"/>
          <w:lang/>
        </w:rPr>
        <w:t xml:space="preserve">　　办公地址：北京市西城区金融大街</w:t>
      </w:r>
      <w:r>
        <w:rPr>
          <w:rFonts w:hint="eastAsia"/>
          <w:lang/>
        </w:rPr>
        <w:t>5</w:t>
      </w:r>
      <w:r>
        <w:rPr>
          <w:rFonts w:hint="eastAsia"/>
          <w:lang/>
        </w:rPr>
        <w:t>号新盛大厦</w:t>
      </w:r>
      <w:r>
        <w:rPr>
          <w:rFonts w:hint="eastAsia"/>
          <w:lang/>
        </w:rPr>
        <w:t>A</w:t>
      </w:r>
      <w:r>
        <w:rPr>
          <w:rFonts w:hint="eastAsia"/>
          <w:lang/>
        </w:rPr>
        <w:t>座</w:t>
      </w:r>
      <w:r>
        <w:rPr>
          <w:rFonts w:hint="eastAsia"/>
          <w:lang/>
        </w:rPr>
        <w:t>6-9</w:t>
      </w:r>
      <w:r>
        <w:rPr>
          <w:rFonts w:hint="eastAsia"/>
          <w:lang/>
        </w:rPr>
        <w:t>层</w:t>
      </w:r>
      <w:r>
        <w:rPr>
          <w:rFonts w:hint="eastAsia"/>
          <w:lang/>
        </w:rPr>
        <w:br/>
      </w:r>
      <w:r>
        <w:rPr>
          <w:rFonts w:hint="eastAsia"/>
          <w:lang/>
        </w:rPr>
        <w:t xml:space="preserve">　　公司网址：</w:t>
      </w:r>
      <w:r>
        <w:rPr>
          <w:rFonts w:hint="eastAsia"/>
          <w:lang/>
        </w:rPr>
        <w:t>www.icbcubs.com.cn</w:t>
      </w:r>
      <w:r>
        <w:rPr>
          <w:rFonts w:hint="eastAsia"/>
          <w:lang/>
        </w:rPr>
        <w:br/>
      </w:r>
      <w:r>
        <w:rPr>
          <w:rFonts w:hint="eastAsia"/>
          <w:lang/>
        </w:rPr>
        <w:t xml:space="preserve">　　全国统一客户服务电话：</w:t>
      </w:r>
      <w:r>
        <w:rPr>
          <w:rFonts w:hint="eastAsia"/>
          <w:lang/>
        </w:rPr>
        <w:t>400-811-9999</w:t>
      </w:r>
      <w:r>
        <w:rPr>
          <w:rFonts w:hint="eastAsia"/>
          <w:lang/>
        </w:rPr>
        <w:br/>
      </w:r>
      <w:r>
        <w:rPr>
          <w:rFonts w:hint="eastAsia"/>
          <w:lang/>
        </w:rPr>
        <w:t xml:space="preserve">　　直销机构网点信息：</w:t>
      </w:r>
      <w:r>
        <w:rPr>
          <w:rFonts w:hint="eastAsia"/>
          <w:lang/>
        </w:rPr>
        <w:br/>
      </w:r>
      <w:r>
        <w:rPr>
          <w:rFonts w:hint="eastAsia"/>
          <w:lang/>
        </w:rPr>
        <w:t xml:space="preserve">　　本公司直销柜台及直销电子自助交易系统（含</w:t>
      </w:r>
      <w:r>
        <w:rPr>
          <w:rFonts w:hint="eastAsia"/>
          <w:lang/>
        </w:rPr>
        <w:t>APP</w:t>
      </w:r>
      <w:r>
        <w:rPr>
          <w:rFonts w:hint="eastAsia"/>
          <w:lang/>
        </w:rPr>
        <w:t>、网上交易、微信自助交易）销售本基</w:t>
      </w:r>
      <w:r>
        <w:rPr>
          <w:rFonts w:hint="eastAsia"/>
          <w:lang/>
        </w:rPr>
        <w:t>金，网点具体信息详见本公司网站。</w:t>
      </w:r>
    </w:p>
    <w:p w:rsidR="00000000" w:rsidRDefault="00B30E07">
      <w:pPr>
        <w:pStyle w:val="XBRLTitle3"/>
        <w:spacing w:before="156"/>
        <w:rPr>
          <w:rFonts w:hint="eastAsia"/>
        </w:rPr>
      </w:pPr>
      <w:bookmarkStart w:id="108" w:name="_Toc51346566011"/>
      <w:r>
        <w:rPr>
          <w:rFonts w:hint="eastAsia"/>
        </w:rPr>
        <w:t>场外非直销机构</w:t>
      </w:r>
      <w:bookmarkEnd w:id="69"/>
      <w:bookmarkEnd w:id="70"/>
      <w:bookmarkEnd w:id="71"/>
      <w:bookmarkEnd w:id="38"/>
      <w:bookmarkEnd w:id="39"/>
      <w:bookmarkEnd w:id="40"/>
      <w:bookmarkEnd w:id="41"/>
      <w:bookmarkEnd w:id="42"/>
      <w:bookmarkEnd w:id="43"/>
      <w:bookmarkEnd w:id="44"/>
      <w:bookmarkEnd w:id="53"/>
      <w:bookmarkEnd w:id="45"/>
      <w:bookmarkEnd w:id="46"/>
      <w:bookmarkEnd w:id="47"/>
      <w:bookmarkEnd w:id="48"/>
      <w:bookmarkEnd w:id="49"/>
      <w:bookmarkEnd w:id="108"/>
    </w:p>
    <w:p w:rsidR="00000000" w:rsidRDefault="00B30E07">
      <w:pPr>
        <w:spacing w:line="360" w:lineRule="auto"/>
        <w:ind w:firstLineChars="200" w:firstLine="420"/>
        <w:rPr>
          <w:rFonts w:hint="eastAsia"/>
        </w:rPr>
      </w:pPr>
      <w:r>
        <w:rPr>
          <w:rFonts w:hint="eastAsia"/>
          <w:kern w:val="0"/>
          <w:szCs w:val="21"/>
          <w:lang/>
        </w:rPr>
        <w:t>本基金场外非直销机构信息详见基金管理人网站公示，敬请投资者留意。</w:t>
      </w:r>
      <w:r>
        <w:rPr>
          <w:rFonts w:hint="eastAsia"/>
          <w:kern w:val="0"/>
          <w:sz w:val="24"/>
        </w:rPr>
        <w:t xml:space="preserve"> </w:t>
      </w:r>
    </w:p>
    <w:p w:rsidR="00000000" w:rsidRDefault="00B30E07">
      <w:pPr>
        <w:pStyle w:val="XBRLTitle1"/>
        <w:spacing w:before="156" w:line="360" w:lineRule="auto"/>
        <w:rPr>
          <w:rFonts w:hint="eastAsia"/>
        </w:rPr>
      </w:pPr>
      <w:bookmarkStart w:id="109" w:name="_Toc34841045"/>
      <w:bookmarkStart w:id="110" w:name="_Toc3475853211"/>
      <w:r>
        <w:rPr>
          <w:rFonts w:hAnsi="宋体" w:hint="eastAsia"/>
        </w:rPr>
        <w:t>基金份额净值公告</w:t>
      </w:r>
      <w:r>
        <w:rPr>
          <w:rFonts w:hAnsi="宋体" w:hint="eastAsia"/>
        </w:rPr>
        <w:t>/</w:t>
      </w:r>
      <w:r>
        <w:rPr>
          <w:rFonts w:hAnsi="宋体" w:hint="eastAsia"/>
        </w:rPr>
        <w:t>基金收益公告的披露安排</w:t>
      </w:r>
      <w:bookmarkEnd w:id="109"/>
      <w:bookmarkEnd w:id="110"/>
      <w:r>
        <w:rPr>
          <w:rFonts w:hAnsi="宋体" w:hint="eastAsia"/>
        </w:rPr>
        <w:t xml:space="preserve"> </w:t>
      </w:r>
    </w:p>
    <w:p w:rsidR="00000000" w:rsidRDefault="00B30E07">
      <w:pPr>
        <w:spacing w:line="360" w:lineRule="auto"/>
        <w:ind w:firstLineChars="200" w:firstLine="420"/>
        <w:rPr>
          <w:rFonts w:hint="eastAsia"/>
        </w:rPr>
      </w:pPr>
      <w:r>
        <w:rPr>
          <w:rFonts w:hint="eastAsia"/>
          <w:lang/>
        </w:rPr>
        <w:t>在开始办理基金份额申购或者赎回后，基金管理人应当在不晚于每个开放日的三个工作日内，通过指定网站、基金销售机构网站或者营业网点披露开放日的各类基金份额净值和基金份额累计净值。</w:t>
      </w:r>
      <w:r>
        <w:rPr>
          <w:rFonts w:hint="eastAsia"/>
          <w:lang/>
        </w:rPr>
        <w:br/>
      </w:r>
      <w:r>
        <w:rPr>
          <w:rFonts w:hint="eastAsia"/>
          <w:lang/>
        </w:rPr>
        <w:t xml:space="preserve">　　基金管理人应当在不晚于半年度和年度最后一日后的三个工作日内，在指定网站披露半年度和年度最后一日的各类基金份额净值和基金份额累计净值。</w:t>
      </w:r>
    </w:p>
    <w:p w:rsidR="00000000" w:rsidRDefault="00B30E07">
      <w:pPr>
        <w:pStyle w:val="XBRLTitle1"/>
        <w:spacing w:before="156" w:line="360" w:lineRule="auto"/>
        <w:rPr>
          <w:rFonts w:hint="eastAsia"/>
        </w:rPr>
      </w:pPr>
      <w:bookmarkStart w:id="111" w:name="_Toc3475853212"/>
      <w:bookmarkStart w:id="112" w:name="_Toc34841046"/>
      <w:r>
        <w:rPr>
          <w:rFonts w:hAnsi="宋体" w:hint="eastAsia"/>
        </w:rPr>
        <w:t>其他需要提示的事项</w:t>
      </w:r>
      <w:bookmarkEnd w:id="22"/>
      <w:bookmarkEnd w:id="21"/>
      <w:bookmarkEnd w:id="20"/>
      <w:bookmarkEnd w:id="19"/>
      <w:bookmarkEnd w:id="18"/>
      <w:bookmarkEnd w:id="23"/>
      <w:bookmarkEnd w:id="17"/>
      <w:bookmarkEnd w:id="16"/>
      <w:bookmarkEnd w:id="51"/>
      <w:bookmarkEnd w:id="52"/>
      <w:bookmarkEnd w:id="111"/>
      <w:bookmarkEnd w:id="112"/>
      <w:r>
        <w:rPr>
          <w:rFonts w:hAnsi="宋体" w:hint="eastAsia"/>
        </w:rPr>
        <w:t xml:space="preserve"> </w:t>
      </w:r>
    </w:p>
    <w:bookmarkEnd w:id="13"/>
    <w:bookmarkEnd w:id="12"/>
    <w:bookmarkEnd w:id="11"/>
    <w:bookmarkEnd w:id="28"/>
    <w:bookmarkEnd w:id="27"/>
    <w:bookmarkEnd w:id="26"/>
    <w:bookmarkEnd w:id="25"/>
    <w:p w:rsidR="00000000" w:rsidRDefault="00B30E07">
      <w:pPr>
        <w:pStyle w:val="aa"/>
        <w:spacing w:before="0" w:beforeAutospacing="0" w:after="0" w:afterAutospacing="0" w:line="360" w:lineRule="auto"/>
        <w:ind w:firstLineChars="200" w:firstLine="420"/>
        <w:rPr>
          <w:rFonts w:hint="eastAsia"/>
          <w:sz w:val="21"/>
          <w:szCs w:val="21"/>
        </w:rPr>
      </w:pPr>
      <w:r>
        <w:rPr>
          <w:rFonts w:hint="eastAsia"/>
          <w:sz w:val="21"/>
          <w:szCs w:val="21"/>
        </w:rPr>
        <w:t>1</w:t>
      </w:r>
      <w:r>
        <w:rPr>
          <w:rFonts w:hint="eastAsia"/>
          <w:sz w:val="21"/>
          <w:szCs w:val="21"/>
        </w:rPr>
        <w:t>、赎回的申请方</w:t>
      </w:r>
      <w:r>
        <w:rPr>
          <w:rFonts w:hint="eastAsia"/>
          <w:sz w:val="21"/>
          <w:szCs w:val="21"/>
        </w:rPr>
        <w:t>式</w:t>
      </w:r>
      <w:r>
        <w:rPr>
          <w:rFonts w:hint="eastAsia"/>
          <w:sz w:val="21"/>
          <w:szCs w:val="21"/>
        </w:rPr>
        <w:t xml:space="preserve"> </w:t>
      </w:r>
    </w:p>
    <w:p w:rsidR="00000000" w:rsidRDefault="00B30E07">
      <w:pPr>
        <w:pStyle w:val="aa"/>
        <w:spacing w:before="0" w:beforeAutospacing="0" w:after="0" w:afterAutospacing="0" w:line="360" w:lineRule="auto"/>
        <w:ind w:firstLineChars="200" w:firstLine="420"/>
        <w:rPr>
          <w:rFonts w:hint="eastAsia"/>
          <w:sz w:val="21"/>
          <w:szCs w:val="21"/>
        </w:rPr>
      </w:pPr>
      <w:r>
        <w:rPr>
          <w:rFonts w:hint="eastAsia"/>
          <w:sz w:val="21"/>
          <w:szCs w:val="21"/>
        </w:rPr>
        <w:t>投资人必须根据销售机构规定的程序，在开放日的具体业务办理时间内提出赎回的申请。</w:t>
      </w:r>
      <w:r>
        <w:rPr>
          <w:rFonts w:hint="eastAsia"/>
          <w:sz w:val="21"/>
          <w:szCs w:val="21"/>
        </w:rPr>
        <w:t xml:space="preserve"> </w:t>
      </w:r>
    </w:p>
    <w:p w:rsidR="00000000" w:rsidRDefault="00B30E07">
      <w:pPr>
        <w:pStyle w:val="aa"/>
        <w:spacing w:before="0" w:beforeAutospacing="0" w:after="0" w:afterAutospacing="0" w:line="360" w:lineRule="auto"/>
        <w:ind w:firstLineChars="200" w:firstLine="420"/>
        <w:rPr>
          <w:rFonts w:hint="eastAsia"/>
          <w:sz w:val="21"/>
          <w:szCs w:val="21"/>
        </w:rPr>
      </w:pPr>
      <w:r>
        <w:rPr>
          <w:rFonts w:hint="eastAsia"/>
          <w:sz w:val="21"/>
          <w:szCs w:val="21"/>
        </w:rPr>
        <w:t>2</w:t>
      </w:r>
      <w:r>
        <w:rPr>
          <w:rFonts w:hint="eastAsia"/>
          <w:sz w:val="21"/>
          <w:szCs w:val="21"/>
        </w:rPr>
        <w:t>、赎回的款项支付</w:t>
      </w:r>
      <w:r>
        <w:rPr>
          <w:rFonts w:hint="eastAsia"/>
          <w:sz w:val="21"/>
          <w:szCs w:val="21"/>
        </w:rPr>
        <w:t xml:space="preserve"> </w:t>
      </w:r>
    </w:p>
    <w:p w:rsidR="00000000" w:rsidRDefault="00B30E07">
      <w:pPr>
        <w:pStyle w:val="aa"/>
        <w:spacing w:before="0" w:beforeAutospacing="0" w:after="0" w:afterAutospacing="0" w:line="360" w:lineRule="auto"/>
        <w:ind w:firstLineChars="200" w:firstLine="420"/>
        <w:rPr>
          <w:rFonts w:hint="eastAsia"/>
          <w:sz w:val="21"/>
          <w:szCs w:val="21"/>
        </w:rPr>
      </w:pPr>
      <w:r>
        <w:rPr>
          <w:rFonts w:hint="eastAsia"/>
          <w:sz w:val="21"/>
          <w:szCs w:val="21"/>
        </w:rPr>
        <w:t>基金份额持有人递交赎回申请，赎回成立；登记机构确认赎回时，赎回生效。基金份额持有人赎回申请成功后，基金管理人将在</w:t>
      </w:r>
      <w:r>
        <w:rPr>
          <w:rFonts w:hint="eastAsia"/>
          <w:sz w:val="21"/>
          <w:szCs w:val="21"/>
        </w:rPr>
        <w:t>T</w:t>
      </w:r>
      <w:r>
        <w:rPr>
          <w:rFonts w:hint="eastAsia"/>
          <w:sz w:val="21"/>
          <w:szCs w:val="21"/>
        </w:rPr>
        <w:t>＋</w:t>
      </w:r>
      <w:r>
        <w:rPr>
          <w:rFonts w:hint="eastAsia"/>
          <w:sz w:val="21"/>
          <w:szCs w:val="21"/>
        </w:rPr>
        <w:t>10</w:t>
      </w:r>
      <w:r>
        <w:rPr>
          <w:rFonts w:hint="eastAsia"/>
          <w:sz w:val="21"/>
          <w:szCs w:val="21"/>
        </w:rPr>
        <w:t>日</w:t>
      </w:r>
      <w:r>
        <w:rPr>
          <w:rFonts w:hint="eastAsia"/>
          <w:sz w:val="21"/>
          <w:szCs w:val="21"/>
        </w:rPr>
        <w:t>(</w:t>
      </w:r>
      <w:r>
        <w:rPr>
          <w:rFonts w:hint="eastAsia"/>
          <w:sz w:val="21"/>
          <w:szCs w:val="21"/>
        </w:rPr>
        <w:t>包括该日</w:t>
      </w:r>
      <w:r>
        <w:rPr>
          <w:rFonts w:hint="eastAsia"/>
          <w:sz w:val="21"/>
          <w:szCs w:val="21"/>
        </w:rPr>
        <w:t>)</w:t>
      </w:r>
      <w:r>
        <w:rPr>
          <w:rFonts w:hint="eastAsia"/>
          <w:sz w:val="21"/>
          <w:szCs w:val="21"/>
        </w:rPr>
        <w:t>内支付赎回款项。遇证券交易所或交易市场数据传输延迟、通讯系统故障、银行数据交换系统故障或其它非基金管理人及基金托管人所能控制的因素影响业务处理流程时，赎回款项顺延至下一个工作日划出。在发生巨额赎回或基金合同载明的其他暂停赎回或延缓支付赎回款项的情形时，款项的支付办法参</w:t>
      </w:r>
      <w:r>
        <w:rPr>
          <w:rFonts w:hint="eastAsia"/>
          <w:sz w:val="21"/>
          <w:szCs w:val="21"/>
        </w:rPr>
        <w:t>照基金合同有关条款处理。</w:t>
      </w:r>
      <w:r>
        <w:rPr>
          <w:rFonts w:hint="eastAsia"/>
          <w:sz w:val="21"/>
          <w:szCs w:val="21"/>
        </w:rPr>
        <w:t xml:space="preserve"> </w:t>
      </w:r>
    </w:p>
    <w:p w:rsidR="00000000" w:rsidRDefault="00B30E07">
      <w:pPr>
        <w:pStyle w:val="aa"/>
        <w:spacing w:before="0" w:beforeAutospacing="0" w:after="0" w:afterAutospacing="0" w:line="360" w:lineRule="auto"/>
        <w:ind w:firstLineChars="200" w:firstLine="420"/>
        <w:rPr>
          <w:rFonts w:hint="eastAsia"/>
          <w:sz w:val="21"/>
          <w:szCs w:val="21"/>
        </w:rPr>
      </w:pPr>
      <w:r>
        <w:rPr>
          <w:rFonts w:hint="eastAsia"/>
          <w:sz w:val="21"/>
          <w:szCs w:val="21"/>
        </w:rPr>
        <w:t>投资者申购本基金</w:t>
      </w:r>
      <w:r>
        <w:rPr>
          <w:rFonts w:hint="eastAsia"/>
          <w:sz w:val="21"/>
          <w:szCs w:val="21"/>
        </w:rPr>
        <w:t>Y</w:t>
      </w:r>
      <w:r>
        <w:rPr>
          <w:rFonts w:hint="eastAsia"/>
          <w:sz w:val="21"/>
          <w:szCs w:val="21"/>
        </w:rPr>
        <w:t>类基金份额的申购等款项应来自投资者个人养老金资金账户，本基金</w:t>
      </w:r>
      <w:r>
        <w:rPr>
          <w:rFonts w:hint="eastAsia"/>
          <w:sz w:val="21"/>
          <w:szCs w:val="21"/>
        </w:rPr>
        <w:t>Y</w:t>
      </w:r>
      <w:r>
        <w:rPr>
          <w:rFonts w:hint="eastAsia"/>
          <w:sz w:val="21"/>
          <w:szCs w:val="21"/>
        </w:rPr>
        <w:t>类基金份额的赎回等款项将转入投资者个人养老金资金账户，个人养老金相关制度另有规定的除外。</w:t>
      </w:r>
      <w:r>
        <w:rPr>
          <w:rFonts w:hint="eastAsia"/>
          <w:sz w:val="21"/>
          <w:szCs w:val="21"/>
        </w:rPr>
        <w:t xml:space="preserve"> </w:t>
      </w:r>
    </w:p>
    <w:p w:rsidR="00000000" w:rsidRDefault="00B30E07">
      <w:pPr>
        <w:pStyle w:val="aa"/>
        <w:spacing w:before="0" w:beforeAutospacing="0" w:after="0" w:afterAutospacing="0" w:line="360" w:lineRule="auto"/>
        <w:ind w:firstLineChars="200" w:firstLine="420"/>
        <w:rPr>
          <w:rFonts w:hint="eastAsia"/>
          <w:sz w:val="21"/>
          <w:szCs w:val="21"/>
        </w:rPr>
      </w:pPr>
      <w:r>
        <w:rPr>
          <w:rFonts w:hint="eastAsia"/>
          <w:sz w:val="21"/>
          <w:szCs w:val="21"/>
        </w:rPr>
        <w:t>3</w:t>
      </w:r>
      <w:r>
        <w:rPr>
          <w:rFonts w:hint="eastAsia"/>
          <w:sz w:val="21"/>
          <w:szCs w:val="21"/>
        </w:rPr>
        <w:t>、赎回申请的确认</w:t>
      </w:r>
      <w:r>
        <w:rPr>
          <w:rFonts w:hint="eastAsia"/>
          <w:sz w:val="21"/>
          <w:szCs w:val="21"/>
        </w:rPr>
        <w:t xml:space="preserve"> </w:t>
      </w:r>
    </w:p>
    <w:p w:rsidR="00000000" w:rsidRDefault="00B30E07">
      <w:pPr>
        <w:pStyle w:val="aa"/>
        <w:spacing w:before="0" w:beforeAutospacing="0" w:after="0" w:afterAutospacing="0" w:line="360" w:lineRule="auto"/>
        <w:ind w:firstLineChars="200" w:firstLine="420"/>
        <w:rPr>
          <w:rFonts w:hint="eastAsia"/>
          <w:sz w:val="21"/>
          <w:szCs w:val="21"/>
        </w:rPr>
      </w:pPr>
      <w:r>
        <w:rPr>
          <w:rFonts w:hint="eastAsia"/>
          <w:sz w:val="21"/>
          <w:szCs w:val="21"/>
        </w:rPr>
        <w:t>基金管理人应以交易时间结束前受理有效赎回申请的当天作为赎回申请日</w:t>
      </w:r>
      <w:r>
        <w:rPr>
          <w:rFonts w:hint="eastAsia"/>
          <w:sz w:val="21"/>
          <w:szCs w:val="21"/>
        </w:rPr>
        <w:t>(T</w:t>
      </w:r>
      <w:r>
        <w:rPr>
          <w:rFonts w:hint="eastAsia"/>
          <w:sz w:val="21"/>
          <w:szCs w:val="21"/>
        </w:rPr>
        <w:t>日</w:t>
      </w:r>
      <w:r>
        <w:rPr>
          <w:rFonts w:hint="eastAsia"/>
          <w:sz w:val="21"/>
          <w:szCs w:val="21"/>
        </w:rPr>
        <w:t>)</w:t>
      </w:r>
      <w:r>
        <w:rPr>
          <w:rFonts w:hint="eastAsia"/>
          <w:sz w:val="21"/>
          <w:szCs w:val="21"/>
        </w:rPr>
        <w:t>，在正常情况下，本基金登记机构在</w:t>
      </w:r>
      <w:r>
        <w:rPr>
          <w:rFonts w:hint="eastAsia"/>
          <w:sz w:val="21"/>
          <w:szCs w:val="21"/>
        </w:rPr>
        <w:t>T+3</w:t>
      </w:r>
      <w:r>
        <w:rPr>
          <w:rFonts w:hint="eastAsia"/>
          <w:sz w:val="21"/>
          <w:szCs w:val="21"/>
        </w:rPr>
        <w:t>日内对该交易的有效性进行确认。</w:t>
      </w:r>
      <w:r>
        <w:rPr>
          <w:rFonts w:hint="eastAsia"/>
          <w:sz w:val="21"/>
          <w:szCs w:val="21"/>
        </w:rPr>
        <w:t>T</w:t>
      </w:r>
      <w:r>
        <w:rPr>
          <w:rFonts w:hint="eastAsia"/>
          <w:sz w:val="21"/>
          <w:szCs w:val="21"/>
        </w:rPr>
        <w:t>日提交的有效申请，投资人应在</w:t>
      </w:r>
      <w:r>
        <w:rPr>
          <w:rFonts w:hint="eastAsia"/>
          <w:sz w:val="21"/>
          <w:szCs w:val="21"/>
        </w:rPr>
        <w:t>T+4</w:t>
      </w:r>
      <w:r>
        <w:rPr>
          <w:rFonts w:hint="eastAsia"/>
          <w:sz w:val="21"/>
          <w:szCs w:val="21"/>
        </w:rPr>
        <w:t>日后</w:t>
      </w:r>
      <w:r>
        <w:rPr>
          <w:rFonts w:hint="eastAsia"/>
          <w:sz w:val="21"/>
          <w:szCs w:val="21"/>
        </w:rPr>
        <w:t>(</w:t>
      </w:r>
      <w:r>
        <w:rPr>
          <w:rFonts w:hint="eastAsia"/>
          <w:sz w:val="21"/>
          <w:szCs w:val="21"/>
        </w:rPr>
        <w:t>包括该日</w:t>
      </w:r>
      <w:r>
        <w:rPr>
          <w:rFonts w:hint="eastAsia"/>
          <w:sz w:val="21"/>
          <w:szCs w:val="21"/>
        </w:rPr>
        <w:t>)</w:t>
      </w:r>
      <w:r>
        <w:rPr>
          <w:rFonts w:hint="eastAsia"/>
          <w:sz w:val="21"/>
          <w:szCs w:val="21"/>
        </w:rPr>
        <w:t>及时到销售网点柜台或以销售机构规定的其他方式查询申请的确认情况。</w:t>
      </w:r>
    </w:p>
    <w:p w:rsidR="00000000" w:rsidRDefault="00B30E07">
      <w:pPr>
        <w:pStyle w:val="aa"/>
        <w:spacing w:before="0" w:beforeAutospacing="0" w:after="0" w:afterAutospacing="0" w:line="360" w:lineRule="auto"/>
        <w:ind w:firstLineChars="200" w:firstLine="420"/>
        <w:rPr>
          <w:rFonts w:hint="eastAsia"/>
          <w:sz w:val="21"/>
          <w:szCs w:val="21"/>
        </w:rPr>
      </w:pPr>
      <w:r>
        <w:rPr>
          <w:rFonts w:hint="eastAsia"/>
          <w:sz w:val="21"/>
          <w:szCs w:val="21"/>
        </w:rPr>
        <w:t>基金销售机构对赎回申请的受理并不</w:t>
      </w:r>
      <w:r>
        <w:rPr>
          <w:rFonts w:hint="eastAsia"/>
          <w:sz w:val="21"/>
          <w:szCs w:val="21"/>
        </w:rPr>
        <w:t>代表申请一定成功，而仅代表销售机构确实接收到申请。赎回的确认以登记机构的确认结果为准。对于申请的确认情况，投资者应及时查询。</w:t>
      </w:r>
      <w:r>
        <w:rPr>
          <w:rFonts w:hint="eastAsia"/>
          <w:sz w:val="21"/>
          <w:szCs w:val="21"/>
        </w:rPr>
        <w:t xml:space="preserve"> </w:t>
      </w:r>
    </w:p>
    <w:p w:rsidR="00000000" w:rsidRDefault="00B30E07">
      <w:pPr>
        <w:pStyle w:val="aa"/>
        <w:spacing w:before="0" w:beforeAutospacing="0" w:after="0" w:afterAutospacing="0" w:line="360" w:lineRule="auto"/>
        <w:ind w:firstLineChars="200" w:firstLine="420"/>
        <w:rPr>
          <w:rFonts w:hint="eastAsia"/>
          <w:sz w:val="21"/>
          <w:szCs w:val="21"/>
        </w:rPr>
      </w:pPr>
      <w:r>
        <w:rPr>
          <w:rFonts w:hint="eastAsia"/>
          <w:sz w:val="21"/>
          <w:szCs w:val="21"/>
        </w:rPr>
        <w:t>在法律法规允许的范围内，本基金登记机构可根据相关业务规则，对上述业务办理时间进行调整，本基金管理人将于开始实施前按照有关规定予以公告。</w:t>
      </w:r>
      <w:r>
        <w:rPr>
          <w:rFonts w:hint="eastAsia"/>
          <w:sz w:val="21"/>
          <w:szCs w:val="21"/>
        </w:rPr>
        <w:t xml:space="preserve"> </w:t>
      </w:r>
    </w:p>
    <w:p w:rsidR="00000000" w:rsidRDefault="00B30E07">
      <w:pPr>
        <w:pStyle w:val="aa"/>
        <w:spacing w:before="0" w:beforeAutospacing="0" w:after="0" w:afterAutospacing="0" w:line="360" w:lineRule="auto"/>
        <w:ind w:firstLineChars="200" w:firstLine="420"/>
        <w:rPr>
          <w:rFonts w:hint="eastAsia"/>
          <w:sz w:val="21"/>
          <w:szCs w:val="21"/>
        </w:rPr>
      </w:pPr>
      <w:r>
        <w:rPr>
          <w:rFonts w:hint="eastAsia"/>
          <w:sz w:val="21"/>
          <w:szCs w:val="21"/>
        </w:rPr>
        <w:t>4</w:t>
      </w:r>
      <w:r>
        <w:rPr>
          <w:rFonts w:hint="eastAsia"/>
          <w:sz w:val="21"/>
          <w:szCs w:val="21"/>
        </w:rPr>
        <w:t>、如有任何疑问，欢迎与我们联系：</w:t>
      </w:r>
      <w:r>
        <w:rPr>
          <w:rFonts w:hint="eastAsia"/>
          <w:sz w:val="21"/>
          <w:szCs w:val="21"/>
        </w:rPr>
        <w:t xml:space="preserve"> </w:t>
      </w:r>
    </w:p>
    <w:p w:rsidR="00000000" w:rsidRDefault="00B30E07">
      <w:pPr>
        <w:pStyle w:val="aa"/>
        <w:spacing w:before="0" w:beforeAutospacing="0" w:after="0" w:afterAutospacing="0" w:line="360" w:lineRule="auto"/>
        <w:ind w:firstLineChars="200" w:firstLine="420"/>
        <w:rPr>
          <w:rFonts w:hint="eastAsia"/>
          <w:sz w:val="21"/>
          <w:szCs w:val="21"/>
        </w:rPr>
      </w:pPr>
      <w:r>
        <w:rPr>
          <w:rFonts w:hint="eastAsia"/>
          <w:sz w:val="21"/>
          <w:szCs w:val="21"/>
        </w:rPr>
        <w:t>客户服务中心电话：</w:t>
      </w:r>
      <w:r>
        <w:rPr>
          <w:rFonts w:hint="eastAsia"/>
          <w:sz w:val="21"/>
          <w:szCs w:val="21"/>
        </w:rPr>
        <w:t>400-811-9999</w:t>
      </w:r>
      <w:r>
        <w:rPr>
          <w:rFonts w:hint="eastAsia"/>
          <w:sz w:val="21"/>
          <w:szCs w:val="21"/>
        </w:rPr>
        <w:br/>
      </w:r>
      <w:r>
        <w:rPr>
          <w:rFonts w:hint="eastAsia"/>
          <w:sz w:val="21"/>
          <w:szCs w:val="21"/>
        </w:rPr>
        <w:t xml:space="preserve">　　电子邮件地址：</w:t>
      </w:r>
      <w:r>
        <w:rPr>
          <w:rFonts w:hint="eastAsia"/>
          <w:sz w:val="21"/>
          <w:szCs w:val="21"/>
        </w:rPr>
        <w:t>customerservice@icbcubs.com.cn</w:t>
      </w:r>
      <w:r>
        <w:rPr>
          <w:rFonts w:hint="eastAsia"/>
          <w:sz w:val="21"/>
          <w:szCs w:val="21"/>
        </w:rPr>
        <w:br/>
      </w:r>
      <w:r>
        <w:rPr>
          <w:rFonts w:hint="eastAsia"/>
          <w:sz w:val="21"/>
          <w:szCs w:val="21"/>
        </w:rPr>
        <w:t xml:space="preserve">　　</w:t>
      </w:r>
      <w:r>
        <w:rPr>
          <w:rFonts w:hint="eastAsia"/>
          <w:sz w:val="21"/>
          <w:szCs w:val="21"/>
        </w:rPr>
        <w:t>5</w:t>
      </w:r>
      <w:r>
        <w:rPr>
          <w:rFonts w:hint="eastAsia"/>
          <w:sz w:val="21"/>
          <w:szCs w:val="21"/>
        </w:rPr>
        <w:t>、风险提示：本基金管理人承诺以诚实信用、勤勉尽责的原则管理和运用基金资产，但不</w:t>
      </w:r>
      <w:r>
        <w:rPr>
          <w:rFonts w:hint="eastAsia"/>
          <w:sz w:val="21"/>
          <w:szCs w:val="21"/>
        </w:rPr>
        <w:t>保证基金一定盈利，也不保证最低收益。本基金名称中含有“养老目标”字样，并不代表收益保障或其他任何形式的收益承诺，本基金不保本，可能发生亏损。敬请投资者于投资前认真阅读本基金的《基金产品资料概要》、《基金合同》和《招募说明书》。</w:t>
      </w:r>
      <w:r>
        <w:rPr>
          <w:rFonts w:hint="eastAsia"/>
          <w:sz w:val="21"/>
          <w:szCs w:val="21"/>
        </w:rPr>
        <w:t xml:space="preserve"> </w:t>
      </w:r>
    </w:p>
    <w:p w:rsidR="00000000" w:rsidRDefault="00B30E07">
      <w:pPr>
        <w:spacing w:line="360" w:lineRule="auto"/>
        <w:ind w:firstLineChars="600" w:firstLine="1446"/>
        <w:jc w:val="left"/>
        <w:rPr>
          <w:rFonts w:hint="eastAsia"/>
        </w:rPr>
      </w:pPr>
      <w:r>
        <w:rPr>
          <w:rFonts w:hint="eastAsia"/>
          <w:b/>
          <w:bCs/>
          <w:sz w:val="24"/>
          <w:szCs w:val="30"/>
        </w:rPr>
        <w:t xml:space="preserve">　</w:t>
      </w:r>
      <w:r>
        <w:rPr>
          <w:rFonts w:hint="eastAsia"/>
          <w:b/>
          <w:bCs/>
          <w:sz w:val="24"/>
          <w:szCs w:val="30"/>
        </w:rPr>
        <w:t xml:space="preserve"> </w:t>
      </w:r>
    </w:p>
    <w:p w:rsidR="00000000" w:rsidRDefault="00B30E07">
      <w:pPr>
        <w:spacing w:line="360" w:lineRule="auto"/>
        <w:ind w:firstLineChars="600" w:firstLine="1446"/>
        <w:jc w:val="right"/>
        <w:rPr>
          <w:rFonts w:hint="eastAsia"/>
        </w:rPr>
      </w:pPr>
      <w:r>
        <w:rPr>
          <w:rFonts w:hint="eastAsia"/>
          <w:b/>
          <w:bCs/>
          <w:sz w:val="24"/>
          <w:szCs w:val="30"/>
        </w:rPr>
        <w:t xml:space="preserve">　</w:t>
      </w:r>
      <w:r>
        <w:rPr>
          <w:rFonts w:hint="eastAsia"/>
          <w:b/>
          <w:bCs/>
          <w:sz w:val="24"/>
          <w:szCs w:val="30"/>
        </w:rPr>
        <w:t xml:space="preserve"> </w:t>
      </w:r>
      <w:bookmarkEnd w:id="24"/>
    </w:p>
    <w:sectPr w:rsidR="00000000">
      <w:headerReference w:type="default" r:id="rId7"/>
      <w:footerReference w:type="default" r:id="rId8"/>
      <w:headerReference w:type="first" r:id="rId9"/>
      <w:footerReference w:type="first" r:id="rId10"/>
      <w:pgSz w:w="11907" w:h="16839"/>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B30E07">
      <w:r>
        <w:separator/>
      </w:r>
    </w:p>
  </w:endnote>
  <w:endnote w:type="continuationSeparator" w:id="0">
    <w:p w:rsidR="00000000" w:rsidRDefault="00B30E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Microsoft YaHei UI">
    <w:charset w:val="86"/>
    <w:family w:val="swiss"/>
    <w:pitch w:val="default"/>
    <w:sig w:usb0="80000287" w:usb1="2ACF3C50" w:usb2="00000016" w:usb3="00000000" w:csb0="0004001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30E07">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noProof/>
        <w:sz w:val="18"/>
        <w:szCs w:val="18"/>
      </w:rPr>
      <w:t>2</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30E07">
    <w:pPr>
      <w:pStyle w:val="a6"/>
      <w:rPr>
        <w:rFonts w:hint="eastAsia"/>
      </w:rPr>
    </w:pPr>
  </w:p>
  <w:p w:rsidR="00000000" w:rsidRDefault="00B30E07">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Pr>
        <w:noProof/>
        <w:sz w:val="18"/>
        <w:szCs w:val="18"/>
      </w:rPr>
      <w:t>1</w:t>
    </w:r>
    <w:r>
      <w:rPr>
        <w:rFonts w:hint="eastAsia"/>
        <w:sz w:val="18"/>
        <w:szCs w:val="18"/>
      </w:rPr>
      <w:fldChar w:fldCharType="end"/>
    </w:r>
    <w:r>
      <w:rPr>
        <w:rFonts w:hint="eastAsia"/>
        <w:sz w:val="18"/>
        <w:szCs w:val="18"/>
        <w:lang w:val="zh-CN"/>
      </w:rPr>
      <w:t>页</w:t>
    </w:r>
    <w:r>
      <w:rPr>
        <w:rFonts w:hint="eastAsia"/>
        <w:sz w:val="18"/>
        <w:szCs w:val="18"/>
        <w:lang w:val="zh-CN"/>
      </w:rPr>
      <w:t xml:space="preserve"> </w:t>
    </w:r>
    <w:r>
      <w:rPr>
        <w:rFonts w:hint="eastAsia"/>
        <w:sz w:val="18"/>
        <w:szCs w:val="18"/>
        <w:lang w:val="zh-CN"/>
      </w:rPr>
      <w:t>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000000" w:rsidRDefault="00B30E07">
    <w:pPr>
      <w:pStyle w:val="a6"/>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B30E07">
      <w:r>
        <w:separator/>
      </w:r>
    </w:p>
  </w:footnote>
  <w:footnote w:type="continuationSeparator" w:id="0">
    <w:p w:rsidR="00000000" w:rsidRDefault="00B30E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30E07">
    <w:pPr>
      <w:pStyle w:val="a7"/>
      <w:jc w:val="right"/>
    </w:pPr>
    <w:r>
      <w:rPr>
        <w:rFonts w:hint="eastAsia"/>
      </w:rPr>
      <w:t>工银瑞信养老目标日期</w:t>
    </w:r>
    <w:r>
      <w:rPr>
        <w:rFonts w:hint="eastAsia"/>
      </w:rPr>
      <w:t>2035</w:t>
    </w:r>
    <w:r>
      <w:rPr>
        <w:rFonts w:hint="eastAsia"/>
      </w:rPr>
      <w:t>三年持有期混合型基金中基金（</w:t>
    </w:r>
    <w:r>
      <w:rPr>
        <w:rFonts w:hint="eastAsia"/>
      </w:rPr>
      <w:t>FOF</w:t>
    </w:r>
    <w:r>
      <w:rPr>
        <w:rFonts w:hint="eastAsia"/>
      </w:rPr>
      <w:t>）</w:t>
    </w:r>
    <w:r>
      <w:rPr>
        <w:rFonts w:hint="eastAsia"/>
      </w:rPr>
      <w:t>Y</w:t>
    </w:r>
    <w:r>
      <w:rPr>
        <w:rFonts w:hint="eastAsia"/>
      </w:rPr>
      <w:t>类基金份额开放日常赎回业务的公告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30E07">
    <w:pPr>
      <w:pStyle w:val="a7"/>
      <w:jc w:val="right"/>
      <w:rPr>
        <w:rFonts w:hint="eastAsia"/>
      </w:rPr>
    </w:pPr>
    <w:r>
      <w:rPr>
        <w:rFonts w:hint="eastAsia"/>
      </w:rPr>
      <w:t>工银瑞信养老目标日期</w:t>
    </w:r>
    <w:r>
      <w:rPr>
        <w:rFonts w:hint="eastAsia"/>
      </w:rPr>
      <w:t>2035</w:t>
    </w:r>
    <w:r>
      <w:rPr>
        <w:rFonts w:hint="eastAsia"/>
      </w:rPr>
      <w:t>三年持有期混合型基金中基金（</w:t>
    </w:r>
    <w:r>
      <w:rPr>
        <w:rFonts w:hint="eastAsia"/>
      </w:rPr>
      <w:t>FOF</w:t>
    </w:r>
    <w:r>
      <w:rPr>
        <w:rFonts w:hint="eastAsia"/>
      </w:rPr>
      <w:t>）</w:t>
    </w:r>
    <w:r>
      <w:rPr>
        <w:rFonts w:hint="eastAsia"/>
      </w:rPr>
      <w:t>Y</w:t>
    </w:r>
    <w:r>
      <w:rPr>
        <w:rFonts w:hint="eastAsia"/>
      </w:rPr>
      <w:t>类基金份额开放日常赎回业务的公告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547D73EE"/>
    <w:lvl w:ilvl="0">
      <w:start w:val="1"/>
      <w:numFmt w:val="decimal"/>
      <w:suff w:val="space"/>
      <w:lvlText w:val="%1"/>
      <w:lvlJc w:val="left"/>
      <w:pPr>
        <w:ind w:left="425" w:hanging="425"/>
      </w:pPr>
      <w:rPr>
        <w:sz w:val="24"/>
        <w:szCs w:val="24"/>
      </w:rPr>
    </w:lvl>
    <w:lvl w:ilvl="1">
      <w:start w:val="1"/>
      <w:numFmt w:val="decimal"/>
      <w:suff w:val="space"/>
      <w:lvlText w:val="%1.%2"/>
      <w:lvlJc w:val="left"/>
      <w:pPr>
        <w:ind w:left="454"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bordersDoNotSurroundHeader/>
  <w:bordersDoNotSurroundFooter/>
  <w:attachedTemplate r:id="rId1"/>
  <w:trackRevisions/>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76720"/>
    <w:rsid w:val="003F79AD"/>
    <w:rsid w:val="00476720"/>
    <w:rsid w:val="008058B4"/>
    <w:rsid w:val="00B30E07"/>
    <w:rsid w:val="00E77A32"/>
    <w:rsid w:val="0A002CAB"/>
    <w:rsid w:val="0FED3DE9"/>
    <w:rsid w:val="1F62080A"/>
    <w:rsid w:val="370C1C7F"/>
    <w:rsid w:val="49B26077"/>
    <w:rsid w:val="49D01CA0"/>
    <w:rsid w:val="690470DA"/>
    <w:rsid w:val="6B2931DC"/>
    <w:rsid w:val="6EA33813"/>
    <w:rsid w:val="77651AD4"/>
    <w:rsid w:val="F7DECDC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lsdException w:name="Subtitle" w:semiHidden="0" w:uiPriority="0" w:unhideWhenUsed="0" w:qFormat="1"/>
    <w:lsdException w:name="Date" w:semiHidden="0" w:uiPriority="0" w:unhideWhenUsed="0"/>
    <w:lsdException w:name="Hyperlink" w:semiHidden="0"/>
    <w:lsdException w:name="FollowedHyperlink" w:semiHidden="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Normal Table" w:semiHidden="0"/>
    <w:lsdException w:name="Balloon Text" w:semiHidden="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rPr>
  </w:style>
  <w:style w:type="paragraph" w:styleId="5">
    <w:name w:val="heading 5"/>
    <w:basedOn w:val="a"/>
    <w:next w:val="a"/>
    <w:link w:val="5Char1"/>
    <w:uiPriority w:val="9"/>
    <w:qFormat/>
    <w:pPr>
      <w:keepNext/>
      <w:keepLines/>
      <w:spacing w:before="240" w:after="290" w:line="372" w:lineRule="auto"/>
      <w:outlineLvl w:val="4"/>
    </w:pPr>
    <w:rPr>
      <w:b/>
      <w:bCs/>
      <w:sz w:val="24"/>
      <w:szCs w:val="24"/>
    </w:rPr>
  </w:style>
  <w:style w:type="paragraph" w:styleId="6">
    <w:name w:val="heading 6"/>
    <w:basedOn w:val="a"/>
    <w:next w:val="a"/>
    <w:link w:val="6Char1"/>
    <w:uiPriority w:val="9"/>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Times New Roman" w:hint="default"/>
      <w:b/>
      <w:bCs/>
      <w:kern w:val="2"/>
      <w:sz w:val="32"/>
      <w:szCs w:val="32"/>
    </w:rPr>
  </w:style>
  <w:style w:type="character" w:customStyle="1" w:styleId="3Char1">
    <w:name w:val="标题 3 Char1"/>
    <w:link w:val="3"/>
    <w:uiPriority w:val="9"/>
    <w:locked/>
    <w:rPr>
      <w:b/>
      <w:bCs/>
      <w:kern w:val="2"/>
      <w:sz w:val="32"/>
      <w:szCs w:val="32"/>
    </w:rPr>
  </w:style>
  <w:style w:type="character" w:customStyle="1" w:styleId="4Char1">
    <w:name w:val="标题 4 Char1"/>
    <w:link w:val="4"/>
    <w:locked/>
    <w:rPr>
      <w:rFonts w:ascii="Cambria" w:eastAsia="宋体" w:hAnsi="Cambria" w:cs="Times New Roman" w:hint="default"/>
      <w:b/>
      <w:bCs/>
      <w:kern w:val="2"/>
      <w:sz w:val="24"/>
      <w:szCs w:val="24"/>
    </w:rPr>
  </w:style>
  <w:style w:type="character" w:customStyle="1" w:styleId="5Char1">
    <w:name w:val="标题 5 Char1"/>
    <w:link w:val="5"/>
    <w:uiPriority w:val="9"/>
    <w:semiHidden/>
    <w:rPr>
      <w:rFonts w:cs="宋体"/>
      <w:b/>
      <w:bCs/>
      <w:kern w:val="2"/>
      <w:sz w:val="28"/>
      <w:szCs w:val="28"/>
    </w:rPr>
  </w:style>
  <w:style w:type="character" w:customStyle="1" w:styleId="6Char1">
    <w:name w:val="标题 6 Char1"/>
    <w:link w:val="6"/>
    <w:uiPriority w:val="9"/>
    <w:semiHidden/>
    <w:rPr>
      <w:rFonts w:ascii="Cambria" w:eastAsia="宋体" w:hAnsi="Cambria" w:cs="Times New Roman"/>
      <w:b/>
      <w:bCs/>
      <w:kern w:val="2"/>
      <w:sz w:val="24"/>
      <w:szCs w:val="24"/>
    </w:rPr>
  </w:style>
  <w:style w:type="paragraph" w:styleId="a3">
    <w:name w:val="Document Map"/>
    <w:basedOn w:val="a"/>
    <w:link w:val="Char1"/>
    <w:pPr>
      <w:shd w:val="clear" w:color="auto" w:fill="000080"/>
    </w:pPr>
  </w:style>
  <w:style w:type="character" w:customStyle="1" w:styleId="Char1">
    <w:name w:val="文档结构图 Char1"/>
    <w:link w:val="a3"/>
    <w:locked/>
    <w:rPr>
      <w:rFonts w:ascii="Microsoft YaHei UI" w:eastAsia="Microsoft YaHei UI" w:hAnsi="Microsoft YaHei UI" w:hint="eastAsia"/>
      <w:kern w:val="2"/>
      <w:sz w:val="18"/>
      <w:szCs w:val="18"/>
    </w:rPr>
  </w:style>
  <w:style w:type="paragraph" w:styleId="30">
    <w:name w:val="toc 3"/>
    <w:basedOn w:val="a"/>
    <w:next w:val="a"/>
    <w:uiPriority w:val="39"/>
    <w:unhideWhenUsed/>
    <w:pPr>
      <w:ind w:leftChars="200" w:left="420"/>
    </w:pPr>
  </w:style>
  <w:style w:type="paragraph" w:styleId="a4">
    <w:name w:val="Date"/>
    <w:basedOn w:val="a"/>
    <w:next w:val="a"/>
    <w:link w:val="Char10"/>
    <w:rPr>
      <w:sz w:val="32"/>
    </w:rPr>
  </w:style>
  <w:style w:type="character" w:customStyle="1" w:styleId="Char10">
    <w:name w:val="日期 Char1"/>
    <w:link w:val="a4"/>
    <w:locked/>
    <w:rPr>
      <w:kern w:val="2"/>
      <w:sz w:val="21"/>
    </w:rPr>
  </w:style>
  <w:style w:type="paragraph" w:styleId="a5">
    <w:name w:val="Balloon Text"/>
    <w:basedOn w:val="a"/>
    <w:link w:val="Char11"/>
    <w:uiPriority w:val="99"/>
    <w:unhideWhenUsed/>
    <w:rPr>
      <w:sz w:val="18"/>
      <w:szCs w:val="18"/>
    </w:rPr>
  </w:style>
  <w:style w:type="character" w:customStyle="1" w:styleId="Char11">
    <w:name w:val="批注框文本 Char1"/>
    <w:link w:val="a5"/>
    <w:uiPriority w:val="99"/>
    <w:semiHidden/>
    <w:locked/>
    <w:rPr>
      <w:kern w:val="2"/>
      <w:sz w:val="18"/>
      <w:szCs w:val="18"/>
    </w:rPr>
  </w:style>
  <w:style w:type="paragraph" w:styleId="a6">
    <w:name w:val="footer"/>
    <w:basedOn w:val="a"/>
    <w:link w:val="Char2"/>
    <w:uiPriority w:val="99"/>
    <w:pPr>
      <w:tabs>
        <w:tab w:val="center" w:pos="4153"/>
        <w:tab w:val="right" w:pos="8306"/>
      </w:tabs>
      <w:snapToGrid w:val="0"/>
      <w:jc w:val="left"/>
    </w:pPr>
    <w:rPr>
      <w:sz w:val="18"/>
      <w:szCs w:val="18"/>
    </w:rPr>
  </w:style>
  <w:style w:type="character" w:customStyle="1" w:styleId="Char2">
    <w:name w:val="页脚 Char2"/>
    <w:link w:val="a6"/>
    <w:uiPriority w:val="99"/>
    <w:locked/>
    <w:rPr>
      <w:kern w:val="2"/>
      <w:sz w:val="18"/>
      <w:szCs w:val="18"/>
    </w:rPr>
  </w:style>
  <w:style w:type="paragraph" w:styleId="a7">
    <w:name w:val="header"/>
    <w:basedOn w:val="a"/>
    <w:link w:val="Char20"/>
    <w:uiPriority w:val="99"/>
    <w:pPr>
      <w:pBdr>
        <w:bottom w:val="single" w:sz="6" w:space="1" w:color="auto"/>
      </w:pBdr>
      <w:tabs>
        <w:tab w:val="center" w:pos="4153"/>
        <w:tab w:val="right" w:pos="8306"/>
      </w:tabs>
      <w:snapToGrid w:val="0"/>
      <w:jc w:val="center"/>
    </w:pPr>
    <w:rPr>
      <w:sz w:val="18"/>
      <w:szCs w:val="18"/>
    </w:rPr>
  </w:style>
  <w:style w:type="character" w:customStyle="1" w:styleId="Char20">
    <w:name w:val="页眉 Char2"/>
    <w:link w:val="a7"/>
    <w:uiPriority w:val="99"/>
    <w:locked/>
    <w:rPr>
      <w:kern w:val="2"/>
      <w:sz w:val="18"/>
      <w:szCs w:val="18"/>
    </w:rPr>
  </w:style>
  <w:style w:type="paragraph" w:styleId="10">
    <w:name w:val="toc 1"/>
    <w:basedOn w:val="a"/>
    <w:next w:val="a"/>
    <w:uiPriority w:val="39"/>
    <w:unhideWhenUsed/>
    <w:pPr>
      <w:tabs>
        <w:tab w:val="right" w:leader="dot" w:pos="8835"/>
      </w:tabs>
    </w:pPr>
    <w:rPr>
      <w:lang w:val="en-US" w:eastAsia="zh-CN"/>
    </w:rPr>
  </w:style>
  <w:style w:type="paragraph" w:styleId="a8">
    <w:name w:val="Subtitle"/>
    <w:basedOn w:val="2"/>
    <w:next w:val="3"/>
    <w:link w:val="Char12"/>
    <w:qFormat/>
    <w:pPr>
      <w:spacing w:before="240" w:after="60" w:line="312" w:lineRule="auto"/>
      <w:jc w:val="left"/>
    </w:pPr>
    <w:rPr>
      <w:bCs w:val="0"/>
      <w:kern w:val="24"/>
      <w:sz w:val="24"/>
    </w:rPr>
  </w:style>
  <w:style w:type="character" w:customStyle="1" w:styleId="Char12">
    <w:name w:val="副标题 Char1"/>
    <w:link w:val="a8"/>
    <w:locked/>
    <w:rPr>
      <w:rFonts w:ascii="Calibri" w:eastAsia="宋体" w:hAnsi="Calibri" w:cs="Times New Roman" w:hint="default"/>
      <w:b/>
      <w:bCs/>
      <w:kern w:val="24"/>
      <w:sz w:val="32"/>
      <w:szCs w:val="32"/>
    </w:rPr>
  </w:style>
  <w:style w:type="paragraph" w:styleId="a9">
    <w:name w:val="footnote text"/>
    <w:basedOn w:val="a"/>
    <w:link w:val="Char13"/>
    <w:pPr>
      <w:snapToGrid w:val="0"/>
      <w:jc w:val="left"/>
    </w:pPr>
    <w:rPr>
      <w:sz w:val="18"/>
      <w:szCs w:val="18"/>
    </w:rPr>
  </w:style>
  <w:style w:type="character" w:customStyle="1" w:styleId="Char13">
    <w:name w:val="脚注文本 Char1"/>
    <w:link w:val="a9"/>
    <w:locked/>
    <w:rPr>
      <w:kern w:val="2"/>
      <w:sz w:val="18"/>
      <w:szCs w:val="18"/>
    </w:rPr>
  </w:style>
  <w:style w:type="paragraph" w:styleId="20">
    <w:name w:val="toc 2"/>
    <w:basedOn w:val="a"/>
    <w:next w:val="a"/>
    <w:uiPriority w:val="39"/>
    <w:unhideWhenUsed/>
    <w:pPr>
      <w:ind w:leftChars="200" w:left="420"/>
    </w:pPr>
  </w:style>
  <w:style w:type="paragraph" w:styleId="aa">
    <w:name w:val="Normal (Web)"/>
    <w:basedOn w:val="a"/>
    <w:pPr>
      <w:widowControl/>
      <w:spacing w:before="100" w:beforeAutospacing="1" w:after="100" w:afterAutospacing="1"/>
      <w:jc w:val="left"/>
    </w:pPr>
    <w:rPr>
      <w:kern w:val="0"/>
      <w:sz w:val="24"/>
    </w:rPr>
  </w:style>
  <w:style w:type="paragraph" w:styleId="ab">
    <w:name w:val="Title"/>
    <w:basedOn w:val="1"/>
    <w:next w:val="2"/>
    <w:link w:val="Char14"/>
    <w:uiPriority w:val="10"/>
    <w:qFormat/>
    <w:pPr>
      <w:keepNext w:val="0"/>
      <w:keepLines w:val="0"/>
      <w:spacing w:before="240" w:after="60" w:line="240" w:lineRule="auto"/>
      <w:jc w:val="center"/>
    </w:pPr>
    <w:rPr>
      <w:rFonts w:ascii="Cambria" w:hAnsi="Cambria"/>
      <w:kern w:val="0"/>
      <w:sz w:val="32"/>
      <w:szCs w:val="32"/>
    </w:rPr>
  </w:style>
  <w:style w:type="character" w:customStyle="1" w:styleId="Char14">
    <w:name w:val="标题 Char1"/>
    <w:link w:val="ab"/>
    <w:uiPriority w:val="10"/>
    <w:locked/>
    <w:rPr>
      <w:rFonts w:ascii="Cambria" w:eastAsia="宋体" w:hAnsi="Cambria" w:cs="Times New Roman" w:hint="default"/>
      <w:b/>
      <w:bCs/>
      <w:kern w:val="2"/>
      <w:sz w:val="32"/>
      <w:szCs w:val="32"/>
    </w:rPr>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FollowedHyperlink"/>
    <w:uiPriority w:val="99"/>
    <w:unhideWhenUsed/>
    <w:rPr>
      <w:color w:val="800080"/>
      <w:u w:val="single"/>
    </w:rPr>
  </w:style>
  <w:style w:type="character" w:styleId="ae">
    <w:name w:val="Hyperlink"/>
    <w:uiPriority w:val="99"/>
    <w:unhideWhenUsed/>
    <w:rPr>
      <w:color w:val="0000FF"/>
      <w:u w:val="single"/>
    </w:rPr>
  </w:style>
  <w:style w:type="character" w:styleId="af">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
    <w:name w:val="文档结构图 Char"/>
    <w:link w:val="a3"/>
    <w:locked/>
    <w:rPr>
      <w:rFonts w:ascii="宋体" w:eastAsia="宋体" w:hAnsi="宋体" w:hint="eastAsia"/>
      <w:kern w:val="2"/>
      <w:sz w:val="18"/>
      <w:szCs w:val="18"/>
    </w:rPr>
  </w:style>
  <w:style w:type="character" w:customStyle="1" w:styleId="Char0">
    <w:name w:val="日期 Char"/>
    <w:link w:val="a4"/>
    <w:locked/>
    <w:rPr>
      <w:kern w:val="2"/>
      <w:sz w:val="21"/>
    </w:rPr>
  </w:style>
  <w:style w:type="character" w:customStyle="1" w:styleId="Char3">
    <w:name w:val="批注框文本 Char"/>
    <w:link w:val="a5"/>
    <w:uiPriority w:val="99"/>
    <w:semiHidden/>
    <w:locked/>
    <w:rPr>
      <w:kern w:val="2"/>
      <w:sz w:val="18"/>
      <w:szCs w:val="18"/>
    </w:rPr>
  </w:style>
  <w:style w:type="character" w:customStyle="1" w:styleId="Char4">
    <w:name w:val="页脚 Char"/>
    <w:link w:val="a6"/>
    <w:uiPriority w:val="99"/>
    <w:locked/>
    <w:rPr>
      <w:kern w:val="2"/>
      <w:sz w:val="18"/>
      <w:szCs w:val="18"/>
    </w:rPr>
  </w:style>
  <w:style w:type="character" w:customStyle="1" w:styleId="Char5">
    <w:name w:val="页眉 Char"/>
    <w:link w:val="a7"/>
    <w:uiPriority w:val="99"/>
    <w:locked/>
    <w:rPr>
      <w:kern w:val="2"/>
      <w:sz w:val="18"/>
      <w:szCs w:val="18"/>
    </w:rPr>
  </w:style>
  <w:style w:type="character" w:customStyle="1" w:styleId="Char6">
    <w:name w:val="副标题 Char"/>
    <w:link w:val="a8"/>
    <w:locked/>
    <w:rPr>
      <w:rFonts w:ascii="Cambria" w:hAnsi="Cambria" w:cs="Times New Roman" w:hint="default"/>
      <w:b/>
      <w:bCs/>
      <w:kern w:val="24"/>
      <w:sz w:val="32"/>
      <w:szCs w:val="32"/>
    </w:rPr>
  </w:style>
  <w:style w:type="character" w:customStyle="1" w:styleId="Char7">
    <w:name w:val="脚注文本 Char"/>
    <w:link w:val="a9"/>
    <w:locked/>
    <w:rPr>
      <w:kern w:val="2"/>
      <w:sz w:val="18"/>
      <w:szCs w:val="18"/>
    </w:rPr>
  </w:style>
  <w:style w:type="character" w:customStyle="1" w:styleId="Char8">
    <w:name w:val="标题 Char"/>
    <w:link w:val="ab"/>
    <w:uiPriority w:val="10"/>
    <w:locked/>
    <w:rPr>
      <w:rFonts w:ascii="Cambria" w:hAnsi="Cambria" w:cs="Times New Roman" w:hint="default"/>
      <w:b/>
      <w:bCs/>
      <w:kern w:val="2"/>
      <w:sz w:val="32"/>
      <w:szCs w:val="32"/>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2">
    <w:name w:val="文档结构图 字符1"/>
    <w:link w:val="a3"/>
    <w:locked/>
    <w:rPr>
      <w:rFonts w:ascii="宋体" w:eastAsia="宋体" w:hAnsi="宋体" w:hint="eastAsia"/>
      <w:kern w:val="2"/>
      <w:sz w:val="18"/>
      <w:szCs w:val="18"/>
    </w:rPr>
  </w:style>
  <w:style w:type="character" w:customStyle="1" w:styleId="13">
    <w:name w:val="日期 字符1"/>
    <w:link w:val="a4"/>
    <w:locked/>
    <w:rPr>
      <w:rFonts w:ascii="宋体" w:eastAsia="宋体" w:hAnsi="宋体" w:hint="eastAsia"/>
      <w:kern w:val="2"/>
      <w:sz w:val="32"/>
    </w:rPr>
  </w:style>
  <w:style w:type="character" w:customStyle="1" w:styleId="14">
    <w:name w:val="批注框文本 字符1"/>
    <w:link w:val="a5"/>
    <w:uiPriority w:val="99"/>
    <w:semiHidden/>
    <w:locked/>
    <w:rPr>
      <w:kern w:val="2"/>
      <w:sz w:val="18"/>
      <w:szCs w:val="18"/>
    </w:rPr>
  </w:style>
  <w:style w:type="character" w:customStyle="1" w:styleId="15">
    <w:name w:val="页脚 字符1"/>
    <w:link w:val="a6"/>
    <w:uiPriority w:val="99"/>
    <w:locked/>
    <w:rPr>
      <w:kern w:val="2"/>
      <w:sz w:val="18"/>
      <w:szCs w:val="18"/>
    </w:rPr>
  </w:style>
  <w:style w:type="character" w:customStyle="1" w:styleId="22">
    <w:name w:val="页眉 字符2"/>
    <w:link w:val="a7"/>
    <w:locked/>
    <w:rPr>
      <w:kern w:val="2"/>
      <w:sz w:val="18"/>
      <w:szCs w:val="18"/>
    </w:rPr>
  </w:style>
  <w:style w:type="character" w:customStyle="1" w:styleId="16">
    <w:name w:val="副标题 字符1"/>
    <w:link w:val="a8"/>
    <w:locked/>
    <w:rPr>
      <w:rFonts w:ascii="Cambria" w:eastAsia="宋体" w:hAnsi="Cambria" w:cs="宋体" w:hint="default"/>
      <w:b/>
      <w:bCs w:val="0"/>
      <w:kern w:val="24"/>
      <w:sz w:val="24"/>
      <w:szCs w:val="32"/>
    </w:rPr>
  </w:style>
  <w:style w:type="character" w:customStyle="1" w:styleId="17">
    <w:name w:val="脚注文本 字符1"/>
    <w:link w:val="a9"/>
    <w:locked/>
    <w:rPr>
      <w:kern w:val="2"/>
      <w:sz w:val="18"/>
      <w:szCs w:val="18"/>
    </w:rPr>
  </w:style>
  <w:style w:type="character" w:customStyle="1" w:styleId="18">
    <w:name w:val="标题 字符1"/>
    <w:link w:val="ab"/>
    <w:uiPriority w:val="10"/>
    <w:locked/>
    <w:rPr>
      <w:rFonts w:ascii="Cambria" w:hAnsi="Cambria" w:cs="宋体" w:hint="default"/>
      <w:b/>
      <w:bCs/>
      <w:sz w:val="32"/>
      <w:szCs w:val="32"/>
    </w:rPr>
  </w:style>
  <w:style w:type="paragraph" w:customStyle="1" w:styleId="msonormal0">
    <w:name w:val="msonormal"/>
    <w:basedOn w:val="a"/>
    <w:pPr>
      <w:widowControl/>
      <w:spacing w:before="100" w:beforeAutospacing="1" w:after="100" w:afterAutospacing="1"/>
      <w:jc w:val="left"/>
    </w:pPr>
    <w:rPr>
      <w:kern w:val="0"/>
      <w:sz w:val="24"/>
    </w:rPr>
  </w:style>
  <w:style w:type="paragraph" w:styleId="TOC">
    <w:name w:val="TOC Heading"/>
    <w:basedOn w:val="1"/>
    <w:next w:val="a"/>
    <w:uiPriority w:val="39"/>
    <w:qFormat/>
    <w:pPr>
      <w:widowControl/>
      <w:spacing w:before="480" w:after="0" w:line="276" w:lineRule="auto"/>
      <w:jc w:val="left"/>
      <w:outlineLvl w:val="9"/>
    </w:pPr>
    <w:rPr>
      <w:rFonts w:ascii="Cambria" w:hAnsi="Cambria"/>
      <w:color w:val="365F91"/>
      <w:kern w:val="0"/>
      <w:sz w:val="24"/>
      <w:szCs w:val="24"/>
    </w:rPr>
  </w:style>
  <w:style w:type="paragraph" w:customStyle="1" w:styleId="XBRLTitle6">
    <w:name w:val="XBRLTitle6"/>
    <w:basedOn w:val="a8"/>
    <w:next w:val="4"/>
    <w:qFormat/>
    <w:pPr>
      <w:numPr>
        <w:ilvl w:val="5"/>
        <w:numId w:val="1"/>
      </w:numPr>
      <w:spacing w:beforeLines="50" w:after="0" w:line="240" w:lineRule="auto"/>
      <w:outlineLvl w:val="9"/>
    </w:pPr>
    <w:rPr>
      <w:bCs/>
    </w:rPr>
  </w:style>
  <w:style w:type="paragraph" w:customStyle="1" w:styleId="af0">
    <w:name w:val="次标题"/>
    <w:basedOn w:val="3"/>
    <w:next w:val="a"/>
    <w:pPr>
      <w:spacing w:before="120" w:after="120"/>
      <w:jc w:val="left"/>
    </w:pPr>
    <w:rPr>
      <w:sz w:val="21"/>
    </w:rPr>
  </w:style>
  <w:style w:type="paragraph" w:customStyle="1" w:styleId="XBRL6">
    <w:name w:val="XBRL标题6"/>
    <w:basedOn w:val="a8"/>
    <w:next w:val="4"/>
    <w:qFormat/>
    <w:pPr>
      <w:spacing w:beforeLines="50" w:after="0" w:line="240" w:lineRule="auto"/>
      <w:outlineLvl w:val="9"/>
    </w:pPr>
    <w:rPr>
      <w:bCs/>
    </w:rPr>
  </w:style>
  <w:style w:type="paragraph" w:customStyle="1" w:styleId="XBRL2">
    <w:name w:val="XBRL标题2"/>
    <w:basedOn w:val="a8"/>
    <w:next w:val="4"/>
    <w:qFormat/>
    <w:pPr>
      <w:spacing w:beforeLines="50" w:after="0" w:line="240" w:lineRule="auto"/>
    </w:pPr>
    <w:rPr>
      <w:bCs/>
    </w:rPr>
  </w:style>
  <w:style w:type="paragraph" w:customStyle="1" w:styleId="XBRL3">
    <w:name w:val="XBRL标题3"/>
    <w:basedOn w:val="a8"/>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1"/>
      </w:numPr>
      <w:spacing w:beforeLines="50" w:after="0" w:line="240" w:lineRule="auto"/>
      <w:jc w:val="left"/>
    </w:pPr>
    <w:rPr>
      <w:rFonts w:hAnsi="Cambria"/>
      <w:sz w:val="24"/>
      <w:szCs w:val="32"/>
    </w:rPr>
  </w:style>
  <w:style w:type="paragraph" w:customStyle="1" w:styleId="XBRLTitle2">
    <w:name w:val="XBRLTitle2"/>
    <w:basedOn w:val="a8"/>
    <w:next w:val="4"/>
    <w:qFormat/>
    <w:pPr>
      <w:keepNext w:val="0"/>
      <w:keepLines w:val="0"/>
      <w:numPr>
        <w:ilvl w:val="1"/>
        <w:numId w:val="1"/>
      </w:numPr>
      <w:spacing w:beforeLines="50" w:after="0" w:line="240" w:lineRule="auto"/>
    </w:pPr>
    <w:rPr>
      <w:rFonts w:ascii="宋体"/>
      <w:bCs/>
    </w:rPr>
  </w:style>
  <w:style w:type="paragraph" w:customStyle="1" w:styleId="XBRLTitle5">
    <w:name w:val="XBRLTitle5"/>
    <w:basedOn w:val="a8"/>
    <w:next w:val="4"/>
    <w:qFormat/>
    <w:pPr>
      <w:numPr>
        <w:ilvl w:val="4"/>
        <w:numId w:val="1"/>
      </w:numPr>
      <w:spacing w:beforeLines="50" w:after="0" w:line="240" w:lineRule="auto"/>
      <w:outlineLvl w:val="9"/>
    </w:pPr>
    <w:rPr>
      <w:bCs/>
    </w:rPr>
  </w:style>
  <w:style w:type="paragraph" w:customStyle="1" w:styleId="Char9">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8"/>
    <w:next w:val="4"/>
    <w:qFormat/>
    <w:pPr>
      <w:spacing w:beforeLines="50" w:after="0" w:line="240" w:lineRule="auto"/>
      <w:outlineLvl w:val="9"/>
    </w:pPr>
    <w:rPr>
      <w:bCs/>
    </w:rPr>
  </w:style>
  <w:style w:type="paragraph" w:customStyle="1" w:styleId="XBRL4">
    <w:name w:val="XBRL标题4"/>
    <w:basedOn w:val="a8"/>
    <w:next w:val="4"/>
    <w:qFormat/>
    <w:pPr>
      <w:spacing w:beforeLines="50" w:after="0" w:line="240" w:lineRule="auto"/>
      <w:outlineLvl w:val="9"/>
    </w:pPr>
    <w:rPr>
      <w:bCs/>
    </w:rPr>
  </w:style>
  <w:style w:type="paragraph" w:customStyle="1" w:styleId="XBRLTitle4">
    <w:name w:val="XBRLTitle4"/>
    <w:basedOn w:val="a8"/>
    <w:next w:val="4"/>
    <w:qFormat/>
    <w:pPr>
      <w:numPr>
        <w:ilvl w:val="3"/>
        <w:numId w:val="1"/>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8"/>
    <w:next w:val="4"/>
    <w:qFormat/>
    <w:pPr>
      <w:keepNext w:val="0"/>
      <w:keepLines w:val="0"/>
      <w:numPr>
        <w:ilvl w:val="2"/>
        <w:numId w:val="1"/>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customStyle="1" w:styleId="19">
    <w:name w:val="页眉 字符1"/>
    <w:locked/>
    <w:rPr>
      <w:kern w:val="2"/>
      <w:sz w:val="18"/>
      <w:szCs w:val="18"/>
    </w:rPr>
  </w:style>
  <w:style w:type="paragraph" w:customStyle="1" w:styleId="removednode">
    <w:name w:val="removednode"/>
    <w:basedOn w:val="a"/>
    <w:pPr>
      <w:widowControl/>
      <w:spacing w:before="100" w:beforeAutospacing="1" w:after="100" w:afterAutospacing="1"/>
      <w:jc w:val="left"/>
    </w:pPr>
    <w:rPr>
      <w:kern w:val="0"/>
      <w:sz w:val="24"/>
    </w:rPr>
  </w:style>
  <w:style w:type="character" w:customStyle="1" w:styleId="Char15">
    <w:name w:val="页眉 Char1"/>
    <w:locked/>
    <w:rPr>
      <w:kern w:val="2"/>
      <w:sz w:val="18"/>
      <w:szCs w:val="18"/>
    </w:rPr>
  </w:style>
  <w:style w:type="character" w:customStyle="1" w:styleId="Char16">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3153</Characters>
  <Application>Microsoft Office Word</Application>
  <DocSecurity>4</DocSecurity>
  <Lines>26</Lines>
  <Paragraphs>7</Paragraphs>
  <ScaleCrop>false</ScaleCrop>
  <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2025-11-25T16:01:00Z</dcterms:created>
  <dcterms:modified xsi:type="dcterms:W3CDTF">2025-11-25T16:01:00Z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1714D98EE6184DB28A7BE769F7BE0023</vt:lpwstr>
  </property>
</Properties>
</file>