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5620" w:rsidRDefault="00565620">
      <w:pPr>
        <w:pStyle w:val="XBRL2"/>
        <w:spacing w:before="156"/>
      </w:pPr>
      <w:bookmarkStart w:id="0" w:name="_Toc348410291"/>
      <w:bookmarkEnd w:id="0"/>
      <w:r>
        <w:t xml:space="preserve">　</w:t>
      </w:r>
      <w:r>
        <w:t xml:space="preserve"> </w:t>
      </w:r>
    </w:p>
    <w:p w:rsidR="00565620" w:rsidRDefault="00565620">
      <w:pPr>
        <w:jc w:val="center"/>
        <w:rPr>
          <w:sz w:val="28"/>
          <w:szCs w:val="28"/>
        </w:rPr>
      </w:pPr>
      <w:r>
        <w:rPr>
          <w:rFonts w:cs="Times New Roman" w:hint="eastAsia"/>
          <w:b/>
          <w:color w:val="000000"/>
          <w:sz w:val="28"/>
          <w:szCs w:val="28"/>
        </w:rPr>
        <w:t>中邮定期开放债券型证券投资基金基金开放日常申购、赎回业务公告</w:t>
      </w:r>
    </w:p>
    <w:p w:rsidR="00565620" w:rsidRDefault="00565620">
      <w:pPr>
        <w:spacing w:line="360" w:lineRule="auto"/>
        <w:jc w:val="center"/>
        <w:rPr>
          <w:rFonts w:hint="eastAsia"/>
          <w:sz w:val="24"/>
          <w:szCs w:val="30"/>
        </w:rPr>
      </w:pPr>
      <w:r>
        <w:rPr>
          <w:rFonts w:hint="eastAsia"/>
          <w:sz w:val="24"/>
          <w:szCs w:val="30"/>
        </w:rPr>
        <w:t xml:space="preserve">　 </w:t>
      </w:r>
    </w:p>
    <w:p w:rsidR="00565620" w:rsidRDefault="00565620">
      <w:pPr>
        <w:spacing w:line="360" w:lineRule="auto"/>
        <w:jc w:val="center"/>
        <w:rPr>
          <w:b/>
          <w:bCs/>
          <w:sz w:val="24"/>
          <w:szCs w:val="30"/>
        </w:rPr>
      </w:pPr>
      <w:r>
        <w:rPr>
          <w:rFonts w:hint="eastAsia"/>
          <w:b/>
          <w:bCs/>
          <w:sz w:val="24"/>
          <w:szCs w:val="30"/>
        </w:rPr>
        <w:t>公告送出日期：2025年11月26日</w:t>
      </w:r>
    </w:p>
    <w:p w:rsidR="00565620" w:rsidRDefault="00565620">
      <w:pPr>
        <w:spacing w:line="360" w:lineRule="auto"/>
        <w:rPr>
          <w:rFonts w:hint="eastAsia"/>
        </w:rPr>
      </w:pPr>
    </w:p>
    <w:p w:rsidR="00565620" w:rsidRDefault="00565620">
      <w:pPr>
        <w:pStyle w:val="XBRLTitle1"/>
        <w:spacing w:before="156" w:line="360" w:lineRule="auto"/>
        <w:rPr>
          <w:rFonts w:hAnsi="宋体" w:hint="eastAsia"/>
          <w:sz w:val="21"/>
          <w:szCs w:val="21"/>
        </w:rPr>
      </w:pPr>
      <w:bookmarkStart w:id="1" w:name="_Toc481075046"/>
      <w:bookmarkStart w:id="2" w:name="_Toc513295892"/>
      <w:bookmarkStart w:id="3" w:name="_Toc513295846"/>
      <w:bookmarkStart w:id="4" w:name="_Toc17898178"/>
      <w:bookmarkStart w:id="5" w:name="_Toc34758519"/>
      <w:bookmarkStart w:id="6" w:name="_Toc34841028"/>
      <w:bookmarkStart w:id="7" w:name="_Toc512519480"/>
      <w:bookmarkStart w:id="8" w:name="_Toc438646451"/>
      <w:bookmarkStart w:id="9" w:name="_Toc490050000"/>
      <w:bookmarkStart w:id="10" w:name="_Toc17897936"/>
      <w:r>
        <w:rPr>
          <w:rFonts w:hAnsi="宋体" w:hint="eastAsia"/>
          <w:sz w:val="21"/>
          <w:szCs w:val="21"/>
        </w:rPr>
        <w:t>公告基本信息</w:t>
      </w:r>
      <w:bookmarkEnd w:id="1"/>
      <w:bookmarkEnd w:id="2"/>
      <w:bookmarkEnd w:id="3"/>
      <w:bookmarkEnd w:id="4"/>
      <w:bookmarkEnd w:id="5"/>
      <w:bookmarkEnd w:id="6"/>
      <w:bookmarkEnd w:id="7"/>
      <w:bookmarkEnd w:id="8"/>
      <w:bookmarkEnd w:id="9"/>
      <w:bookmarkEnd w:id="10"/>
      <w:r>
        <w:rPr>
          <w:rFonts w:hAnsi="宋体" w:hint="eastAsia"/>
          <w:sz w:val="21"/>
          <w:szCs w:val="21"/>
        </w:rPr>
        <w:t xml:space="preserve"> </w:t>
      </w:r>
    </w:p>
    <w:tbl>
      <w:tblPr>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2126"/>
        <w:gridCol w:w="2126"/>
        <w:gridCol w:w="2127"/>
      </w:tblGrid>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基金名称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中邮定期开放债券型证券投资基金</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基金简称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中邮定期开放债券</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基金主代码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000271</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基金运作方式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契约型开放式</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基金合同生效日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2013年11月5日</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基金管理人名称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中邮创业基金管理股份有限公司</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基金托管人名称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中国农业银行股份有限公司</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基金注册登记机构名称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中邮创业基金管理股份有限公司</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公告依据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根据《中华人民共和国证券投资基金法》、《公开募集证券投资基金运作管理办法》等法律法规以及《中邮定期开放债券型证券投资基金基金合同》、《中邮定期开放债券型证券投资基金招募说明书》。</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申购起始日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2025年11月28日</w:t>
            </w:r>
          </w:p>
        </w:tc>
      </w:tr>
      <w:tr w:rsidR="00565620">
        <w:tc>
          <w:tcPr>
            <w:tcW w:w="2093"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赎回起始日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2025年11月28日</w:t>
            </w:r>
          </w:p>
        </w:tc>
      </w:tr>
      <w:tr w:rsidR="00565620">
        <w:tc>
          <w:tcPr>
            <w:tcW w:w="2093" w:type="dxa"/>
            <w:tcBorders>
              <w:top w:val="single" w:sz="4" w:space="0" w:color="000000"/>
              <w:left w:val="single" w:sz="4" w:space="0" w:color="000000"/>
              <w:bottom w:val="single" w:sz="4" w:space="0" w:color="000000"/>
              <w:right w:val="nil"/>
            </w:tcBorders>
            <w:vAlign w:val="center"/>
          </w:tcPr>
          <w:p w:rsidR="00565620" w:rsidRDefault="00565620">
            <w:pPr>
              <w:rPr>
                <w:rFonts w:hint="eastAsia"/>
                <w:szCs w:val="21"/>
              </w:rPr>
            </w:pPr>
            <w:r>
              <w:rPr>
                <w:rFonts w:hint="eastAsia"/>
                <w:szCs w:val="21"/>
              </w:rPr>
              <w:t xml:space="preserve">下属分级基金的基金简称 </w:t>
            </w:r>
          </w:p>
        </w:tc>
        <w:tc>
          <w:tcPr>
            <w:tcW w:w="2126"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中邮定期开放债券A </w:t>
            </w:r>
          </w:p>
        </w:tc>
        <w:tc>
          <w:tcPr>
            <w:tcW w:w="2126"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中邮定期开放债券C </w:t>
            </w:r>
          </w:p>
        </w:tc>
        <w:tc>
          <w:tcPr>
            <w:tcW w:w="2127" w:type="dxa"/>
            <w:tcBorders>
              <w:top w:val="single" w:sz="4" w:space="0" w:color="000000"/>
              <w:left w:val="single" w:sz="4" w:space="0" w:color="000000"/>
              <w:bottom w:val="single" w:sz="4" w:space="0" w:color="000000"/>
              <w:right w:val="single" w:sz="4" w:space="0" w:color="000000"/>
            </w:tcBorders>
            <w:vAlign w:val="center"/>
          </w:tcPr>
          <w:p w:rsidR="00565620" w:rsidRDefault="00565620">
            <w:pPr>
              <w:rPr>
                <w:rFonts w:hint="eastAsia"/>
                <w:szCs w:val="21"/>
              </w:rPr>
            </w:pPr>
            <w:r>
              <w:rPr>
                <w:rFonts w:hint="eastAsia"/>
                <w:szCs w:val="21"/>
              </w:rPr>
              <w:t xml:space="preserve">中邮定期开放债券E </w:t>
            </w:r>
          </w:p>
        </w:tc>
      </w:tr>
      <w:tr w:rsidR="00565620">
        <w:tc>
          <w:tcPr>
            <w:tcW w:w="2093" w:type="dxa"/>
            <w:tcBorders>
              <w:top w:val="single" w:sz="4" w:space="0" w:color="000000"/>
              <w:left w:val="single" w:sz="4" w:space="0" w:color="000000"/>
              <w:bottom w:val="single" w:sz="4" w:space="0" w:color="000000"/>
              <w:right w:val="nil"/>
            </w:tcBorders>
            <w:vAlign w:val="center"/>
          </w:tcPr>
          <w:p w:rsidR="00565620" w:rsidRDefault="00565620">
            <w:pPr>
              <w:rPr>
                <w:rFonts w:hint="eastAsia"/>
                <w:szCs w:val="21"/>
              </w:rPr>
            </w:pPr>
            <w:r>
              <w:rPr>
                <w:rFonts w:hint="eastAsia"/>
                <w:szCs w:val="21"/>
              </w:rPr>
              <w:t xml:space="preserve">下属分级基金的交易代码 </w:t>
            </w:r>
          </w:p>
        </w:tc>
        <w:tc>
          <w:tcPr>
            <w:tcW w:w="2126" w:type="dxa"/>
            <w:tcBorders>
              <w:top w:val="single" w:sz="4" w:space="0" w:color="000000"/>
              <w:left w:val="single" w:sz="4" w:space="0" w:color="000000"/>
              <w:bottom w:val="single" w:sz="4" w:space="0" w:color="000000"/>
              <w:right w:val="single" w:sz="4" w:space="0" w:color="000000"/>
            </w:tcBorders>
            <w:vAlign w:val="center"/>
          </w:tcPr>
          <w:p w:rsidR="00565620" w:rsidRDefault="00565620" w:rsidP="008930D0">
            <w:pPr>
              <w:jc w:val="center"/>
              <w:rPr>
                <w:rFonts w:hint="eastAsia"/>
                <w:szCs w:val="21"/>
              </w:rPr>
            </w:pPr>
            <w:r>
              <w:rPr>
                <w:rFonts w:hint="eastAsia"/>
                <w:szCs w:val="21"/>
              </w:rPr>
              <w:t>000271</w:t>
            </w:r>
          </w:p>
        </w:tc>
        <w:tc>
          <w:tcPr>
            <w:tcW w:w="2126" w:type="dxa"/>
            <w:tcBorders>
              <w:top w:val="single" w:sz="4" w:space="0" w:color="000000"/>
              <w:left w:val="single" w:sz="4" w:space="0" w:color="000000"/>
              <w:bottom w:val="single" w:sz="4" w:space="0" w:color="000000"/>
              <w:right w:val="single" w:sz="4" w:space="0" w:color="000000"/>
            </w:tcBorders>
            <w:vAlign w:val="center"/>
          </w:tcPr>
          <w:p w:rsidR="00565620" w:rsidRDefault="00565620" w:rsidP="008930D0">
            <w:pPr>
              <w:jc w:val="center"/>
              <w:rPr>
                <w:rFonts w:hint="eastAsia"/>
                <w:szCs w:val="21"/>
              </w:rPr>
            </w:pPr>
            <w:r>
              <w:rPr>
                <w:rFonts w:hint="eastAsia"/>
                <w:szCs w:val="21"/>
              </w:rPr>
              <w:t>000272</w:t>
            </w:r>
          </w:p>
        </w:tc>
        <w:tc>
          <w:tcPr>
            <w:tcW w:w="2127" w:type="dxa"/>
            <w:tcBorders>
              <w:top w:val="single" w:sz="4" w:space="0" w:color="000000"/>
              <w:left w:val="single" w:sz="4" w:space="0" w:color="000000"/>
              <w:bottom w:val="single" w:sz="4" w:space="0" w:color="000000"/>
              <w:right w:val="single" w:sz="4" w:space="0" w:color="000000"/>
            </w:tcBorders>
            <w:vAlign w:val="center"/>
          </w:tcPr>
          <w:p w:rsidR="00565620" w:rsidRDefault="00565620" w:rsidP="008930D0">
            <w:pPr>
              <w:jc w:val="center"/>
              <w:rPr>
                <w:rFonts w:hint="eastAsia"/>
                <w:szCs w:val="21"/>
              </w:rPr>
            </w:pPr>
            <w:r>
              <w:rPr>
                <w:rFonts w:hint="eastAsia"/>
                <w:szCs w:val="21"/>
              </w:rPr>
              <w:t>019627</w:t>
            </w:r>
          </w:p>
        </w:tc>
      </w:tr>
      <w:tr w:rsidR="00565620">
        <w:tc>
          <w:tcPr>
            <w:tcW w:w="2093" w:type="dxa"/>
            <w:tcBorders>
              <w:top w:val="single" w:sz="4" w:space="0" w:color="000000"/>
              <w:left w:val="single" w:sz="4" w:space="0" w:color="000000"/>
              <w:bottom w:val="single" w:sz="4" w:space="0" w:color="000000"/>
              <w:right w:val="nil"/>
            </w:tcBorders>
            <w:vAlign w:val="center"/>
          </w:tcPr>
          <w:p w:rsidR="00565620" w:rsidRDefault="00565620">
            <w:pPr>
              <w:rPr>
                <w:rFonts w:hint="eastAsia"/>
                <w:szCs w:val="21"/>
              </w:rPr>
            </w:pPr>
            <w:r>
              <w:rPr>
                <w:rFonts w:hint="eastAsia"/>
                <w:szCs w:val="21"/>
              </w:rPr>
              <w:t>该分级基金是否开放申购、赎回</w:t>
            </w:r>
          </w:p>
        </w:tc>
        <w:tc>
          <w:tcPr>
            <w:tcW w:w="2126" w:type="dxa"/>
            <w:tcBorders>
              <w:top w:val="single" w:sz="4" w:space="0" w:color="000000"/>
              <w:left w:val="single" w:sz="4" w:space="0" w:color="000000"/>
              <w:bottom w:val="single" w:sz="4" w:space="0" w:color="000000"/>
              <w:right w:val="single" w:sz="4" w:space="0" w:color="000000"/>
            </w:tcBorders>
            <w:vAlign w:val="center"/>
          </w:tcPr>
          <w:p w:rsidR="00565620" w:rsidRDefault="00565620" w:rsidP="008930D0">
            <w:pPr>
              <w:jc w:val="center"/>
              <w:rPr>
                <w:rFonts w:hint="eastAsia"/>
                <w:szCs w:val="21"/>
              </w:rPr>
            </w:pPr>
            <w:r>
              <w:rPr>
                <w:rFonts w:hint="eastAsia"/>
                <w:szCs w:val="21"/>
              </w:rPr>
              <w:t>是</w:t>
            </w:r>
          </w:p>
        </w:tc>
        <w:tc>
          <w:tcPr>
            <w:tcW w:w="2126" w:type="dxa"/>
            <w:tcBorders>
              <w:top w:val="single" w:sz="4" w:space="0" w:color="000000"/>
              <w:left w:val="single" w:sz="4" w:space="0" w:color="000000"/>
              <w:bottom w:val="single" w:sz="4" w:space="0" w:color="000000"/>
              <w:right w:val="single" w:sz="4" w:space="0" w:color="000000"/>
            </w:tcBorders>
            <w:vAlign w:val="center"/>
          </w:tcPr>
          <w:p w:rsidR="00565620" w:rsidRDefault="00565620" w:rsidP="008930D0">
            <w:pPr>
              <w:jc w:val="center"/>
              <w:rPr>
                <w:rFonts w:hint="eastAsia"/>
                <w:szCs w:val="21"/>
              </w:rPr>
            </w:pPr>
            <w:r>
              <w:rPr>
                <w:rFonts w:hint="eastAsia"/>
                <w:szCs w:val="21"/>
              </w:rPr>
              <w:t>是</w:t>
            </w:r>
          </w:p>
        </w:tc>
        <w:tc>
          <w:tcPr>
            <w:tcW w:w="2127" w:type="dxa"/>
            <w:tcBorders>
              <w:top w:val="single" w:sz="4" w:space="0" w:color="000000"/>
              <w:left w:val="single" w:sz="4" w:space="0" w:color="000000"/>
              <w:bottom w:val="single" w:sz="4" w:space="0" w:color="000000"/>
              <w:right w:val="single" w:sz="4" w:space="0" w:color="000000"/>
            </w:tcBorders>
            <w:vAlign w:val="center"/>
          </w:tcPr>
          <w:p w:rsidR="00565620" w:rsidRDefault="00565620" w:rsidP="008930D0">
            <w:pPr>
              <w:jc w:val="center"/>
              <w:rPr>
                <w:rFonts w:hint="eastAsia"/>
                <w:szCs w:val="21"/>
              </w:rPr>
            </w:pPr>
            <w:r>
              <w:rPr>
                <w:rFonts w:hint="eastAsia"/>
                <w:szCs w:val="21"/>
              </w:rPr>
              <w:t>是</w:t>
            </w:r>
          </w:p>
        </w:tc>
      </w:tr>
    </w:tbl>
    <w:p w:rsidR="00565620" w:rsidRDefault="00565620">
      <w:pPr>
        <w:pStyle w:val="XBRLTitle1"/>
        <w:spacing w:before="156" w:line="360" w:lineRule="auto"/>
        <w:rPr>
          <w:rFonts w:hAnsi="宋体" w:hint="eastAsia"/>
          <w:sz w:val="21"/>
          <w:szCs w:val="21"/>
        </w:rPr>
      </w:pPr>
      <w:bookmarkStart w:id="11" w:name="_Toc34758520"/>
      <w:bookmarkStart w:id="12" w:name="_Toc34841029"/>
      <w:r>
        <w:rPr>
          <w:rFonts w:hAnsi="宋体" w:hint="eastAsia"/>
          <w:sz w:val="21"/>
          <w:szCs w:val="21"/>
        </w:rPr>
        <w:t>日常申购、赎回业务的办理时间</w:t>
      </w:r>
      <w:bookmarkEnd w:id="11"/>
      <w:bookmarkEnd w:id="12"/>
      <w:r>
        <w:rPr>
          <w:rFonts w:hAnsi="宋体" w:hint="eastAsia"/>
          <w:sz w:val="21"/>
          <w:szCs w:val="21"/>
        </w:rPr>
        <w:t xml:space="preserve"> </w:t>
      </w:r>
    </w:p>
    <w:p w:rsidR="00565620" w:rsidRDefault="00565620">
      <w:pPr>
        <w:spacing w:line="360" w:lineRule="auto"/>
        <w:ind w:firstLine="420"/>
        <w:jc w:val="center"/>
        <w:rPr>
          <w:szCs w:val="21"/>
          <w:lang/>
        </w:rPr>
      </w:pPr>
      <w:r>
        <w:rPr>
          <w:rFonts w:hint="eastAsia"/>
          <w:szCs w:val="21"/>
          <w:lang/>
        </w:rPr>
        <w:t>2025年11月28日为本基金的第12个运作周期内的第3个受限开放日，投资人可在本日办理本基金份额的申购和赎回业务。具体办理时间为上海证券交易所、深圳证券交易所的正常交易日的交易时间，但基金管理人根据法律法规、中国证监会的要求或基金合同的规定公告暂停申购、</w:t>
      </w:r>
    </w:p>
    <w:p w:rsidR="00565620" w:rsidRDefault="00565620">
      <w:pPr>
        <w:spacing w:line="360" w:lineRule="auto"/>
        <w:rPr>
          <w:szCs w:val="21"/>
          <w:lang/>
        </w:rPr>
      </w:pPr>
      <w:r>
        <w:rPr>
          <w:rFonts w:hint="eastAsia"/>
          <w:szCs w:val="21"/>
          <w:lang/>
        </w:rPr>
        <w:t>赎回时除外。</w:t>
      </w:r>
      <w:r>
        <w:rPr>
          <w:rFonts w:hint="eastAsia"/>
          <w:szCs w:val="21"/>
          <w:lang/>
        </w:rPr>
        <w:br/>
      </w:r>
      <w:r>
        <w:rPr>
          <w:rFonts w:hint="eastAsia"/>
          <w:szCs w:val="21"/>
        </w:rPr>
        <w:t xml:space="preserve">　 </w:t>
      </w:r>
      <w:r>
        <w:rPr>
          <w:rFonts w:hint="eastAsia"/>
          <w:szCs w:val="21"/>
          <w:lang/>
        </w:rPr>
        <w:t>本基金自2025年11月29日起将再次进入封闭期，届时将不再另行公告。</w:t>
      </w:r>
    </w:p>
    <w:p w:rsidR="008930D0" w:rsidRDefault="008930D0">
      <w:pPr>
        <w:spacing w:line="360" w:lineRule="auto"/>
        <w:rPr>
          <w:szCs w:val="21"/>
          <w:lang/>
        </w:rPr>
      </w:pPr>
    </w:p>
    <w:p w:rsidR="008930D0" w:rsidRPr="008930D0" w:rsidRDefault="008930D0">
      <w:pPr>
        <w:spacing w:line="360" w:lineRule="auto"/>
        <w:rPr>
          <w:rFonts w:hint="eastAsia"/>
          <w:szCs w:val="21"/>
          <w:lang/>
        </w:rPr>
      </w:pPr>
    </w:p>
    <w:p w:rsidR="00565620" w:rsidRDefault="00565620">
      <w:pPr>
        <w:pStyle w:val="XBRLTitle1"/>
        <w:spacing w:before="156" w:line="360" w:lineRule="auto"/>
        <w:rPr>
          <w:rFonts w:hAnsi="宋体" w:hint="eastAsia"/>
          <w:sz w:val="21"/>
          <w:szCs w:val="21"/>
        </w:rPr>
      </w:pPr>
      <w:bookmarkStart w:id="13" w:name="_Toc34841030"/>
      <w:bookmarkStart w:id="14" w:name="_Toc34758521"/>
      <w:r>
        <w:rPr>
          <w:rFonts w:hAnsi="宋体" w:hint="eastAsia"/>
          <w:sz w:val="21"/>
          <w:szCs w:val="21"/>
        </w:rPr>
        <w:lastRenderedPageBreak/>
        <w:t>日常申购业务</w:t>
      </w:r>
      <w:bookmarkEnd w:id="13"/>
      <w:bookmarkEnd w:id="14"/>
      <w:r>
        <w:rPr>
          <w:rFonts w:hAnsi="宋体" w:hint="eastAsia"/>
          <w:sz w:val="21"/>
          <w:szCs w:val="21"/>
        </w:rPr>
        <w:t xml:space="preserve"> </w:t>
      </w:r>
    </w:p>
    <w:p w:rsidR="00565620" w:rsidRDefault="00565620">
      <w:pPr>
        <w:pStyle w:val="XBRLTitle2"/>
        <w:spacing w:before="156" w:line="360" w:lineRule="auto"/>
        <w:rPr>
          <w:rFonts w:hAnsi="宋体" w:hint="eastAsia"/>
          <w:sz w:val="21"/>
          <w:szCs w:val="21"/>
        </w:rPr>
      </w:pPr>
      <w:bookmarkStart w:id="15" w:name="_Toc513295895"/>
      <w:bookmarkStart w:id="16" w:name="_Toc481075050"/>
      <w:bookmarkStart w:id="17" w:name="_Toc513295849"/>
      <w:bookmarkStart w:id="18" w:name="_Toc490050004"/>
      <w:bookmarkStart w:id="19" w:name="_Toc34758522"/>
      <w:bookmarkStart w:id="20" w:name="_Toc438646456"/>
      <w:bookmarkStart w:id="21" w:name="_Toc17897939"/>
      <w:bookmarkStart w:id="22" w:name="_Toc17898181"/>
      <w:bookmarkStart w:id="23" w:name="_Toc34841031"/>
      <w:bookmarkStart w:id="24" w:name="_Toc512519483"/>
      <w:r>
        <w:rPr>
          <w:rFonts w:hAnsi="宋体" w:hint="eastAsia"/>
          <w:sz w:val="21"/>
          <w:szCs w:val="21"/>
        </w:rPr>
        <w:t>申购金额限制</w:t>
      </w:r>
      <w:bookmarkEnd w:id="15"/>
      <w:bookmarkEnd w:id="16"/>
      <w:bookmarkEnd w:id="17"/>
      <w:bookmarkEnd w:id="18"/>
      <w:bookmarkEnd w:id="19"/>
      <w:bookmarkEnd w:id="20"/>
      <w:bookmarkEnd w:id="21"/>
      <w:bookmarkEnd w:id="22"/>
      <w:bookmarkEnd w:id="23"/>
      <w:bookmarkEnd w:id="24"/>
      <w:r>
        <w:rPr>
          <w:rFonts w:hAnsi="宋体" w:hint="eastAsia"/>
          <w:sz w:val="21"/>
          <w:szCs w:val="21"/>
        </w:rPr>
        <w:t xml:space="preserve"> </w:t>
      </w:r>
    </w:p>
    <w:p w:rsidR="00565620" w:rsidRDefault="00565620">
      <w:pPr>
        <w:spacing w:line="360" w:lineRule="auto"/>
        <w:ind w:firstLineChars="200" w:firstLine="420"/>
        <w:rPr>
          <w:rFonts w:hint="eastAsia"/>
          <w:szCs w:val="21"/>
        </w:rPr>
      </w:pPr>
      <w:r>
        <w:rPr>
          <w:rFonts w:hint="eastAsia"/>
          <w:szCs w:val="21"/>
          <w:lang/>
        </w:rPr>
        <w:t>代销网点每个账户单笔申购的最低金额以各代销机构的规定为准。直销网点每个账户首次申购的最低申购金额、追加申购最低金额以基金管理人的规定为准。</w:t>
      </w:r>
      <w:r>
        <w:rPr>
          <w:rFonts w:hint="eastAsia"/>
          <w:szCs w:val="21"/>
          <w:lang/>
        </w:rPr>
        <w:br/>
      </w:r>
      <w:r>
        <w:rPr>
          <w:rFonts w:hint="eastAsia"/>
          <w:szCs w:val="21"/>
        </w:rPr>
        <w:t xml:space="preserve"> </w:t>
      </w:r>
      <w:r>
        <w:rPr>
          <w:szCs w:val="21"/>
        </w:rPr>
        <w:t xml:space="preserve">   </w:t>
      </w:r>
      <w:r>
        <w:rPr>
          <w:rFonts w:hint="eastAsia"/>
          <w:szCs w:val="21"/>
          <w:lang/>
        </w:rPr>
        <w:t>代销网点的投资者欲转入直销网点进行交易要受直销网点最低金额的限制。投资者当期分配的基金收益转购基金份额时，不受最低申购金额的限制。基金管理人可根据市场情况，调整本基金首次申购的最低金额。投资者可多次申购，对单个投资人的累计持有份额不设上限限制。</w:t>
      </w:r>
    </w:p>
    <w:p w:rsidR="00565620" w:rsidRDefault="00565620">
      <w:pPr>
        <w:pStyle w:val="XBRLTitle2"/>
        <w:spacing w:before="156" w:line="360" w:lineRule="auto"/>
        <w:rPr>
          <w:rFonts w:hAnsi="宋体" w:hint="eastAsia"/>
          <w:sz w:val="21"/>
          <w:szCs w:val="21"/>
        </w:rPr>
      </w:pPr>
      <w:bookmarkStart w:id="25" w:name="_Toc513465658"/>
      <w:r>
        <w:rPr>
          <w:rFonts w:hAnsi="宋体" w:hint="eastAsia"/>
          <w:sz w:val="21"/>
          <w:szCs w:val="21"/>
        </w:rPr>
        <w:t>申购费率</w:t>
      </w:r>
      <w:bookmarkEnd w:id="25"/>
      <w:r>
        <w:rPr>
          <w:rFonts w:hAnsi="宋体" w:hint="eastAsia"/>
          <w:sz w:val="21"/>
          <w:szCs w:val="21"/>
        </w:rPr>
        <w:t xml:space="preserve"> </w:t>
      </w:r>
    </w:p>
    <w:p w:rsidR="00565620" w:rsidRDefault="00565620">
      <w:pPr>
        <w:spacing w:line="360" w:lineRule="auto"/>
        <w:ind w:firstLineChars="200" w:firstLine="420"/>
        <w:rPr>
          <w:rFonts w:hint="eastAsia"/>
          <w:szCs w:val="21"/>
        </w:rPr>
      </w:pPr>
      <w:r>
        <w:rPr>
          <w:rFonts w:hint="eastAsia"/>
          <w:szCs w:val="21"/>
          <w:lang/>
        </w:rPr>
        <w:t>投资人申购A类基金份额时，需交纳申购费用，费率按申购金额递减。投资人在一天之内如果有多笔申购，适用费率按单笔分别计算。具体费率如下：</w:t>
      </w:r>
    </w:p>
    <w:p w:rsidR="00565620" w:rsidRDefault="00565620">
      <w:pPr>
        <w:pStyle w:val="XBRLTitle3"/>
        <w:spacing w:before="156"/>
        <w:rPr>
          <w:rFonts w:hAnsi="宋体" w:hint="eastAsia"/>
          <w:sz w:val="21"/>
          <w:szCs w:val="21"/>
        </w:rPr>
      </w:pPr>
      <w:bookmarkStart w:id="26" w:name="_Toc513465659"/>
      <w:r>
        <w:rPr>
          <w:rFonts w:hAnsi="宋体" w:hint="eastAsia"/>
          <w:sz w:val="21"/>
          <w:szCs w:val="21"/>
        </w:rPr>
        <w:t>前端收费</w:t>
      </w:r>
      <w:bookmarkEnd w:id="26"/>
      <w:r>
        <w:rPr>
          <w:rFonts w:hAnsi="宋体" w:hint="eastAsia"/>
          <w:sz w:val="21"/>
          <w:szCs w:val="21"/>
        </w:rPr>
        <w:t xml:space="preserve"> </w:t>
      </w:r>
    </w:p>
    <w:p w:rsidR="00565620" w:rsidRDefault="00565620">
      <w:pPr>
        <w:spacing w:line="360" w:lineRule="auto"/>
        <w:jc w:val="center"/>
        <w:rPr>
          <w:rFonts w:hint="eastAsia"/>
          <w:szCs w:val="21"/>
        </w:rPr>
      </w:pPr>
      <w:r>
        <w:rPr>
          <w:rFonts w:hint="eastAsia"/>
          <w:szCs w:val="21"/>
        </w:rPr>
        <w:t>中邮定期开放债券A</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582"/>
        <w:gridCol w:w="2712"/>
        <w:gridCol w:w="2767"/>
      </w:tblGrid>
      <w:tr w:rsidR="00565620">
        <w:tc>
          <w:tcPr>
            <w:tcW w:w="3369"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备注 </w:t>
            </w:r>
          </w:p>
        </w:tc>
      </w:tr>
      <w:tr w:rsidR="00565620">
        <w:tc>
          <w:tcPr>
            <w:tcW w:w="817"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M＜1,000,000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0.6%</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r>
      <w:tr w:rsidR="00565620">
        <w:tc>
          <w:tcPr>
            <w:tcW w:w="817"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1,000,000≤M＜5,000,000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0.4%</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r>
      <w:tr w:rsidR="00565620">
        <w:tc>
          <w:tcPr>
            <w:tcW w:w="817"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M≥5,000,000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1,000元/笔</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r>
    </w:tbl>
    <w:p w:rsidR="00565620" w:rsidRDefault="00565620">
      <w:pPr>
        <w:spacing w:line="360" w:lineRule="auto"/>
        <w:jc w:val="center"/>
        <w:rPr>
          <w:rFonts w:hint="eastAsia"/>
          <w:szCs w:val="21"/>
        </w:rPr>
      </w:pPr>
      <w:r>
        <w:rPr>
          <w:rFonts w:hint="eastAsia"/>
          <w:szCs w:val="21"/>
        </w:rPr>
        <w:t>中邮定期开放债券C</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582"/>
        <w:gridCol w:w="2712"/>
        <w:gridCol w:w="2767"/>
      </w:tblGrid>
      <w:tr w:rsidR="00565620">
        <w:tc>
          <w:tcPr>
            <w:tcW w:w="3369"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备注 </w:t>
            </w:r>
          </w:p>
        </w:tc>
      </w:tr>
      <w:tr w:rsidR="00565620">
        <w:tc>
          <w:tcPr>
            <w:tcW w:w="817"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本基金C类基金份额不收取申购费用。</w:t>
            </w:r>
          </w:p>
        </w:tc>
      </w:tr>
    </w:tbl>
    <w:p w:rsidR="00565620" w:rsidRDefault="00565620">
      <w:pPr>
        <w:spacing w:line="360" w:lineRule="auto"/>
        <w:jc w:val="center"/>
        <w:rPr>
          <w:rFonts w:hint="eastAsia"/>
          <w:szCs w:val="21"/>
        </w:rPr>
      </w:pPr>
      <w:r>
        <w:rPr>
          <w:rFonts w:hint="eastAsia"/>
          <w:szCs w:val="21"/>
        </w:rPr>
        <w:t>中邮定期开放债券E</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582"/>
        <w:gridCol w:w="2712"/>
        <w:gridCol w:w="2767"/>
      </w:tblGrid>
      <w:tr w:rsidR="00565620">
        <w:tc>
          <w:tcPr>
            <w:tcW w:w="3369"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 xml:space="preserve">备注 </w:t>
            </w:r>
          </w:p>
        </w:tc>
      </w:tr>
      <w:tr w:rsidR="00565620">
        <w:tc>
          <w:tcPr>
            <w:tcW w:w="817"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w:t>
            </w:r>
          </w:p>
        </w:tc>
        <w:tc>
          <w:tcPr>
            <w:tcW w:w="2602" w:type="dxa"/>
            <w:tcBorders>
              <w:top w:val="single" w:sz="4" w:space="0" w:color="000000"/>
              <w:left w:val="single" w:sz="4" w:space="0" w:color="000000"/>
              <w:bottom w:val="single" w:sz="4" w:space="0" w:color="000000"/>
              <w:right w:val="single" w:sz="4" w:space="0" w:color="000000"/>
            </w:tcBorders>
            <w:vAlign w:val="center"/>
          </w:tcPr>
          <w:p w:rsidR="00565620" w:rsidRDefault="00565620">
            <w:pPr>
              <w:jc w:val="center"/>
              <w:rPr>
                <w:rFonts w:hint="eastAsia"/>
                <w:szCs w:val="21"/>
              </w:rPr>
            </w:pPr>
            <w:r>
              <w:rPr>
                <w:rFonts w:hint="eastAsia"/>
                <w:szCs w:val="21"/>
              </w:rPr>
              <w:t>本基金E类基金份额不收取申购费用。</w:t>
            </w:r>
          </w:p>
        </w:tc>
      </w:tr>
    </w:tbl>
    <w:p w:rsidR="00565620" w:rsidRDefault="00565620">
      <w:pPr>
        <w:pStyle w:val="XBRLTitle3"/>
        <w:spacing w:before="156"/>
        <w:rPr>
          <w:rFonts w:hAnsi="宋体" w:hint="eastAsia"/>
          <w:sz w:val="21"/>
          <w:szCs w:val="21"/>
        </w:rPr>
      </w:pPr>
      <w:bookmarkStart w:id="27" w:name="_Toc513465660"/>
      <w:r>
        <w:rPr>
          <w:rFonts w:hAnsi="宋体" w:hint="eastAsia"/>
          <w:sz w:val="21"/>
          <w:szCs w:val="21"/>
        </w:rPr>
        <w:t>后端收费</w:t>
      </w:r>
      <w:bookmarkEnd w:id="27"/>
    </w:p>
    <w:p w:rsidR="00565620" w:rsidRDefault="00565620">
      <w:pPr>
        <w:spacing w:line="360" w:lineRule="auto"/>
        <w:rPr>
          <w:rFonts w:hint="eastAsia"/>
          <w:szCs w:val="21"/>
        </w:rPr>
      </w:pPr>
      <w:bookmarkStart w:id="28" w:name="m07_04_07_02"/>
      <w:r>
        <w:rPr>
          <w:rFonts w:hint="eastAsia"/>
          <w:kern w:val="0"/>
          <w:szCs w:val="21"/>
        </w:rPr>
        <w:t>注：</w:t>
      </w:r>
      <w:bookmarkStart w:id="29" w:name="OLE_LINK46"/>
      <w:bookmarkStart w:id="30" w:name="OLE_LINK42"/>
      <w:bookmarkStart w:id="31" w:name="OLE_LINK41"/>
      <w:bookmarkStart w:id="32" w:name="OLE_LINK45"/>
      <w:bookmarkStart w:id="33" w:name="m07_04_13_04_02_01"/>
      <w:bookmarkEnd w:id="28"/>
      <w:r>
        <w:rPr>
          <w:rFonts w:hint="eastAsia"/>
          <w:szCs w:val="21"/>
          <w:lang/>
        </w:rPr>
        <w:t>本基金未开通后端收费模式。</w:t>
      </w:r>
      <w:bookmarkEnd w:id="29"/>
      <w:bookmarkEnd w:id="30"/>
      <w:bookmarkEnd w:id="31"/>
      <w:bookmarkEnd w:id="32"/>
      <w:bookmarkEnd w:id="33"/>
      <w:r>
        <w:rPr>
          <w:rFonts w:hint="eastAsia"/>
          <w:szCs w:val="21"/>
          <w:lang/>
        </w:rPr>
        <w:t xml:space="preserve"> </w:t>
      </w:r>
    </w:p>
    <w:p w:rsidR="00565620" w:rsidRDefault="00565620">
      <w:pPr>
        <w:pStyle w:val="XBRLTitle2"/>
        <w:spacing w:before="156"/>
        <w:rPr>
          <w:rFonts w:hAnsi="宋体" w:hint="eastAsia"/>
          <w:sz w:val="21"/>
          <w:szCs w:val="21"/>
        </w:rPr>
      </w:pPr>
      <w:bookmarkStart w:id="34" w:name="_Toc34758524"/>
      <w:bookmarkStart w:id="35" w:name="_Toc34841033"/>
      <w:r>
        <w:rPr>
          <w:rFonts w:hAnsi="宋体" w:hint="eastAsia"/>
          <w:sz w:val="21"/>
          <w:szCs w:val="21"/>
        </w:rPr>
        <w:t>其他与申购相关的事项</w:t>
      </w:r>
      <w:bookmarkEnd w:id="34"/>
      <w:bookmarkEnd w:id="35"/>
    </w:p>
    <w:p w:rsidR="00565620" w:rsidRDefault="00565620">
      <w:pPr>
        <w:spacing w:line="360" w:lineRule="auto"/>
        <w:ind w:firstLineChars="200" w:firstLine="420"/>
        <w:rPr>
          <w:szCs w:val="21"/>
          <w:lang/>
        </w:rPr>
      </w:pPr>
      <w:r>
        <w:rPr>
          <w:rFonts w:hint="eastAsia"/>
          <w:szCs w:val="21"/>
          <w:lang/>
        </w:rPr>
        <w:t>A类基金份额申购费用由投资人承担，不列入基金财产，主要用于本基金的市场推广、销售、注册登记等各项费用。</w:t>
      </w:r>
      <w:r>
        <w:rPr>
          <w:rFonts w:hint="eastAsia"/>
          <w:szCs w:val="21"/>
          <w:lang/>
        </w:rPr>
        <w:br/>
      </w:r>
      <w:r w:rsidR="008930D0">
        <w:rPr>
          <w:rFonts w:hint="eastAsia"/>
          <w:szCs w:val="21"/>
        </w:rPr>
        <w:t xml:space="preserve"> </w:t>
      </w:r>
      <w:r w:rsidR="008930D0">
        <w:rPr>
          <w:szCs w:val="21"/>
        </w:rPr>
        <w:t xml:space="preserve">   </w:t>
      </w:r>
      <w:r>
        <w:rPr>
          <w:rFonts w:hint="eastAsia"/>
          <w:szCs w:val="21"/>
          <w:lang/>
        </w:rPr>
        <w:t>因红利自动再投资而产生的基金份额，不收取相应的申购费用。</w:t>
      </w:r>
    </w:p>
    <w:p w:rsidR="008930D0" w:rsidRDefault="008930D0">
      <w:pPr>
        <w:spacing w:line="360" w:lineRule="auto"/>
        <w:ind w:firstLineChars="200" w:firstLine="420"/>
        <w:rPr>
          <w:rFonts w:hint="eastAsia"/>
          <w:szCs w:val="21"/>
        </w:rPr>
      </w:pPr>
    </w:p>
    <w:p w:rsidR="00565620" w:rsidRDefault="00565620">
      <w:pPr>
        <w:pStyle w:val="XBRLTitle1"/>
        <w:spacing w:before="156" w:line="360" w:lineRule="auto"/>
        <w:rPr>
          <w:rFonts w:hAnsi="宋体" w:hint="eastAsia"/>
          <w:sz w:val="21"/>
          <w:szCs w:val="21"/>
        </w:rPr>
      </w:pPr>
      <w:bookmarkStart w:id="36" w:name="_Toc17897942"/>
      <w:bookmarkStart w:id="37" w:name="_Toc513295851"/>
      <w:bookmarkStart w:id="38" w:name="_Toc34758525"/>
      <w:bookmarkStart w:id="39" w:name="_Toc17898186"/>
      <w:bookmarkStart w:id="40" w:name="_Toc490050008"/>
      <w:bookmarkStart w:id="41" w:name="_Toc513295899"/>
      <w:bookmarkStart w:id="42" w:name="_Toc512519487"/>
      <w:bookmarkStart w:id="43" w:name="_Toc438646458"/>
      <w:bookmarkStart w:id="44" w:name="_Toc481075054"/>
      <w:bookmarkStart w:id="45" w:name="_Toc34841034"/>
      <w:r>
        <w:rPr>
          <w:rFonts w:hAnsi="宋体" w:hint="eastAsia"/>
          <w:sz w:val="21"/>
          <w:szCs w:val="21"/>
        </w:rPr>
        <w:lastRenderedPageBreak/>
        <w:t>日常赎回业务</w:t>
      </w:r>
      <w:bookmarkEnd w:id="36"/>
      <w:bookmarkEnd w:id="37"/>
      <w:bookmarkEnd w:id="38"/>
      <w:bookmarkEnd w:id="39"/>
      <w:bookmarkEnd w:id="40"/>
      <w:bookmarkEnd w:id="41"/>
      <w:bookmarkEnd w:id="42"/>
      <w:bookmarkEnd w:id="43"/>
      <w:bookmarkEnd w:id="44"/>
      <w:bookmarkEnd w:id="45"/>
      <w:r>
        <w:rPr>
          <w:rFonts w:hAnsi="宋体" w:hint="eastAsia"/>
          <w:sz w:val="21"/>
          <w:szCs w:val="21"/>
        </w:rPr>
        <w:t xml:space="preserve"> </w:t>
      </w:r>
    </w:p>
    <w:p w:rsidR="00565620" w:rsidRDefault="00565620">
      <w:pPr>
        <w:pStyle w:val="XBRLTitle2"/>
        <w:spacing w:before="156" w:line="360" w:lineRule="auto"/>
        <w:rPr>
          <w:rFonts w:hAnsi="宋体" w:hint="eastAsia"/>
          <w:sz w:val="21"/>
          <w:szCs w:val="21"/>
        </w:rPr>
      </w:pPr>
      <w:bookmarkStart w:id="46" w:name="_Toc513295852"/>
      <w:bookmarkStart w:id="47" w:name="_Toc490050009"/>
      <w:bookmarkStart w:id="48" w:name="_Toc438646459"/>
      <w:bookmarkStart w:id="49" w:name="_Toc17897943"/>
      <w:bookmarkStart w:id="50" w:name="_Toc17898187"/>
      <w:bookmarkStart w:id="51" w:name="_Toc34841035"/>
      <w:bookmarkStart w:id="52" w:name="_Toc481075055"/>
      <w:bookmarkStart w:id="53" w:name="_Toc512519488"/>
      <w:bookmarkStart w:id="54" w:name="_Toc34758526"/>
      <w:bookmarkStart w:id="55" w:name="_Toc513295900"/>
      <w:r>
        <w:rPr>
          <w:rFonts w:hAnsi="宋体" w:hint="eastAsia"/>
          <w:sz w:val="21"/>
          <w:szCs w:val="21"/>
        </w:rPr>
        <w:t>赎回份额限制</w:t>
      </w:r>
      <w:bookmarkEnd w:id="46"/>
      <w:bookmarkEnd w:id="47"/>
      <w:bookmarkEnd w:id="48"/>
      <w:bookmarkEnd w:id="49"/>
      <w:bookmarkEnd w:id="50"/>
      <w:bookmarkEnd w:id="51"/>
      <w:bookmarkEnd w:id="52"/>
      <w:bookmarkEnd w:id="53"/>
      <w:bookmarkEnd w:id="54"/>
      <w:bookmarkEnd w:id="55"/>
      <w:r>
        <w:rPr>
          <w:rFonts w:hAnsi="宋体" w:hint="eastAsia"/>
          <w:sz w:val="21"/>
          <w:szCs w:val="21"/>
        </w:rPr>
        <w:t xml:space="preserve"> </w:t>
      </w:r>
    </w:p>
    <w:p w:rsidR="00565620" w:rsidRDefault="00565620">
      <w:pPr>
        <w:spacing w:line="360" w:lineRule="auto"/>
        <w:ind w:firstLineChars="200" w:firstLine="420"/>
        <w:rPr>
          <w:rFonts w:hint="eastAsia"/>
          <w:szCs w:val="21"/>
        </w:rPr>
      </w:pPr>
      <w:r>
        <w:rPr>
          <w:rFonts w:hint="eastAsia"/>
          <w:szCs w:val="21"/>
          <w:lang/>
        </w:rPr>
        <w:t>基金份额持有人在销售机构赎回时，每次对本基金的赎回申请不得低于10份基金份额。基金份额持有人赎回时或赎回后在销售机构（网点）保留的基金份额余额不足10份的，在赎回时需一次全部赎回。</w:t>
      </w:r>
    </w:p>
    <w:p w:rsidR="00565620" w:rsidRDefault="00565620">
      <w:pPr>
        <w:pStyle w:val="XBRLTitle2"/>
        <w:spacing w:before="156" w:line="360" w:lineRule="auto"/>
        <w:rPr>
          <w:rFonts w:hAnsi="宋体" w:hint="eastAsia"/>
          <w:sz w:val="21"/>
          <w:szCs w:val="21"/>
        </w:rPr>
      </w:pPr>
      <w:bookmarkStart w:id="56" w:name="_Toc513295901"/>
      <w:bookmarkStart w:id="57" w:name="_Toc481075056"/>
      <w:bookmarkStart w:id="58" w:name="_Toc513295853"/>
      <w:bookmarkStart w:id="59" w:name="_Toc512519489"/>
      <w:bookmarkStart w:id="60" w:name="_Toc438646460"/>
      <w:bookmarkStart w:id="61" w:name="_Toc17897944"/>
      <w:bookmarkStart w:id="62" w:name="_Toc17898188"/>
      <w:bookmarkStart w:id="63" w:name="_Toc34841036"/>
      <w:bookmarkStart w:id="64" w:name="_Toc34758527"/>
      <w:bookmarkStart w:id="65" w:name="_Toc490050010"/>
      <w:bookmarkStart w:id="66" w:name="m402"/>
      <w:r>
        <w:rPr>
          <w:rFonts w:hAnsi="宋体" w:hint="eastAsia"/>
          <w:sz w:val="21"/>
          <w:szCs w:val="21"/>
        </w:rPr>
        <w:t>赎回费率</w:t>
      </w:r>
      <w:bookmarkEnd w:id="56"/>
      <w:bookmarkEnd w:id="57"/>
      <w:bookmarkEnd w:id="58"/>
      <w:bookmarkEnd w:id="59"/>
      <w:bookmarkEnd w:id="60"/>
      <w:bookmarkEnd w:id="61"/>
      <w:bookmarkEnd w:id="62"/>
      <w:bookmarkEnd w:id="63"/>
      <w:bookmarkEnd w:id="64"/>
      <w:bookmarkEnd w:id="65"/>
      <w:r>
        <w:rPr>
          <w:rFonts w:hAnsi="宋体" w:hint="eastAsia"/>
          <w:sz w:val="21"/>
          <w:szCs w:val="21"/>
        </w:rPr>
        <w:t xml:space="preserve"> </w:t>
      </w:r>
    </w:p>
    <w:bookmarkEnd w:id="66"/>
    <w:p w:rsidR="00565620" w:rsidRDefault="00565620">
      <w:pPr>
        <w:wordWrap w:val="0"/>
        <w:spacing w:line="360" w:lineRule="auto"/>
        <w:ind w:firstLineChars="200" w:firstLine="420"/>
        <w:rPr>
          <w:rFonts w:hint="eastAsia"/>
          <w:szCs w:val="21"/>
        </w:rPr>
      </w:pPr>
      <w:r>
        <w:rPr>
          <w:rFonts w:hint="eastAsia"/>
          <w:szCs w:val="21"/>
          <w:lang/>
        </w:rPr>
        <w:t>本基金A类、C类、E类份额的赎回费率如下表：</w:t>
      </w:r>
      <w:r>
        <w:rPr>
          <w:rFonts w:hint="eastAsia"/>
          <w:szCs w:val="21"/>
        </w:rPr>
        <w:t xml:space="preserve"> </w:t>
      </w:r>
    </w:p>
    <w:p w:rsidR="00565620" w:rsidRDefault="00565620">
      <w:pPr>
        <w:spacing w:line="360" w:lineRule="auto"/>
        <w:jc w:val="center"/>
        <w:rPr>
          <w:rFonts w:hint="eastAsia"/>
          <w:szCs w:val="21"/>
        </w:rPr>
      </w:pPr>
      <w:r>
        <w:rPr>
          <w:rFonts w:hint="eastAsia"/>
          <w:szCs w:val="21"/>
        </w:rPr>
        <w:t>中邮定期开放债券A</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6265"/>
        <w:gridCol w:w="2796"/>
      </w:tblGrid>
      <w:tr w:rsidR="00565620">
        <w:tc>
          <w:tcPr>
            <w:tcW w:w="5140"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 xml:space="preserve">赎回费率 </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0天＜N≤6天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1.5%</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7天≤N≤29天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0.1%</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N≥30天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w:t>
            </w:r>
          </w:p>
        </w:tc>
      </w:tr>
    </w:tbl>
    <w:p w:rsidR="00565620" w:rsidRDefault="00565620">
      <w:pPr>
        <w:spacing w:line="360" w:lineRule="auto"/>
        <w:jc w:val="center"/>
        <w:rPr>
          <w:rFonts w:hint="eastAsia"/>
          <w:szCs w:val="21"/>
        </w:rPr>
      </w:pPr>
      <w:r>
        <w:rPr>
          <w:rFonts w:hint="eastAsia"/>
          <w:szCs w:val="21"/>
        </w:rPr>
        <w:t>中邮定期开放债券C</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6265"/>
        <w:gridCol w:w="2796"/>
      </w:tblGrid>
      <w:tr w:rsidR="00565620">
        <w:tc>
          <w:tcPr>
            <w:tcW w:w="5140"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 xml:space="preserve">赎回费率 </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0天＜N≤6天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1.5%</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7天≤N≤29天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0.1%</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N≥30天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w:t>
            </w:r>
          </w:p>
        </w:tc>
      </w:tr>
    </w:tbl>
    <w:p w:rsidR="00565620" w:rsidRDefault="00565620">
      <w:pPr>
        <w:spacing w:line="360" w:lineRule="auto"/>
        <w:jc w:val="center"/>
        <w:rPr>
          <w:rFonts w:hint="eastAsia"/>
          <w:szCs w:val="21"/>
        </w:rPr>
      </w:pPr>
      <w:r>
        <w:rPr>
          <w:rFonts w:hint="eastAsia"/>
          <w:szCs w:val="21"/>
        </w:rPr>
        <w:t>中邮定期开放债券E</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6265"/>
        <w:gridCol w:w="2796"/>
      </w:tblGrid>
      <w:tr w:rsidR="00565620">
        <w:tc>
          <w:tcPr>
            <w:tcW w:w="5140"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 xml:space="preserve">赎回费率 </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0天＜N≤6天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1.5%</w:t>
            </w:r>
          </w:p>
        </w:tc>
      </w:tr>
      <w:tr w:rsidR="00565620">
        <w:tc>
          <w:tcPr>
            <w:tcW w:w="1384"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N≥7天</w:t>
            </w:r>
          </w:p>
        </w:tc>
        <w:tc>
          <w:tcPr>
            <w:tcW w:w="1048" w:type="dxa"/>
            <w:tcBorders>
              <w:top w:val="single" w:sz="4" w:space="0" w:color="000000"/>
              <w:left w:val="single" w:sz="4" w:space="0" w:color="000000"/>
              <w:bottom w:val="single" w:sz="4" w:space="0" w:color="000000"/>
              <w:right w:val="single" w:sz="4" w:space="0" w:color="000000"/>
            </w:tcBorders>
          </w:tcPr>
          <w:p w:rsidR="00565620" w:rsidRDefault="00565620">
            <w:pPr>
              <w:jc w:val="center"/>
              <w:rPr>
                <w:rFonts w:hint="eastAsia"/>
                <w:szCs w:val="21"/>
              </w:rPr>
            </w:pPr>
            <w:r>
              <w:rPr>
                <w:rFonts w:hint="eastAsia"/>
                <w:szCs w:val="21"/>
              </w:rPr>
              <w:t>0%</w:t>
            </w:r>
          </w:p>
        </w:tc>
      </w:tr>
    </w:tbl>
    <w:p w:rsidR="00565620" w:rsidRDefault="00565620">
      <w:pPr>
        <w:pStyle w:val="XBRLTitle2"/>
        <w:spacing w:before="156" w:line="360" w:lineRule="auto"/>
        <w:rPr>
          <w:rFonts w:hAnsi="宋体" w:hint="eastAsia"/>
          <w:sz w:val="21"/>
          <w:szCs w:val="21"/>
        </w:rPr>
      </w:pPr>
      <w:bookmarkStart w:id="67" w:name="m403"/>
      <w:bookmarkStart w:id="68" w:name="_Toc17898192"/>
      <w:bookmarkStart w:id="69" w:name="_Toc512519493"/>
      <w:bookmarkStart w:id="70" w:name="_Toc490050014"/>
      <w:bookmarkStart w:id="71" w:name="_Toc34758528"/>
      <w:bookmarkStart w:id="72" w:name="_Toc17897946"/>
      <w:bookmarkStart w:id="73" w:name="_Toc513295855"/>
      <w:bookmarkStart w:id="74" w:name="_Toc513295905"/>
      <w:bookmarkStart w:id="75" w:name="_Toc34841037"/>
      <w:bookmarkStart w:id="76" w:name="_Toc481075061"/>
      <w:bookmarkStart w:id="77" w:name="m405_01_2550"/>
      <w:bookmarkEnd w:id="67"/>
      <w:r>
        <w:rPr>
          <w:rFonts w:hAnsi="宋体" w:hint="eastAsia"/>
          <w:sz w:val="21"/>
          <w:szCs w:val="21"/>
        </w:rPr>
        <w:t>其他与赎回相关的事项</w:t>
      </w:r>
      <w:bookmarkEnd w:id="68"/>
      <w:bookmarkEnd w:id="69"/>
      <w:bookmarkEnd w:id="70"/>
      <w:bookmarkEnd w:id="71"/>
      <w:bookmarkEnd w:id="72"/>
      <w:bookmarkEnd w:id="73"/>
      <w:bookmarkEnd w:id="74"/>
      <w:bookmarkEnd w:id="75"/>
      <w:bookmarkEnd w:id="76"/>
      <w:r>
        <w:rPr>
          <w:rFonts w:hAnsi="宋体" w:hint="eastAsia"/>
          <w:sz w:val="21"/>
          <w:szCs w:val="21"/>
        </w:rPr>
        <w:t xml:space="preserve"> </w:t>
      </w:r>
    </w:p>
    <w:p w:rsidR="00565620" w:rsidRDefault="00565620">
      <w:pPr>
        <w:spacing w:line="360" w:lineRule="auto"/>
        <w:ind w:firstLineChars="200" w:firstLine="420"/>
        <w:rPr>
          <w:rFonts w:hint="eastAsia"/>
          <w:szCs w:val="21"/>
        </w:rPr>
      </w:pPr>
      <w:r>
        <w:rPr>
          <w:rFonts w:hint="eastAsia"/>
          <w:szCs w:val="21"/>
          <w:lang/>
        </w:rPr>
        <w:t>本基金对持续持有期少于7日的投资者收取1.5%的赎回费，并将上述赎回费全额计入基金财产。本基金的赎回费用在投资者赎回本基金份额时收取，赎回费归入基金财产的比例为赎回费总额的100%。</w:t>
      </w:r>
    </w:p>
    <w:p w:rsidR="00565620" w:rsidRDefault="00565620">
      <w:pPr>
        <w:pStyle w:val="XBRLTitle1"/>
        <w:spacing w:before="156" w:line="360" w:lineRule="auto"/>
        <w:rPr>
          <w:rFonts w:hAnsi="宋体" w:hint="eastAsia"/>
          <w:sz w:val="21"/>
          <w:szCs w:val="21"/>
        </w:rPr>
      </w:pPr>
      <w:bookmarkStart w:id="78" w:name="_Toc34841042"/>
      <w:bookmarkStart w:id="79" w:name="_Toc3475852111"/>
      <w:bookmarkEnd w:id="77"/>
      <w:r>
        <w:rPr>
          <w:rFonts w:hAnsi="宋体" w:hint="eastAsia"/>
          <w:sz w:val="21"/>
          <w:szCs w:val="21"/>
        </w:rPr>
        <w:t>基金销售机构</w:t>
      </w:r>
      <w:bookmarkEnd w:id="78"/>
      <w:bookmarkEnd w:id="79"/>
      <w:r>
        <w:rPr>
          <w:rFonts w:hAnsi="宋体" w:hint="eastAsia"/>
          <w:sz w:val="21"/>
          <w:szCs w:val="21"/>
        </w:rPr>
        <w:t xml:space="preserve"> </w:t>
      </w:r>
    </w:p>
    <w:p w:rsidR="00565620" w:rsidRDefault="00565620">
      <w:pPr>
        <w:pStyle w:val="XBRLTitle2"/>
        <w:spacing w:before="156" w:line="360" w:lineRule="auto"/>
        <w:rPr>
          <w:rFonts w:hAnsi="宋体" w:hint="eastAsia"/>
          <w:sz w:val="21"/>
          <w:szCs w:val="21"/>
        </w:rPr>
      </w:pPr>
      <w:bookmarkStart w:id="80" w:name="_Toc51346565811"/>
      <w:r>
        <w:rPr>
          <w:rFonts w:hAnsi="宋体" w:hint="eastAsia"/>
          <w:sz w:val="21"/>
          <w:szCs w:val="21"/>
        </w:rPr>
        <w:t>场外销售机构</w:t>
      </w:r>
      <w:bookmarkEnd w:id="80"/>
      <w:r>
        <w:rPr>
          <w:rFonts w:hAnsi="宋体" w:hint="eastAsia"/>
          <w:sz w:val="21"/>
          <w:szCs w:val="21"/>
        </w:rPr>
        <w:t xml:space="preserve"> </w:t>
      </w:r>
    </w:p>
    <w:p w:rsidR="00565620" w:rsidRDefault="00565620">
      <w:pPr>
        <w:pStyle w:val="XBRLTitle3"/>
        <w:spacing w:before="156"/>
        <w:rPr>
          <w:rFonts w:hAnsi="宋体" w:hint="eastAsia"/>
          <w:sz w:val="21"/>
          <w:szCs w:val="21"/>
        </w:rPr>
      </w:pPr>
      <w:bookmarkStart w:id="81" w:name="_Toc51346565911"/>
      <w:r>
        <w:rPr>
          <w:rFonts w:hAnsi="宋体" w:hint="eastAsia"/>
          <w:sz w:val="21"/>
          <w:szCs w:val="21"/>
        </w:rPr>
        <w:t>直销机构</w:t>
      </w:r>
      <w:bookmarkEnd w:id="81"/>
      <w:r>
        <w:rPr>
          <w:rFonts w:hAnsi="宋体" w:hint="eastAsia"/>
          <w:sz w:val="21"/>
          <w:szCs w:val="21"/>
        </w:rPr>
        <w:t xml:space="preserve"> </w:t>
      </w:r>
    </w:p>
    <w:p w:rsidR="00565620" w:rsidRDefault="00565620">
      <w:pPr>
        <w:spacing w:line="360" w:lineRule="auto"/>
        <w:ind w:firstLineChars="200" w:firstLine="420"/>
        <w:rPr>
          <w:szCs w:val="21"/>
          <w:lang/>
        </w:rPr>
      </w:pPr>
      <w:r>
        <w:rPr>
          <w:rFonts w:hint="eastAsia"/>
          <w:szCs w:val="21"/>
          <w:lang/>
        </w:rPr>
        <w:t xml:space="preserve">中邮创业基金管理股份有限公司直销中心、中邮基金官方微信平台——中邮基金服务号、中邮创业网上直销平台: </w:t>
      </w:r>
      <w:hyperlink r:id="rId7" w:history="1">
        <w:r w:rsidR="008930D0" w:rsidRPr="00BA67A6">
          <w:rPr>
            <w:rStyle w:val="ae"/>
            <w:rFonts w:hint="eastAsia"/>
            <w:szCs w:val="21"/>
            <w:lang/>
          </w:rPr>
          <w:t>https://i.postfund.com.cn</w:t>
        </w:r>
      </w:hyperlink>
    </w:p>
    <w:p w:rsidR="008930D0" w:rsidRDefault="008930D0">
      <w:pPr>
        <w:spacing w:line="360" w:lineRule="auto"/>
        <w:ind w:firstLineChars="200" w:firstLine="420"/>
        <w:rPr>
          <w:rFonts w:hint="eastAsia"/>
          <w:szCs w:val="21"/>
        </w:rPr>
      </w:pPr>
    </w:p>
    <w:p w:rsidR="00565620" w:rsidRDefault="00565620">
      <w:pPr>
        <w:pStyle w:val="XBRLTitle3"/>
        <w:spacing w:before="156"/>
        <w:rPr>
          <w:rFonts w:hAnsi="宋体" w:hint="eastAsia"/>
          <w:sz w:val="21"/>
          <w:szCs w:val="21"/>
        </w:rPr>
      </w:pPr>
      <w:bookmarkStart w:id="82" w:name="_Toc51346566011"/>
      <w:r>
        <w:rPr>
          <w:rFonts w:hAnsi="宋体" w:hint="eastAsia"/>
          <w:sz w:val="21"/>
          <w:szCs w:val="21"/>
        </w:rPr>
        <w:t>场外非直销机构</w:t>
      </w:r>
      <w:bookmarkEnd w:id="82"/>
    </w:p>
    <w:p w:rsidR="00565620" w:rsidRDefault="00565620">
      <w:pPr>
        <w:spacing w:line="360" w:lineRule="auto"/>
        <w:ind w:firstLineChars="200" w:firstLine="420"/>
        <w:rPr>
          <w:rFonts w:hint="eastAsia"/>
          <w:szCs w:val="21"/>
        </w:rPr>
      </w:pPr>
      <w:r>
        <w:rPr>
          <w:rFonts w:hint="eastAsia"/>
          <w:kern w:val="0"/>
          <w:szCs w:val="21"/>
          <w:lang/>
        </w:rPr>
        <w:t>中国农业银行股份有限公司、交通银行股份有限公司、招商银行股份有限公司、中信银行股份有限公司、兴业银行股份有限公司、中国邮政储蓄银行股份有限公司、北京银行股份有限公司、华夏银行股份有限公司、上海银行股份有限公司、广发银行股份有限公司、平安银行股份有限公司、宁波银行股份有限公司、江苏银行股份有限公司、东亚银行（中国）有限公司、晋商银行股份有限公司。</w:t>
      </w:r>
      <w:r>
        <w:rPr>
          <w:rFonts w:hint="eastAsia"/>
          <w:kern w:val="0"/>
          <w:szCs w:val="21"/>
          <w:lang/>
        </w:rPr>
        <w:br/>
        <w:t xml:space="preserve">　　国泰海通证券股份有限公司、中信建投证券股份有限公司、国信证券股份有限公司、招商证券股份有限公司、广发证券股份有限公司、中信证券股份有限公司、中国银河证券股份有限公司、海通证券股份有限公司、申万宏源证券有限公司、兴业证券股份有限公司、长江证券股份有限公司、国投证券股份有限公司、万联证券股份有限公司、民生证券股份有限公司、华泰证券股份有限公司、中信证券（山东）有限责任公司、东兴证券股份有限公司、东吴证券股份有限公司、东方证券股份有限公司、方正证券股份有限公司、长城证券股份有限公司、光大证券股份有限公司、中信证券华南股份有限公司、东北证券股份有限公司、南京证券股份有限公司、诚通证券股份有限公司、国联民生证券股份有限公司、浙商证券股份有限公司、平安证券股份有限公司、华安证券股份有限公司、国海证券股份有限公司、东莞证券股份有限公司、华西证券股份有限公司、申万宏源西部证券有限公司、中泰证券股份有限公司、世纪证券有限责任公司、中航证券有限公司、华福证券有限责任公司、中国国际金融股份有限公司、甬兴证券有限公司、中国中金财富证券有限公司、中山证券有限责任公司、东方财富证券股份有限公司、粤开证券股份有限公司、江海证券有限公司、国金证券股份有限公司、华宝证券股份有限公司、国新证券股份有限公司、天风证券股份有限公司、中邮证券有限责任公司、首创证券股份有限公司、天府证券有限责任公司、开源证券股份有限公司、麦高证券有限责任公司、联储证券股份有限公司、华源证券股份有限公司。</w:t>
      </w:r>
      <w:r>
        <w:rPr>
          <w:rFonts w:hint="eastAsia"/>
          <w:kern w:val="0"/>
          <w:szCs w:val="21"/>
          <w:lang/>
        </w:rPr>
        <w:br/>
        <w:t xml:space="preserve">　　天相投资顾问有限公司、深圳市新兰德证券投资咨询有限公司、和讯信息科技有限公司、财咨道信息技术有限公司、厦门市鑫鼎盛控股有限公司、江苏天鼎证券投资咨询有限公司、和信证券投资咨询股份有限公司、江苏汇林保大基金销售有限公司、上海挖财基金销售有限公司、上海陆享基金销售有限公司、上海有鱼基金销售有限公司、贵州省贵文文化基金销售有限公司、腾安基金销售（深圳）有限公司、北京度小满基金销售有限公司、博时财富基金销售有限公司、诺亚正行基金销售有限公司、深圳众禄基金销售股份有限公司、上海天天基金销售有限公司、上海好买基金销售有限公司、蚂蚁（杭州）基金销售有限公司、上海长量基金销售有限公司、浙江同花顺基金销售有限公司、北京展恒基金销售股份有限公司、上海利得基金销售有限公司、北京中期时代基金销售有限公司、嘉实财富管理有限公司、北京创金启富基金销售有限公司、泛华普益基金销售有限公司、宜信普泽（北京）基金销售有限公司、南京苏宁基金销售有限公司、北京格上富信基金销售有限公司、浦领基金销售有限公司、北京增财基金销售有限公司、通华财富（上海）基金销售有限公司、北京汇成基金销售有限公司、一路财富（深圳）基金销售有限公司、北京钱景基金销售有限公司、海银基金销售有限公司、北京新浪仓石基金销售有限公司、北京加和基金销售有限公司、北京辉腾汇富基金销售有限公司、北京济安基金销售有限公司、上海万得基金销售有限公司、上海国信嘉利基金销售有限公司、上海联泰基金销售有限公司、上海汇付基金销售有限公司、北京坤元基金销售有限公司、北京微动利基金销售有限公司、泰信财富基金销售有限公司、上海基煜基金销售有限公司、上海凯石财富基金销售有限公司、上海中正达广基金销售有限公司、北京虹点基金销售有限公司、上海攀赢基金销售有限公司、上海陆金所基金销售有限公司、珠海盈米基金销售有限公司、和耕传承基金销售有限公司、奕丰基金销售有限公司、中证金牛（北京）基金销售有限公司、京东肯特瑞基金销售有限公司、大连网金基金销售有限公司、上海证达通基金销售有限公司、北京雪球基金销售有限公司、深圳市前海排排网基金销售有限责任公司、深圳前海财厚基金销售有限公司、上海中欧财富基金销售有限公司、万家财富基金销售（天津）有限公司、上海华夏财富投资管理有限公司、中国国际期货股份有限公司、中信期货有限公司、华瑞保险销售有限公司、玄元保险代理有限公司、阳光人寿保险股份有限公司、方德保险代理有限公司、中国人寿保险股份有限公司。</w:t>
      </w:r>
      <w:r>
        <w:rPr>
          <w:rFonts w:hint="eastAsia"/>
          <w:kern w:val="0"/>
          <w:szCs w:val="21"/>
        </w:rPr>
        <w:t xml:space="preserve"> </w:t>
      </w:r>
    </w:p>
    <w:p w:rsidR="00565620" w:rsidRDefault="00565620">
      <w:pPr>
        <w:pStyle w:val="XBRLTitle2"/>
        <w:spacing w:before="156"/>
        <w:rPr>
          <w:rFonts w:hAnsi="宋体" w:hint="eastAsia"/>
          <w:sz w:val="21"/>
          <w:szCs w:val="21"/>
        </w:rPr>
      </w:pPr>
      <w:bookmarkStart w:id="83" w:name="_Toc34841044"/>
      <w:bookmarkStart w:id="84" w:name="_Toc3475852411"/>
      <w:r>
        <w:rPr>
          <w:rFonts w:hAnsi="宋体" w:hint="eastAsia"/>
          <w:sz w:val="21"/>
          <w:szCs w:val="21"/>
        </w:rPr>
        <w:t>场内销售机构</w:t>
      </w:r>
      <w:bookmarkEnd w:id="83"/>
      <w:bookmarkEnd w:id="84"/>
    </w:p>
    <w:p w:rsidR="00565620" w:rsidRDefault="00565620">
      <w:pPr>
        <w:spacing w:line="360" w:lineRule="auto"/>
        <w:ind w:firstLineChars="200" w:firstLine="420"/>
        <w:rPr>
          <w:rFonts w:hint="eastAsia"/>
          <w:szCs w:val="21"/>
        </w:rPr>
      </w:pPr>
      <w:r>
        <w:rPr>
          <w:rFonts w:hint="eastAsia"/>
          <w:szCs w:val="21"/>
          <w:lang/>
        </w:rPr>
        <w:t>无。</w:t>
      </w:r>
    </w:p>
    <w:p w:rsidR="00565620" w:rsidRDefault="00565620">
      <w:pPr>
        <w:pStyle w:val="XBRLTitle1"/>
        <w:spacing w:before="156" w:line="360" w:lineRule="auto"/>
        <w:rPr>
          <w:rFonts w:hAnsi="宋体" w:hint="eastAsia"/>
          <w:sz w:val="21"/>
          <w:szCs w:val="21"/>
        </w:rPr>
      </w:pPr>
      <w:bookmarkStart w:id="85" w:name="_Toc3475853211"/>
      <w:bookmarkStart w:id="86" w:name="_Toc34841045"/>
      <w:r>
        <w:rPr>
          <w:rFonts w:hAnsi="宋体" w:hint="eastAsia"/>
          <w:sz w:val="21"/>
          <w:szCs w:val="21"/>
        </w:rPr>
        <w:t>基金份额净值公告/基金收益公告的披露安排</w:t>
      </w:r>
      <w:bookmarkEnd w:id="85"/>
      <w:bookmarkEnd w:id="86"/>
      <w:r>
        <w:rPr>
          <w:rFonts w:hAnsi="宋体" w:hint="eastAsia"/>
          <w:sz w:val="21"/>
          <w:szCs w:val="21"/>
        </w:rPr>
        <w:t xml:space="preserve"> </w:t>
      </w:r>
    </w:p>
    <w:p w:rsidR="00565620" w:rsidRDefault="00565620">
      <w:pPr>
        <w:spacing w:line="360" w:lineRule="auto"/>
        <w:ind w:firstLineChars="200" w:firstLine="420"/>
        <w:rPr>
          <w:rFonts w:hint="eastAsia"/>
          <w:szCs w:val="21"/>
        </w:rPr>
      </w:pPr>
      <w:r>
        <w:rPr>
          <w:rFonts w:hint="eastAsia"/>
          <w:szCs w:val="21"/>
          <w:lang/>
        </w:rPr>
        <w:t>基金管理人将通过规定网站、基金销售机构网站或者营业网点披露本基金开放日的基金份额净值和基金份额累计净值。敬请投资者留意。</w:t>
      </w:r>
    </w:p>
    <w:p w:rsidR="00565620" w:rsidRDefault="00565620">
      <w:pPr>
        <w:pStyle w:val="XBRLTitle1"/>
        <w:spacing w:before="156" w:line="360" w:lineRule="auto"/>
        <w:rPr>
          <w:rFonts w:hAnsi="宋体" w:hint="eastAsia"/>
          <w:sz w:val="21"/>
          <w:szCs w:val="21"/>
        </w:rPr>
      </w:pPr>
      <w:bookmarkStart w:id="87" w:name="_Toc34841046"/>
      <w:bookmarkStart w:id="88" w:name="_Toc3475853212"/>
      <w:r>
        <w:rPr>
          <w:rFonts w:hAnsi="宋体" w:hint="eastAsia"/>
          <w:sz w:val="21"/>
          <w:szCs w:val="21"/>
        </w:rPr>
        <w:t>其他需要提示的事项</w:t>
      </w:r>
      <w:bookmarkEnd w:id="87"/>
      <w:bookmarkEnd w:id="88"/>
      <w:r>
        <w:rPr>
          <w:rFonts w:hAnsi="宋体" w:hint="eastAsia"/>
          <w:sz w:val="21"/>
          <w:szCs w:val="21"/>
        </w:rPr>
        <w:t xml:space="preserve"> </w:t>
      </w:r>
    </w:p>
    <w:p w:rsidR="00565620" w:rsidRDefault="00565620">
      <w:pPr>
        <w:spacing w:line="360" w:lineRule="auto"/>
        <w:ind w:firstLineChars="200" w:firstLine="420"/>
        <w:rPr>
          <w:rFonts w:hint="eastAsia"/>
          <w:szCs w:val="21"/>
        </w:rPr>
      </w:pPr>
      <w:r>
        <w:rPr>
          <w:rFonts w:hint="eastAsia"/>
          <w:szCs w:val="21"/>
          <w:lang/>
        </w:rPr>
        <w:t>1、2025年</w:t>
      </w:r>
      <w:r w:rsidR="008930D0">
        <w:rPr>
          <w:szCs w:val="21"/>
          <w:lang/>
        </w:rPr>
        <w:t>11</w:t>
      </w:r>
      <w:r w:rsidR="008930D0">
        <w:rPr>
          <w:rFonts w:hint="eastAsia"/>
          <w:szCs w:val="21"/>
        </w:rPr>
        <w:t>月2</w:t>
      </w:r>
      <w:r>
        <w:rPr>
          <w:rFonts w:hint="eastAsia"/>
          <w:szCs w:val="21"/>
          <w:lang/>
        </w:rPr>
        <w:t>8日为本基金第12个运作周期内的第3个受限开放日，即在该日15：00 前接受办理本基金份额的申购、赎回业务，开放日当日15：00 以后不再接受办理本基金的申购、赎回业务。在每个运作周期内，除受限开放期以外，均为封闭期。在封闭期内，本基金不接受基金份额的申购和赎回。</w:t>
      </w:r>
      <w:r>
        <w:rPr>
          <w:rFonts w:hint="eastAsia"/>
          <w:szCs w:val="21"/>
          <w:lang/>
        </w:rPr>
        <w:br/>
        <w:t xml:space="preserve">　　2、在每个受限开放期，本基金将对净赎回数量进行控制，确保净赎回数量占该开放期前一日基金份额总数的比例在[0，特定比例]区间内，该特定比例不超过15%（含）。本基金在第12个运作周期内的第3个受限开放日将对当日的净赎回数量进行控制，确保净赎回数量占该受限开放日前一日基金份额总数的比例在[0，15%]区间内。如净赎回数量占比超过15%，则对当日的申购申请进行全部确认，对赎回申请的确认按照该日净赎回额度（即开放期前一日基金份额总数乘以15%）加计当日的申购申请占该日实际赎回申请的比例进行部分确认。如净赎回数量占比未超过15%（含），则对当日的赎回申请全部确认。如净赎回数量小于零，即发生净申购时，则对当日的赎回申请全部确认。</w:t>
      </w:r>
      <w:r>
        <w:rPr>
          <w:rFonts w:hint="eastAsia"/>
          <w:szCs w:val="21"/>
          <w:lang/>
        </w:rPr>
        <w:br/>
        <w:t xml:space="preserve">　　3、基金管理人将于受限开放日后两个工作日内，在规定报刊和规定网站上公告本次受限开放日申购、赎回实际确认情况。</w:t>
      </w:r>
      <w:r>
        <w:rPr>
          <w:rFonts w:hint="eastAsia"/>
          <w:szCs w:val="21"/>
          <w:lang/>
        </w:rPr>
        <w:br/>
        <w:t xml:space="preserve">　　4、基金管理人可根据市场情况，合理调整对申购金额和赎回份额的数量限制，基金管理人进行前述调整须在规定报刊和规定网站上公告。</w:t>
      </w:r>
      <w:r>
        <w:rPr>
          <w:rFonts w:hint="eastAsia"/>
          <w:szCs w:val="21"/>
          <w:lang/>
        </w:rPr>
        <w:br/>
        <w:t xml:space="preserve">　　5、基金管理人可以根据《基金合同》的相关约定调整费率或收费方式，基金管理人应于新的费率或收费方式实施前在规定报刊和规定网站上公告。</w:t>
      </w:r>
      <w:r>
        <w:rPr>
          <w:rFonts w:hint="eastAsia"/>
          <w:szCs w:val="21"/>
          <w:lang/>
        </w:rPr>
        <w:br/>
        <w:t xml:space="preserve">　　6、本公告仅对本基金开放申购、赎回有关事项予以说明。投资者欲了解本基金的详细情况，请详细阅读《中邮定期开放债券型证券投资基金基金合同》和《中邮定期开放债券型证券投资基金招募说明书》等相关资料。</w:t>
      </w:r>
      <w:r>
        <w:rPr>
          <w:rFonts w:hint="eastAsia"/>
          <w:szCs w:val="21"/>
          <w:lang/>
        </w:rPr>
        <w:br/>
        <w:t xml:space="preserve">　　7、有关本基金开放申购、赎回的具体规定若有变化，本公司将另行公告。</w:t>
      </w:r>
      <w:r>
        <w:rPr>
          <w:rFonts w:hint="eastAsia"/>
          <w:szCs w:val="21"/>
          <w:lang/>
        </w:rPr>
        <w:br/>
        <w:t xml:space="preserve">　　8、咨询方式：中邮创业基金管理股份有限公司客户服务电话：010-58511618、400-880-1618（固定电话、移动电话均可拨打）,公司网址：www.postfund.com.cn.</w:t>
      </w:r>
      <w:r>
        <w:rPr>
          <w:rFonts w:hint="eastAsia"/>
          <w:szCs w:val="21"/>
          <w:lang/>
        </w:rPr>
        <w:br/>
        <w:t xml:space="preserve">　　9、风险提示：本公司承诺以诚实信用、勤勉尽责的原则管理和运用基金财产，但不保证本基金一定盈利，也不保证最低收益。基金的过往业绩不代表未来业绩。敬请广大投资者注意投资风险，理性投资。</w:t>
      </w:r>
      <w:r>
        <w:rPr>
          <w:rFonts w:hint="eastAsia"/>
          <w:szCs w:val="21"/>
          <w:lang/>
        </w:rPr>
        <w:br/>
        <w:t xml:space="preserve">　　特此公告。 </w:t>
      </w:r>
    </w:p>
    <w:p w:rsidR="00565620" w:rsidRDefault="00565620">
      <w:pPr>
        <w:spacing w:line="360" w:lineRule="auto"/>
        <w:ind w:firstLineChars="600" w:firstLine="1265"/>
        <w:jc w:val="left"/>
        <w:rPr>
          <w:rFonts w:hint="eastAsia"/>
          <w:szCs w:val="21"/>
        </w:rPr>
      </w:pPr>
      <w:r>
        <w:rPr>
          <w:rFonts w:hint="eastAsia"/>
          <w:b/>
          <w:bCs/>
          <w:szCs w:val="21"/>
        </w:rPr>
        <w:t xml:space="preserve">　 </w:t>
      </w:r>
    </w:p>
    <w:p w:rsidR="00565620" w:rsidRDefault="00565620">
      <w:pPr>
        <w:spacing w:line="360" w:lineRule="auto"/>
        <w:ind w:firstLineChars="600" w:firstLine="1265"/>
        <w:jc w:val="left"/>
        <w:rPr>
          <w:rFonts w:hint="eastAsia"/>
          <w:szCs w:val="21"/>
        </w:rPr>
      </w:pPr>
      <w:r>
        <w:rPr>
          <w:rFonts w:hint="eastAsia"/>
          <w:b/>
          <w:bCs/>
          <w:szCs w:val="21"/>
        </w:rPr>
        <w:t xml:space="preserve">　 </w:t>
      </w:r>
    </w:p>
    <w:p w:rsidR="00565620" w:rsidRDefault="00565620">
      <w:pPr>
        <w:spacing w:line="360" w:lineRule="auto"/>
        <w:ind w:firstLineChars="600" w:firstLine="1260"/>
        <w:jc w:val="right"/>
        <w:rPr>
          <w:rFonts w:hint="eastAsia"/>
          <w:szCs w:val="21"/>
        </w:rPr>
      </w:pPr>
      <w:r>
        <w:rPr>
          <w:rFonts w:hint="eastAsia"/>
          <w:bCs/>
          <w:szCs w:val="21"/>
        </w:rPr>
        <w:t>中邮创业基金管理股份有限公司</w:t>
      </w:r>
    </w:p>
    <w:p w:rsidR="00565620" w:rsidRDefault="00565620">
      <w:pPr>
        <w:spacing w:line="360" w:lineRule="auto"/>
        <w:ind w:right="420" w:firstLineChars="600" w:firstLine="1260"/>
        <w:jc w:val="center"/>
        <w:rPr>
          <w:rFonts w:hint="eastAsia"/>
          <w:szCs w:val="21"/>
        </w:rPr>
      </w:pPr>
      <w:r>
        <w:rPr>
          <w:bCs/>
          <w:szCs w:val="21"/>
        </w:rPr>
        <w:t xml:space="preserve">                                               </w:t>
      </w:r>
      <w:r>
        <w:rPr>
          <w:rFonts w:hint="eastAsia"/>
          <w:bCs/>
          <w:szCs w:val="21"/>
        </w:rPr>
        <w:t xml:space="preserve">2025年11月26日 </w:t>
      </w:r>
    </w:p>
    <w:p w:rsidR="00565620" w:rsidRDefault="00565620">
      <w:pPr>
        <w:spacing w:line="360" w:lineRule="auto"/>
        <w:jc w:val="center"/>
        <w:rPr>
          <w:rFonts w:hint="eastAsia"/>
          <w:sz w:val="24"/>
          <w:szCs w:val="30"/>
        </w:rPr>
      </w:pPr>
      <w:r>
        <w:rPr>
          <w:rFonts w:hint="eastAsia"/>
          <w:sz w:val="24"/>
          <w:szCs w:val="30"/>
        </w:rPr>
        <w:t xml:space="preserve">　 </w:t>
      </w:r>
    </w:p>
    <w:p w:rsidR="00565620" w:rsidRDefault="00565620">
      <w:pPr>
        <w:spacing w:line="360" w:lineRule="auto"/>
        <w:jc w:val="center"/>
        <w:rPr>
          <w:rFonts w:hint="eastAsia"/>
          <w:sz w:val="24"/>
          <w:szCs w:val="30"/>
        </w:rPr>
      </w:pPr>
      <w:r>
        <w:rPr>
          <w:rFonts w:hint="eastAsia"/>
          <w:sz w:val="24"/>
          <w:szCs w:val="30"/>
        </w:rPr>
        <w:t xml:space="preserve">　 </w:t>
      </w:r>
    </w:p>
    <w:p w:rsidR="00565620" w:rsidRDefault="00565620">
      <w:pPr>
        <w:spacing w:line="360" w:lineRule="auto"/>
        <w:jc w:val="center"/>
        <w:rPr>
          <w:rFonts w:hint="eastAsia"/>
          <w:sz w:val="24"/>
          <w:szCs w:val="30"/>
        </w:rPr>
      </w:pPr>
      <w:r>
        <w:rPr>
          <w:rFonts w:hint="eastAsia"/>
          <w:sz w:val="24"/>
          <w:szCs w:val="30"/>
        </w:rPr>
        <w:t xml:space="preserve">　 </w:t>
      </w:r>
    </w:p>
    <w:p w:rsidR="00565620" w:rsidRDefault="00565620" w:rsidP="008930D0">
      <w:pPr>
        <w:spacing w:line="360" w:lineRule="auto"/>
        <w:jc w:val="center"/>
        <w:rPr>
          <w:rFonts w:hint="eastAsia"/>
          <w:sz w:val="24"/>
          <w:szCs w:val="30"/>
        </w:rPr>
      </w:pPr>
      <w:r>
        <w:rPr>
          <w:rFonts w:hint="eastAsia"/>
          <w:sz w:val="24"/>
          <w:szCs w:val="30"/>
        </w:rPr>
        <w:t xml:space="preserve">　 </w:t>
      </w:r>
    </w:p>
    <w:p w:rsidR="00565620" w:rsidRPr="008930D0" w:rsidRDefault="00565620" w:rsidP="008930D0">
      <w:pPr>
        <w:spacing w:line="360" w:lineRule="auto"/>
        <w:jc w:val="center"/>
        <w:rPr>
          <w:rFonts w:hint="eastAsia"/>
          <w:sz w:val="24"/>
          <w:szCs w:val="30"/>
        </w:rPr>
      </w:pPr>
      <w:r>
        <w:rPr>
          <w:rFonts w:hint="eastAsia"/>
          <w:sz w:val="24"/>
          <w:szCs w:val="30"/>
        </w:rPr>
        <w:t xml:space="preserve">　 </w:t>
      </w:r>
    </w:p>
    <w:sectPr w:rsidR="00565620" w:rsidRPr="008930D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620" w:rsidRDefault="00565620">
      <w:r>
        <w:separator/>
      </w:r>
    </w:p>
  </w:endnote>
  <w:endnote w:type="continuationSeparator" w:id="0">
    <w:p w:rsidR="00565620" w:rsidRDefault="00565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20" w:rsidRDefault="0056562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E13D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E13D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20" w:rsidRDefault="00565620">
    <w:pPr>
      <w:pStyle w:val="a6"/>
      <w:rPr>
        <w:rFonts w:hint="eastAsia"/>
      </w:rPr>
    </w:pPr>
  </w:p>
  <w:p w:rsidR="00565620" w:rsidRDefault="0056562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E13D5">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E13D5">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565620" w:rsidRDefault="00565620">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620" w:rsidRDefault="00565620">
      <w:r>
        <w:separator/>
      </w:r>
    </w:p>
  </w:footnote>
  <w:footnote w:type="continuationSeparator" w:id="0">
    <w:p w:rsidR="00565620" w:rsidRDefault="00565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20" w:rsidRDefault="00565620">
    <w:pPr>
      <w:pStyle w:val="a7"/>
      <w:jc w:val="right"/>
    </w:pPr>
    <w:r>
      <w:rPr>
        <w:rFonts w:hint="eastAsia"/>
      </w:rPr>
      <w:t>中邮定期开放债券型证券投资基金基金开放日常申购、赎回业务公告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20" w:rsidRDefault="00565620">
    <w:pPr>
      <w:pStyle w:val="a7"/>
      <w:jc w:val="right"/>
      <w:rPr>
        <w:rFonts w:hint="eastAsia"/>
      </w:rPr>
    </w:pPr>
    <w:r>
      <w:rPr>
        <w:rFonts w:hint="eastAsia"/>
      </w:rPr>
      <w:t>中邮定期开放债券型证券投资基金基金开放日常申购、赎回业务公告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4BB"/>
    <w:rsid w:val="00455595"/>
    <w:rsid w:val="00486FB9"/>
    <w:rsid w:val="00565620"/>
    <w:rsid w:val="008930D0"/>
    <w:rsid w:val="009E13D5"/>
    <w:rsid w:val="00AB6C02"/>
    <w:rsid w:val="00E374BB"/>
    <w:rsid w:val="3D55709E"/>
    <w:rsid w:val="75FA6E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1"/>
    <w:uiPriority w:val="9"/>
    <w:qFormat/>
    <w:pPr>
      <w:keepNext/>
      <w:keepLines/>
      <w:spacing w:before="240" w:after="290" w:line="372" w:lineRule="auto"/>
      <w:outlineLvl w:val="4"/>
    </w:pPr>
    <w:rPr>
      <w:b/>
      <w:bCs/>
      <w:sz w:val="24"/>
      <w:szCs w:val="24"/>
    </w:rPr>
  </w:style>
  <w:style w:type="paragraph" w:styleId="6">
    <w:name w:val="heading 6"/>
    <w:basedOn w:val="a"/>
    <w:next w:val="a"/>
    <w:link w:val="6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12"/>
    <w:rPr>
      <w:sz w:val="32"/>
    </w:rPr>
  </w:style>
  <w:style w:type="character" w:customStyle="1" w:styleId="12">
    <w:name w:val="日期 字符1"/>
    <w:link w:val="a4"/>
    <w:locked/>
    <w:rPr>
      <w:rFonts w:ascii="宋体" w:eastAsia="宋体" w:hAnsi="宋体" w:hint="eastAsia"/>
      <w:kern w:val="2"/>
      <w:sz w:val="32"/>
    </w:rPr>
  </w:style>
  <w:style w:type="paragraph" w:styleId="a5">
    <w:name w:val="Balloon Text"/>
    <w:basedOn w:val="a"/>
    <w:link w:val="13"/>
    <w:uiPriority w:val="99"/>
    <w:unhideWhenUsed/>
    <w:rPr>
      <w:sz w:val="18"/>
      <w:szCs w:val="18"/>
    </w:rPr>
  </w:style>
  <w:style w:type="character" w:customStyle="1" w:styleId="13">
    <w:name w:val="批注框文本 字符1"/>
    <w:link w:val="a5"/>
    <w:uiPriority w:val="99"/>
    <w:semiHidden/>
    <w:locked/>
    <w:rPr>
      <w:kern w:val="2"/>
      <w:sz w:val="18"/>
      <w:szCs w:val="18"/>
    </w:rPr>
  </w:style>
  <w:style w:type="paragraph" w:styleId="a6">
    <w:name w:val="footer"/>
    <w:basedOn w:val="a"/>
    <w:link w:val="14"/>
    <w:uiPriority w:val="99"/>
    <w:pPr>
      <w:tabs>
        <w:tab w:val="center" w:pos="4153"/>
        <w:tab w:val="right" w:pos="8306"/>
      </w:tabs>
      <w:snapToGrid w:val="0"/>
      <w:jc w:val="left"/>
    </w:pPr>
    <w:rPr>
      <w:sz w:val="18"/>
      <w:szCs w:val="18"/>
    </w:rPr>
  </w:style>
  <w:style w:type="character" w:customStyle="1" w:styleId="14">
    <w:name w:val="页脚 字符1"/>
    <w:link w:val="a6"/>
    <w:uiPriority w:val="99"/>
    <w:locked/>
    <w:rPr>
      <w:kern w:val="2"/>
      <w:sz w:val="18"/>
      <w:szCs w:val="18"/>
    </w:rPr>
  </w:style>
  <w:style w:type="paragraph" w:styleId="a7">
    <w:name w:val="header"/>
    <w:basedOn w:val="a"/>
    <w:link w:val="20"/>
    <w:uiPriority w:val="99"/>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7"/>
    <w:locked/>
    <w:rPr>
      <w:kern w:val="2"/>
      <w:sz w:val="18"/>
      <w:szCs w:val="18"/>
    </w:rPr>
  </w:style>
  <w:style w:type="paragraph" w:styleId="15">
    <w:name w:val="toc 1"/>
    <w:basedOn w:val="a"/>
    <w:next w:val="a"/>
    <w:uiPriority w:val="39"/>
    <w:unhideWhenUsed/>
    <w:pPr>
      <w:tabs>
        <w:tab w:val="right" w:leader="dot" w:pos="8835"/>
      </w:tabs>
    </w:pPr>
    <w:rPr>
      <w:lang w:val="en-US" w:eastAsia="zh-CN"/>
    </w:rPr>
  </w:style>
  <w:style w:type="paragraph" w:styleId="a8">
    <w:name w:val="Subtitle"/>
    <w:basedOn w:val="2"/>
    <w:next w:val="3"/>
    <w:link w:val="16"/>
    <w:qFormat/>
    <w:pPr>
      <w:spacing w:before="240" w:after="60" w:line="312" w:lineRule="auto"/>
      <w:jc w:val="left"/>
    </w:pPr>
    <w:rPr>
      <w:bCs w:val="0"/>
      <w:kern w:val="24"/>
      <w:sz w:val="24"/>
    </w:rPr>
  </w:style>
  <w:style w:type="character" w:customStyle="1" w:styleId="16">
    <w:name w:val="副标题 字符1"/>
    <w:link w:val="a8"/>
    <w:locked/>
    <w:rPr>
      <w:rFonts w:ascii="Cambria" w:eastAsia="宋体" w:hAnsi="Cambria" w:cs="宋体" w:hint="default"/>
      <w:b/>
      <w:bCs w:val="0"/>
      <w:kern w:val="24"/>
      <w:sz w:val="24"/>
      <w:szCs w:val="32"/>
    </w:rPr>
  </w:style>
  <w:style w:type="paragraph" w:styleId="a9">
    <w:name w:val="footnote text"/>
    <w:basedOn w:val="a"/>
    <w:link w:val="17"/>
    <w:pPr>
      <w:snapToGrid w:val="0"/>
      <w:jc w:val="left"/>
    </w:pPr>
    <w:rPr>
      <w:sz w:val="18"/>
      <w:szCs w:val="18"/>
    </w:rPr>
  </w:style>
  <w:style w:type="character" w:customStyle="1" w:styleId="17">
    <w:name w:val="脚注文本 字符1"/>
    <w:link w:val="a9"/>
    <w:locked/>
    <w:rPr>
      <w:kern w:val="2"/>
      <w:sz w:val="18"/>
      <w:szCs w:val="18"/>
    </w:rPr>
  </w:style>
  <w:style w:type="paragraph" w:styleId="22">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18"/>
    <w:uiPriority w:val="10"/>
    <w:qFormat/>
    <w:pPr>
      <w:keepNext w:val="0"/>
      <w:keepLines w:val="0"/>
      <w:spacing w:before="240" w:after="60" w:line="240" w:lineRule="auto"/>
      <w:jc w:val="center"/>
    </w:pPr>
    <w:rPr>
      <w:rFonts w:ascii="Cambria" w:hAnsi="Cambria"/>
      <w:kern w:val="0"/>
      <w:sz w:val="32"/>
      <w:szCs w:val="32"/>
    </w:rPr>
  </w:style>
  <w:style w:type="character" w:customStyle="1" w:styleId="18">
    <w:name w:val="标题 字符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1">
    <w:name w:val="页眉 Char"/>
    <w:link w:val="a7"/>
    <w:uiPriority w:val="99"/>
    <w:locked/>
    <w:rPr>
      <w:kern w:val="2"/>
      <w:sz w:val="18"/>
      <w:szCs w:val="18"/>
    </w:rPr>
  </w:style>
  <w:style w:type="character" w:customStyle="1" w:styleId="Char2">
    <w:name w:val="页脚 Char"/>
    <w:link w:val="a6"/>
    <w:uiPriority w:val="99"/>
    <w:locked/>
    <w:rPr>
      <w:kern w:val="2"/>
      <w:sz w:val="18"/>
      <w:szCs w:val="18"/>
    </w:rPr>
  </w:style>
  <w:style w:type="character" w:customStyle="1" w:styleId="Char3">
    <w:name w:val="标题 Char"/>
    <w:link w:val="ab"/>
    <w:uiPriority w:val="10"/>
    <w:locked/>
    <w:rPr>
      <w:rFonts w:ascii="Cambria" w:hAnsi="Cambria" w:cs="Times New Roman" w:hint="default"/>
      <w:b/>
      <w:bCs/>
      <w:kern w:val="2"/>
      <w:sz w:val="32"/>
      <w:szCs w:val="32"/>
    </w:rPr>
  </w:style>
  <w:style w:type="character" w:customStyle="1" w:styleId="Char4">
    <w:name w:val="副标题 Char"/>
    <w:link w:val="a8"/>
    <w:locked/>
    <w:rPr>
      <w:rFonts w:ascii="Cambria" w:hAnsi="Cambria" w:cs="Times New Roman" w:hint="default"/>
      <w:b/>
      <w:bCs/>
      <w:kern w:val="24"/>
      <w:sz w:val="32"/>
      <w:szCs w:val="32"/>
    </w:rPr>
  </w:style>
  <w:style w:type="character" w:customStyle="1" w:styleId="Char5">
    <w:name w:val="日期 Char"/>
    <w:link w:val="a4"/>
    <w:locked/>
    <w:rPr>
      <w:kern w:val="2"/>
      <w:sz w:val="21"/>
    </w:rPr>
  </w:style>
  <w:style w:type="character" w:customStyle="1" w:styleId="Char6">
    <w:name w:val="文档结构图 Char"/>
    <w:link w:val="a3"/>
    <w:locked/>
    <w:rPr>
      <w:rFonts w:ascii="宋体" w:eastAsia="宋体" w:hAnsi="宋体" w:hint="eastAsia"/>
      <w:kern w:val="2"/>
      <w:sz w:val="18"/>
      <w:szCs w:val="18"/>
    </w:rPr>
  </w:style>
  <w:style w:type="character" w:customStyle="1" w:styleId="Char7">
    <w:name w:val="批注框文本 Char"/>
    <w:link w:val="a5"/>
    <w:uiPriority w:val="99"/>
    <w:semiHidden/>
    <w:locked/>
    <w:rPr>
      <w:kern w:val="2"/>
      <w:sz w:val="18"/>
      <w:szCs w:val="18"/>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ostfund.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4156</Characters>
  <Application>Microsoft Office Word</Application>
  <DocSecurity>4</DocSecurity>
  <Lines>34</Lines>
  <Paragraphs>9</Paragraphs>
  <ScaleCrop>false</ScaleCrop>
  <Company/>
  <LinksUpToDate>false</LinksUpToDate>
  <CharactersWithSpaces>4875</CharactersWithSpaces>
  <SharedDoc>false</SharedDoc>
  <HLinks>
    <vt:vector size="6" baseType="variant">
      <vt:variant>
        <vt:i4>7798819</vt:i4>
      </vt:variant>
      <vt:variant>
        <vt:i4>0</vt:i4>
      </vt:variant>
      <vt:variant>
        <vt:i4>0</vt:i4>
      </vt:variant>
      <vt:variant>
        <vt:i4>5</vt:i4>
      </vt:variant>
      <vt:variant>
        <vt:lpwstr>https://i.postfund.com.cn/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2025-11-25T16:00:00Z</dcterms:created>
  <dcterms:modified xsi:type="dcterms:W3CDTF">2025-11-25T16:00:00Z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eyJoZGlkIjoiNTZkMGJlZWFhNWQzYWU4Y2QxMDg2Yjg1OGU1NjFhNGYiLCJ1c2VySWQiOiIxNzE5NjI2MDMxIn0=</vt:lpwstr>
  </property>
  <property fmtid="{D5CDD505-2E9C-101B-9397-08002B2CF9AE}" pid="4" name="ICV">
    <vt:lpwstr>D93DF4C421604C0AACD338DB73A7C678_12</vt:lpwstr>
  </property>
</Properties>
</file>