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4C" w:rsidRDefault="00667E81" w:rsidP="0075162B">
      <w:pPr>
        <w:spacing w:line="360" w:lineRule="auto"/>
        <w:ind w:firstLineChars="200" w:firstLine="482"/>
        <w:jc w:val="center"/>
        <w:rPr>
          <w:rFonts w:ascii="Times New Roman" w:hAnsiTheme="minorEastAsia" w:cs="Times New Roman"/>
          <w:b/>
          <w:sz w:val="24"/>
          <w:szCs w:val="24"/>
        </w:rPr>
      </w:pPr>
      <w:bookmarkStart w:id="0" w:name="_GoBack"/>
      <w:bookmarkEnd w:id="0"/>
      <w:r>
        <w:rPr>
          <w:rFonts w:ascii="Times New Roman" w:hAnsiTheme="minorEastAsia" w:cs="Times New Roman" w:hint="eastAsia"/>
          <w:b/>
          <w:sz w:val="24"/>
          <w:szCs w:val="24"/>
        </w:rPr>
        <w:t>华夏安博仓储物流封闭式基础设施证券投资基金</w:t>
      </w:r>
    </w:p>
    <w:p w:rsidR="00B36BC9" w:rsidRDefault="0075162B" w:rsidP="0075162B">
      <w:pPr>
        <w:spacing w:line="360" w:lineRule="auto"/>
        <w:ind w:firstLineChars="200" w:firstLine="482"/>
        <w:jc w:val="center"/>
        <w:rPr>
          <w:rFonts w:ascii="Times New Roman" w:hAnsiTheme="minorEastAsia" w:cs="Times New Roman"/>
          <w:b/>
          <w:sz w:val="24"/>
          <w:szCs w:val="24"/>
        </w:rPr>
      </w:pPr>
      <w:r w:rsidRPr="0075162B">
        <w:rPr>
          <w:rFonts w:ascii="Times New Roman" w:hAnsiTheme="minorEastAsia" w:cs="Times New Roman" w:hint="eastAsia"/>
          <w:b/>
          <w:sz w:val="24"/>
          <w:szCs w:val="24"/>
        </w:rPr>
        <w:t>开通跨系统转托管</w:t>
      </w:r>
      <w:r>
        <w:rPr>
          <w:rFonts w:ascii="Times New Roman" w:hAnsiTheme="minorEastAsia" w:cs="Times New Roman" w:hint="eastAsia"/>
          <w:b/>
          <w:sz w:val="24"/>
          <w:szCs w:val="24"/>
        </w:rPr>
        <w:t>业务的</w:t>
      </w:r>
      <w:r w:rsidR="00B36BC9" w:rsidRPr="00F301AA">
        <w:rPr>
          <w:rFonts w:ascii="Times New Roman" w:hAnsiTheme="minorEastAsia" w:cs="Times New Roman"/>
          <w:b/>
          <w:sz w:val="24"/>
          <w:szCs w:val="24"/>
        </w:rPr>
        <w:t>公告</w:t>
      </w:r>
    </w:p>
    <w:p w:rsidR="00F301AA" w:rsidRPr="00F301AA" w:rsidRDefault="00F301AA" w:rsidP="00B36BC9">
      <w:pPr>
        <w:spacing w:line="360" w:lineRule="auto"/>
        <w:ind w:firstLineChars="200" w:firstLine="482"/>
        <w:jc w:val="center"/>
        <w:rPr>
          <w:rFonts w:ascii="Times New Roman" w:hAnsi="Times New Roman" w:cs="Times New Roman"/>
          <w:b/>
          <w:sz w:val="24"/>
          <w:szCs w:val="24"/>
        </w:rPr>
      </w:pPr>
    </w:p>
    <w:p w:rsidR="0075162B" w:rsidRPr="0075162B" w:rsidRDefault="008C09BC" w:rsidP="0075162B">
      <w:pPr>
        <w:spacing w:line="360" w:lineRule="auto"/>
        <w:ind w:firstLineChars="200" w:firstLine="480"/>
        <w:rPr>
          <w:rFonts w:ascii="Times New Roman" w:hAnsiTheme="minorEastAsia" w:cs="Times New Roman"/>
          <w:sz w:val="24"/>
          <w:szCs w:val="24"/>
        </w:rPr>
      </w:pPr>
      <w:r>
        <w:rPr>
          <w:rFonts w:ascii="Times New Roman" w:hAnsiTheme="minorEastAsia" w:cs="Times New Roman" w:hint="eastAsia"/>
          <w:sz w:val="24"/>
          <w:szCs w:val="24"/>
        </w:rPr>
        <w:t>华夏基金管理有限公司（以下简称“本公司”）</w:t>
      </w:r>
      <w:r w:rsidR="00EE44EF">
        <w:rPr>
          <w:rFonts w:ascii="Times New Roman" w:hAnsiTheme="minorEastAsia" w:cs="Times New Roman" w:hint="eastAsia"/>
          <w:sz w:val="24"/>
          <w:szCs w:val="24"/>
        </w:rPr>
        <w:t>旗下</w:t>
      </w:r>
      <w:r w:rsidR="00667E81">
        <w:rPr>
          <w:rFonts w:ascii="Times New Roman" w:hAnsiTheme="minorEastAsia" w:cs="Times New Roman" w:hint="eastAsia"/>
          <w:sz w:val="24"/>
          <w:szCs w:val="24"/>
        </w:rPr>
        <w:t>华夏安博仓储物流封闭式基础设施证券投资基金</w:t>
      </w:r>
      <w:r w:rsidR="0075162B" w:rsidRPr="0075162B">
        <w:rPr>
          <w:rFonts w:ascii="Times New Roman" w:hAnsiTheme="minorEastAsia" w:cs="Times New Roman" w:hint="eastAsia"/>
          <w:sz w:val="24"/>
          <w:szCs w:val="24"/>
        </w:rPr>
        <w:t>（基金场内简称：</w:t>
      </w:r>
      <w:r w:rsidR="00667E81" w:rsidRPr="00667E81">
        <w:rPr>
          <w:rFonts w:ascii="Times New Roman" w:hAnsiTheme="minorEastAsia" w:cs="Times New Roman" w:hint="eastAsia"/>
          <w:sz w:val="24"/>
          <w:szCs w:val="24"/>
        </w:rPr>
        <w:t>华夏安博仓储</w:t>
      </w:r>
      <w:r w:rsidR="00667E81" w:rsidRPr="00667E81">
        <w:rPr>
          <w:rFonts w:ascii="Times New Roman" w:hAnsiTheme="minorEastAsia" w:cs="Times New Roman" w:hint="eastAsia"/>
          <w:sz w:val="24"/>
          <w:szCs w:val="24"/>
        </w:rPr>
        <w:t>REIT</w:t>
      </w:r>
      <w:r w:rsidR="0075162B" w:rsidRPr="0075162B">
        <w:rPr>
          <w:rFonts w:ascii="Times New Roman" w:hAnsiTheme="minorEastAsia" w:cs="Times New Roman" w:hint="eastAsia"/>
          <w:sz w:val="24"/>
          <w:szCs w:val="24"/>
        </w:rPr>
        <w:t>，基金代码：</w:t>
      </w:r>
      <w:r w:rsidR="00667E81" w:rsidRPr="00667E81">
        <w:rPr>
          <w:rFonts w:ascii="Times New Roman" w:hAnsiTheme="minorEastAsia" w:cs="Times New Roman"/>
          <w:sz w:val="24"/>
          <w:szCs w:val="24"/>
        </w:rPr>
        <w:t>180306</w:t>
      </w:r>
      <w:r w:rsidR="005C6992">
        <w:rPr>
          <w:rFonts w:ascii="Times New Roman" w:hAnsiTheme="minorEastAsia" w:cs="Times New Roman" w:hint="eastAsia"/>
          <w:sz w:val="24"/>
          <w:szCs w:val="24"/>
        </w:rPr>
        <w:t>，以下简称“本基金”）</w:t>
      </w:r>
      <w:r w:rsidR="006B36EC">
        <w:rPr>
          <w:rFonts w:ascii="Times New Roman" w:hAnsiTheme="minorEastAsia" w:cs="Times New Roman" w:hint="eastAsia"/>
          <w:sz w:val="24"/>
          <w:szCs w:val="24"/>
        </w:rPr>
        <w:t>的</w:t>
      </w:r>
      <w:r w:rsidR="005C6992">
        <w:rPr>
          <w:rFonts w:ascii="Times New Roman" w:hAnsiTheme="minorEastAsia" w:cs="Times New Roman" w:hint="eastAsia"/>
          <w:sz w:val="24"/>
          <w:szCs w:val="24"/>
        </w:rPr>
        <w:t>基金合同</w:t>
      </w:r>
      <w:r w:rsidR="00213327">
        <w:rPr>
          <w:rFonts w:ascii="Times New Roman" w:hAnsiTheme="minorEastAsia" w:cs="Times New Roman" w:hint="eastAsia"/>
          <w:sz w:val="24"/>
          <w:szCs w:val="24"/>
        </w:rPr>
        <w:t>自</w:t>
      </w:r>
      <w:r w:rsidR="00667E81" w:rsidRPr="0075162B">
        <w:rPr>
          <w:rFonts w:ascii="Times New Roman" w:hAnsiTheme="minorEastAsia" w:cs="Times New Roman" w:hint="eastAsia"/>
          <w:sz w:val="24"/>
          <w:szCs w:val="24"/>
        </w:rPr>
        <w:t>202</w:t>
      </w:r>
      <w:r w:rsidR="00667E81">
        <w:rPr>
          <w:rFonts w:ascii="Times New Roman" w:hAnsiTheme="minorEastAsia" w:cs="Times New Roman"/>
          <w:sz w:val="24"/>
          <w:szCs w:val="24"/>
        </w:rPr>
        <w:t>5</w:t>
      </w:r>
      <w:r w:rsidR="00667E81" w:rsidRPr="0075162B">
        <w:rPr>
          <w:rFonts w:ascii="Times New Roman" w:hAnsiTheme="minorEastAsia" w:cs="Times New Roman" w:hint="eastAsia"/>
          <w:sz w:val="24"/>
          <w:szCs w:val="24"/>
        </w:rPr>
        <w:t>年</w:t>
      </w:r>
      <w:r w:rsidR="00667E81">
        <w:rPr>
          <w:rFonts w:ascii="Times New Roman" w:hAnsiTheme="minorEastAsia" w:cs="Times New Roman"/>
          <w:sz w:val="24"/>
          <w:szCs w:val="24"/>
        </w:rPr>
        <w:t>11</w:t>
      </w:r>
      <w:r w:rsidR="0075162B" w:rsidRPr="0075162B">
        <w:rPr>
          <w:rFonts w:ascii="Times New Roman" w:hAnsiTheme="minorEastAsia" w:cs="Times New Roman" w:hint="eastAsia"/>
          <w:sz w:val="24"/>
          <w:szCs w:val="24"/>
        </w:rPr>
        <w:t>月</w:t>
      </w:r>
      <w:r w:rsidR="00667E81">
        <w:rPr>
          <w:rFonts w:ascii="Times New Roman" w:hAnsiTheme="minorEastAsia" w:cs="Times New Roman"/>
          <w:sz w:val="24"/>
          <w:szCs w:val="24"/>
        </w:rPr>
        <w:t>18</w:t>
      </w:r>
      <w:r w:rsidR="0075162B" w:rsidRPr="0075162B">
        <w:rPr>
          <w:rFonts w:ascii="Times New Roman" w:hAnsiTheme="minorEastAsia" w:cs="Times New Roman" w:hint="eastAsia"/>
          <w:sz w:val="24"/>
          <w:szCs w:val="24"/>
        </w:rPr>
        <w:t>日</w:t>
      </w:r>
      <w:r w:rsidR="00213327">
        <w:rPr>
          <w:rFonts w:ascii="Times New Roman" w:hAnsiTheme="minorEastAsia" w:cs="Times New Roman" w:hint="eastAsia"/>
          <w:sz w:val="24"/>
          <w:szCs w:val="24"/>
        </w:rPr>
        <w:t>起</w:t>
      </w:r>
      <w:r w:rsidR="0075162B" w:rsidRPr="0075162B">
        <w:rPr>
          <w:rFonts w:ascii="Times New Roman" w:hAnsiTheme="minorEastAsia" w:cs="Times New Roman" w:hint="eastAsia"/>
          <w:sz w:val="24"/>
          <w:szCs w:val="24"/>
        </w:rPr>
        <w:t>正式生效。</w:t>
      </w:r>
    </w:p>
    <w:p w:rsidR="008F6ED8" w:rsidRDefault="0075162B" w:rsidP="00DA0EF3">
      <w:pPr>
        <w:spacing w:line="360" w:lineRule="auto"/>
        <w:ind w:firstLineChars="200" w:firstLine="480"/>
        <w:rPr>
          <w:rFonts w:ascii="Times New Roman" w:hAnsiTheme="minorEastAsia" w:cs="Times New Roman"/>
          <w:sz w:val="24"/>
          <w:szCs w:val="24"/>
        </w:rPr>
      </w:pPr>
      <w:r w:rsidRPr="0075162B">
        <w:rPr>
          <w:rFonts w:ascii="Times New Roman" w:hAnsiTheme="minorEastAsia" w:cs="Times New Roman" w:hint="eastAsia"/>
          <w:sz w:val="24"/>
          <w:szCs w:val="24"/>
        </w:rPr>
        <w:t>为向投资者提供更优质的服务，经</w:t>
      </w:r>
      <w:r w:rsidR="007D4C3C">
        <w:rPr>
          <w:rFonts w:ascii="Times New Roman" w:hAnsiTheme="minorEastAsia" w:cs="Times New Roman" w:hint="eastAsia"/>
          <w:sz w:val="24"/>
          <w:szCs w:val="24"/>
        </w:rPr>
        <w:t>本公司</w:t>
      </w:r>
      <w:r w:rsidRPr="0075162B">
        <w:rPr>
          <w:rFonts w:ascii="Times New Roman" w:hAnsiTheme="minorEastAsia" w:cs="Times New Roman" w:hint="eastAsia"/>
          <w:sz w:val="24"/>
          <w:szCs w:val="24"/>
        </w:rPr>
        <w:t>向中国证券登记结算有限责任公司申请，</w:t>
      </w:r>
      <w:r w:rsidR="00DF72B1">
        <w:rPr>
          <w:rFonts w:ascii="Times New Roman" w:hAnsiTheme="minorEastAsia" w:cs="Times New Roman" w:hint="eastAsia"/>
          <w:sz w:val="24"/>
          <w:szCs w:val="24"/>
        </w:rPr>
        <w:t>本基金</w:t>
      </w:r>
      <w:r w:rsidRPr="0075162B">
        <w:rPr>
          <w:rFonts w:ascii="Times New Roman" w:hAnsiTheme="minorEastAsia" w:cs="Times New Roman" w:hint="eastAsia"/>
          <w:sz w:val="24"/>
          <w:szCs w:val="24"/>
        </w:rPr>
        <w:t>自</w:t>
      </w:r>
      <w:r w:rsidR="00667E81" w:rsidRPr="00B04D26">
        <w:rPr>
          <w:rFonts w:ascii="Times New Roman" w:hAnsiTheme="minorEastAsia" w:cs="Times New Roman" w:hint="eastAsia"/>
          <w:sz w:val="24"/>
          <w:szCs w:val="24"/>
        </w:rPr>
        <w:t>2025</w:t>
      </w:r>
      <w:r w:rsidR="00667E81" w:rsidRPr="00B04D26">
        <w:rPr>
          <w:rFonts w:ascii="Times New Roman" w:hAnsiTheme="minorEastAsia" w:cs="Times New Roman" w:hint="eastAsia"/>
          <w:sz w:val="24"/>
          <w:szCs w:val="24"/>
        </w:rPr>
        <w:t>年</w:t>
      </w:r>
      <w:r w:rsidR="00667E81">
        <w:rPr>
          <w:rFonts w:ascii="Times New Roman" w:hAnsiTheme="minorEastAsia" w:cs="Times New Roman"/>
          <w:sz w:val="24"/>
          <w:szCs w:val="24"/>
        </w:rPr>
        <w:t>11</w:t>
      </w:r>
      <w:r w:rsidR="00B04D26" w:rsidRPr="00B04D26">
        <w:rPr>
          <w:rFonts w:ascii="Times New Roman" w:hAnsiTheme="minorEastAsia" w:cs="Times New Roman" w:hint="eastAsia"/>
          <w:sz w:val="24"/>
          <w:szCs w:val="24"/>
        </w:rPr>
        <w:t>月</w:t>
      </w:r>
      <w:r w:rsidR="00667E81">
        <w:rPr>
          <w:rFonts w:ascii="Times New Roman" w:hAnsiTheme="minorEastAsia" w:cs="Times New Roman"/>
          <w:sz w:val="24"/>
          <w:szCs w:val="24"/>
        </w:rPr>
        <w:t>25</w:t>
      </w:r>
      <w:r w:rsidR="00B04D26" w:rsidRPr="00B04D26">
        <w:rPr>
          <w:rFonts w:ascii="Times New Roman" w:hAnsiTheme="minorEastAsia" w:cs="Times New Roman" w:hint="eastAsia"/>
          <w:sz w:val="24"/>
          <w:szCs w:val="24"/>
        </w:rPr>
        <w:t>日</w:t>
      </w:r>
      <w:r w:rsidR="00DF72B1">
        <w:rPr>
          <w:rFonts w:ascii="Times New Roman" w:hAnsiTheme="minorEastAsia" w:cs="Times New Roman" w:hint="eastAsia"/>
          <w:sz w:val="24"/>
          <w:szCs w:val="24"/>
        </w:rPr>
        <w:t>起开通办理</w:t>
      </w:r>
      <w:r w:rsidRPr="0075162B">
        <w:rPr>
          <w:rFonts w:ascii="Times New Roman" w:hAnsiTheme="minorEastAsia" w:cs="Times New Roman" w:hint="eastAsia"/>
          <w:sz w:val="24"/>
          <w:szCs w:val="24"/>
        </w:rPr>
        <w:t>跨系统转托管业务。</w:t>
      </w:r>
      <w:r w:rsidR="001B2ED8">
        <w:rPr>
          <w:rFonts w:ascii="Times New Roman" w:hAnsiTheme="minorEastAsia" w:cs="Times New Roman" w:hint="eastAsia"/>
          <w:sz w:val="24"/>
          <w:szCs w:val="24"/>
        </w:rPr>
        <w:t>自</w:t>
      </w:r>
      <w:r w:rsidR="00667E81" w:rsidRPr="00B04D26">
        <w:rPr>
          <w:rFonts w:ascii="Times New Roman" w:hAnsiTheme="minorEastAsia" w:cs="Times New Roman" w:hint="eastAsia"/>
          <w:sz w:val="24"/>
          <w:szCs w:val="24"/>
        </w:rPr>
        <w:t>2025</w:t>
      </w:r>
      <w:r w:rsidR="00667E81" w:rsidRPr="00B04D26">
        <w:rPr>
          <w:rFonts w:ascii="Times New Roman" w:hAnsiTheme="minorEastAsia" w:cs="Times New Roman" w:hint="eastAsia"/>
          <w:sz w:val="24"/>
          <w:szCs w:val="24"/>
        </w:rPr>
        <w:t>年</w:t>
      </w:r>
      <w:r w:rsidR="00667E81">
        <w:rPr>
          <w:rFonts w:ascii="Times New Roman" w:hAnsiTheme="minorEastAsia" w:cs="Times New Roman"/>
          <w:sz w:val="24"/>
          <w:szCs w:val="24"/>
        </w:rPr>
        <w:t>11</w:t>
      </w:r>
      <w:r w:rsidR="00B04D26" w:rsidRPr="00B04D26">
        <w:rPr>
          <w:rFonts w:ascii="Times New Roman" w:hAnsiTheme="minorEastAsia" w:cs="Times New Roman" w:hint="eastAsia"/>
          <w:sz w:val="24"/>
          <w:szCs w:val="24"/>
        </w:rPr>
        <w:t>月</w:t>
      </w:r>
      <w:r w:rsidR="00667E81">
        <w:rPr>
          <w:rFonts w:ascii="Times New Roman" w:hAnsiTheme="minorEastAsia" w:cs="Times New Roman"/>
          <w:sz w:val="24"/>
          <w:szCs w:val="24"/>
        </w:rPr>
        <w:t>25</w:t>
      </w:r>
      <w:r w:rsidR="00B04D26" w:rsidRPr="00B04D26">
        <w:rPr>
          <w:rFonts w:ascii="Times New Roman" w:hAnsiTheme="minorEastAsia" w:cs="Times New Roman" w:hint="eastAsia"/>
          <w:sz w:val="24"/>
          <w:szCs w:val="24"/>
        </w:rPr>
        <w:t>日</w:t>
      </w:r>
      <w:r w:rsidR="001B2ED8">
        <w:rPr>
          <w:rFonts w:ascii="Times New Roman" w:hAnsiTheme="minorEastAsia" w:cs="Times New Roman" w:hint="eastAsia"/>
          <w:sz w:val="24"/>
          <w:szCs w:val="24"/>
        </w:rPr>
        <w:t>起</w:t>
      </w:r>
      <w:r w:rsidR="00AE5E57">
        <w:rPr>
          <w:rFonts w:ascii="Times New Roman" w:hAnsiTheme="minorEastAsia" w:cs="Times New Roman" w:hint="eastAsia"/>
          <w:sz w:val="24"/>
          <w:szCs w:val="24"/>
        </w:rPr>
        <w:t>，</w:t>
      </w:r>
      <w:r w:rsidR="00DA0EF3">
        <w:rPr>
          <w:rFonts w:ascii="Times New Roman" w:hAnsiTheme="minorEastAsia" w:cs="Times New Roman" w:hint="eastAsia"/>
          <w:sz w:val="24"/>
          <w:szCs w:val="24"/>
        </w:rPr>
        <w:t>投资者</w:t>
      </w:r>
      <w:r w:rsidR="00AE5E57" w:rsidRPr="00AE5E57">
        <w:rPr>
          <w:rFonts w:ascii="Times New Roman" w:hAnsiTheme="minorEastAsia" w:cs="Times New Roman" w:hint="eastAsia"/>
          <w:sz w:val="24"/>
          <w:szCs w:val="24"/>
        </w:rPr>
        <w:t>可以通过</w:t>
      </w:r>
      <w:r w:rsidR="00B95E76">
        <w:rPr>
          <w:rFonts w:ascii="Times New Roman" w:hAnsiTheme="minorEastAsia" w:cs="Times New Roman" w:hint="eastAsia"/>
          <w:sz w:val="24"/>
          <w:szCs w:val="24"/>
        </w:rPr>
        <w:t>购买</w:t>
      </w:r>
      <w:r w:rsidR="00AE5E57" w:rsidRPr="00AE5E57">
        <w:rPr>
          <w:rFonts w:ascii="Times New Roman" w:hAnsiTheme="minorEastAsia" w:cs="Times New Roman" w:hint="eastAsia"/>
          <w:sz w:val="24"/>
          <w:szCs w:val="24"/>
        </w:rPr>
        <w:t>本基金的销售机构办理本基金的跨系统转托管业务。</w:t>
      </w:r>
      <w:r w:rsidRPr="0075162B">
        <w:rPr>
          <w:rFonts w:ascii="Times New Roman" w:hAnsiTheme="minorEastAsia" w:cs="Times New Roman" w:hint="eastAsia"/>
          <w:sz w:val="24"/>
          <w:szCs w:val="24"/>
        </w:rPr>
        <w:t>跨系统转托管</w:t>
      </w:r>
      <w:r w:rsidR="0019060D">
        <w:rPr>
          <w:rFonts w:ascii="Times New Roman" w:hAnsiTheme="minorEastAsia" w:cs="Times New Roman" w:hint="eastAsia"/>
          <w:sz w:val="24"/>
          <w:szCs w:val="24"/>
        </w:rPr>
        <w:t>业务</w:t>
      </w:r>
      <w:r w:rsidRPr="0075162B">
        <w:rPr>
          <w:rFonts w:ascii="Times New Roman" w:hAnsiTheme="minorEastAsia" w:cs="Times New Roman" w:hint="eastAsia"/>
          <w:sz w:val="24"/>
          <w:szCs w:val="24"/>
        </w:rPr>
        <w:t>的具体</w:t>
      </w:r>
      <w:r w:rsidR="000B02E6">
        <w:rPr>
          <w:rFonts w:ascii="Times New Roman" w:hAnsiTheme="minorEastAsia" w:cs="Times New Roman" w:hint="eastAsia"/>
          <w:sz w:val="24"/>
          <w:szCs w:val="24"/>
        </w:rPr>
        <w:t>办理遵循</w:t>
      </w:r>
      <w:r w:rsidRPr="0075162B">
        <w:rPr>
          <w:rFonts w:ascii="Times New Roman" w:hAnsiTheme="minorEastAsia" w:cs="Times New Roman" w:hint="eastAsia"/>
          <w:sz w:val="24"/>
          <w:szCs w:val="24"/>
        </w:rPr>
        <w:t>中国证券登记结算有限责任公司的相关规定。</w:t>
      </w:r>
      <w:r w:rsidR="00DB6CE3">
        <w:rPr>
          <w:rFonts w:ascii="Times New Roman" w:hAnsiTheme="minorEastAsia" w:cs="Times New Roman" w:hint="eastAsia"/>
          <w:sz w:val="24"/>
          <w:szCs w:val="24"/>
        </w:rPr>
        <w:t>本基金</w:t>
      </w:r>
      <w:r w:rsidRPr="0075162B">
        <w:rPr>
          <w:rFonts w:ascii="Times New Roman" w:hAnsiTheme="minorEastAsia" w:cs="Times New Roman" w:hint="eastAsia"/>
          <w:sz w:val="24"/>
          <w:szCs w:val="24"/>
        </w:rPr>
        <w:t>系统内转托管业务的办理规则以</w:t>
      </w:r>
      <w:r w:rsidR="009F03CF" w:rsidRPr="0075162B">
        <w:rPr>
          <w:rFonts w:ascii="Times New Roman" w:hAnsiTheme="minorEastAsia" w:cs="Times New Roman" w:hint="eastAsia"/>
          <w:sz w:val="24"/>
          <w:szCs w:val="24"/>
        </w:rPr>
        <w:t>中国证券登记结算有限责任公司</w:t>
      </w:r>
      <w:r w:rsidR="009F03CF">
        <w:rPr>
          <w:rFonts w:ascii="Times New Roman" w:hAnsiTheme="minorEastAsia" w:cs="Times New Roman" w:hint="eastAsia"/>
          <w:sz w:val="24"/>
          <w:szCs w:val="24"/>
        </w:rPr>
        <w:t>、</w:t>
      </w:r>
      <w:r w:rsidR="006D64B5">
        <w:rPr>
          <w:rFonts w:ascii="Times New Roman" w:hAnsiTheme="minorEastAsia" w:cs="Times New Roman" w:hint="eastAsia"/>
          <w:sz w:val="24"/>
          <w:szCs w:val="24"/>
        </w:rPr>
        <w:t>本基金</w:t>
      </w:r>
      <w:r w:rsidRPr="0075162B">
        <w:rPr>
          <w:rFonts w:ascii="Times New Roman" w:hAnsiTheme="minorEastAsia" w:cs="Times New Roman" w:hint="eastAsia"/>
          <w:sz w:val="24"/>
          <w:szCs w:val="24"/>
        </w:rPr>
        <w:t>招募说明书和销售机构的相关规定为准。</w:t>
      </w:r>
    </w:p>
    <w:p w:rsidR="00DA0EF3" w:rsidRPr="0075162B" w:rsidRDefault="0075162B" w:rsidP="00DA0EF3">
      <w:pPr>
        <w:spacing w:line="360" w:lineRule="auto"/>
        <w:ind w:firstLineChars="200" w:firstLine="480"/>
        <w:rPr>
          <w:rFonts w:ascii="Times New Roman" w:hAnsiTheme="minorEastAsia" w:cs="Times New Roman"/>
          <w:sz w:val="24"/>
          <w:szCs w:val="24"/>
        </w:rPr>
      </w:pPr>
      <w:r w:rsidRPr="0075162B">
        <w:rPr>
          <w:rFonts w:ascii="Times New Roman" w:hAnsiTheme="minorEastAsia" w:cs="Times New Roman" w:hint="eastAsia"/>
          <w:sz w:val="24"/>
          <w:szCs w:val="24"/>
        </w:rPr>
        <w:t>限售解除前，本基金的战略投资者不得办理跨系统转托管业务。</w:t>
      </w:r>
    </w:p>
    <w:p w:rsidR="0075162B" w:rsidRPr="0075162B" w:rsidRDefault="006F0B8D" w:rsidP="0075162B">
      <w:pPr>
        <w:spacing w:line="360" w:lineRule="auto"/>
        <w:ind w:firstLineChars="200" w:firstLine="480"/>
        <w:rPr>
          <w:rFonts w:ascii="Times New Roman" w:hAnsiTheme="minorEastAsia" w:cs="Times New Roman"/>
          <w:sz w:val="24"/>
          <w:szCs w:val="24"/>
        </w:rPr>
      </w:pPr>
      <w:r w:rsidRPr="007D4E4A">
        <w:rPr>
          <w:rFonts w:ascii="Times New Roman" w:eastAsia="宋体" w:hAnsi="宋体" w:cs="Times New Roman"/>
          <w:sz w:val="24"/>
          <w:szCs w:val="24"/>
        </w:rPr>
        <w:t>如有疑问，投资者可登录本</w:t>
      </w:r>
      <w:r w:rsidR="00C56F9D">
        <w:rPr>
          <w:rFonts w:ascii="Times New Roman" w:eastAsia="宋体" w:hAnsi="宋体" w:cs="Times New Roman" w:hint="eastAsia"/>
          <w:sz w:val="24"/>
          <w:szCs w:val="24"/>
        </w:rPr>
        <w:t>公司</w:t>
      </w:r>
      <w:r w:rsidRPr="007D4E4A">
        <w:rPr>
          <w:rFonts w:ascii="Times New Roman" w:eastAsia="宋体" w:hAnsi="宋体" w:cs="Times New Roman"/>
          <w:sz w:val="24"/>
          <w:szCs w:val="24"/>
        </w:rPr>
        <w:t>网站（</w:t>
      </w:r>
      <w:r w:rsidRPr="007D4E4A">
        <w:rPr>
          <w:rFonts w:ascii="Times New Roman" w:eastAsia="宋体" w:hAnsi="Times New Roman" w:cs="Times New Roman"/>
          <w:sz w:val="24"/>
          <w:szCs w:val="24"/>
        </w:rPr>
        <w:t>www.ChinaAMC.com</w:t>
      </w:r>
      <w:r w:rsidRPr="007D4E4A">
        <w:rPr>
          <w:rFonts w:ascii="Times New Roman" w:eastAsia="宋体" w:hAnsi="宋体" w:cs="Times New Roman"/>
          <w:sz w:val="24"/>
          <w:szCs w:val="24"/>
        </w:rPr>
        <w:t>）或拨打</w:t>
      </w:r>
      <w:r w:rsidR="00983053">
        <w:rPr>
          <w:rFonts w:ascii="Times New Roman" w:eastAsia="宋体" w:hAnsi="宋体" w:cs="Times New Roman" w:hint="eastAsia"/>
          <w:sz w:val="24"/>
          <w:szCs w:val="24"/>
        </w:rPr>
        <w:t>本公司</w:t>
      </w:r>
      <w:r w:rsidRPr="007D4E4A">
        <w:rPr>
          <w:rFonts w:ascii="Times New Roman" w:eastAsia="宋体" w:hAnsi="宋体" w:cs="Times New Roman"/>
          <w:sz w:val="24"/>
          <w:szCs w:val="24"/>
        </w:rPr>
        <w:t>客户服务电话（</w:t>
      </w:r>
      <w:r w:rsidRPr="007D4E4A">
        <w:rPr>
          <w:rFonts w:ascii="Times New Roman" w:eastAsia="宋体" w:hAnsi="Times New Roman" w:cs="Times New Roman"/>
          <w:sz w:val="24"/>
          <w:szCs w:val="24"/>
        </w:rPr>
        <w:t>400-818-6666</w:t>
      </w:r>
      <w:r w:rsidRPr="007D4E4A">
        <w:rPr>
          <w:rFonts w:ascii="Times New Roman" w:eastAsia="宋体" w:hAnsi="宋体" w:cs="Times New Roman"/>
          <w:sz w:val="24"/>
          <w:szCs w:val="24"/>
        </w:rPr>
        <w:t>）</w:t>
      </w:r>
      <w:r w:rsidRPr="00B13396">
        <w:rPr>
          <w:rFonts w:asciiTheme="minorEastAsia" w:hAnsiTheme="minorEastAsia" w:hint="eastAsia"/>
          <w:sz w:val="24"/>
          <w:szCs w:val="28"/>
        </w:rPr>
        <w:t>咨询</w:t>
      </w:r>
      <w:r w:rsidR="00292E21">
        <w:rPr>
          <w:rFonts w:asciiTheme="minorEastAsia" w:hAnsiTheme="minorEastAsia" w:hint="eastAsia"/>
          <w:sz w:val="24"/>
          <w:szCs w:val="28"/>
        </w:rPr>
        <w:t>、了解</w:t>
      </w:r>
      <w:r w:rsidRPr="00B13396">
        <w:rPr>
          <w:rFonts w:asciiTheme="minorEastAsia" w:hAnsiTheme="minorEastAsia" w:hint="eastAsia"/>
          <w:sz w:val="24"/>
          <w:szCs w:val="28"/>
        </w:rPr>
        <w:t>详情。</w:t>
      </w:r>
    </w:p>
    <w:p w:rsidR="00807607" w:rsidRPr="00807607" w:rsidRDefault="0036134C" w:rsidP="00807607">
      <w:pPr>
        <w:tabs>
          <w:tab w:val="left" w:pos="1110"/>
        </w:tabs>
        <w:adjustRightInd w:val="0"/>
        <w:spacing w:line="360" w:lineRule="auto"/>
        <w:ind w:firstLineChars="200" w:firstLine="482"/>
        <w:rPr>
          <w:b/>
          <w:color w:val="000000" w:themeColor="text1"/>
          <w:sz w:val="24"/>
        </w:rPr>
      </w:pPr>
      <w:r w:rsidRPr="000803A8">
        <w:rPr>
          <w:b/>
          <w:color w:val="000000" w:themeColor="text1"/>
          <w:sz w:val="24"/>
        </w:rPr>
        <w:t>风险提示：</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本基金为基础设施证券投资基金，与投资股票或债券的公募基金具有不同的风险收益特征，基础设施基金</w:t>
      </w:r>
      <w:r w:rsidRPr="00667E81">
        <w:rPr>
          <w:rFonts w:ascii="Times New Roman" w:hAnsi="Times New Roman" w:cs="Times New Roman"/>
          <w:b/>
          <w:color w:val="000000" w:themeColor="text1"/>
          <w:sz w:val="24"/>
        </w:rPr>
        <w:t>80%</w:t>
      </w:r>
      <w:r w:rsidRPr="00667E81">
        <w:rPr>
          <w:rFonts w:ascii="Times New Roman" w:hAnsi="Times New Roman" w:cs="Times New Roman"/>
          <w:b/>
          <w:color w:val="000000" w:themeColor="text1"/>
          <w:sz w:val="24"/>
        </w:rPr>
        <w:t>以上基金资产投资于基础设施资产支持证券，并持有其全部份额，本基金通过基础设施资产支持证券持有基础设施项目公司全部股权，通过资产支持证券和项目公司等载体取得基础设施项目的完全所有权或经营权利。基础设施基金以获取基础设施项目租金、收费等稳定现金流为主要目的，收益分配比例不低于合并后基金年度可供分配金额的</w:t>
      </w:r>
      <w:r w:rsidRPr="00667E81">
        <w:rPr>
          <w:rFonts w:ascii="Times New Roman" w:hAnsi="Times New Roman" w:cs="Times New Roman"/>
          <w:b/>
          <w:color w:val="000000" w:themeColor="text1"/>
          <w:sz w:val="24"/>
        </w:rPr>
        <w:t>90%</w:t>
      </w:r>
      <w:r w:rsidRPr="00667E81">
        <w:rPr>
          <w:rFonts w:ascii="Times New Roman" w:hAnsi="Times New Roman" w:cs="Times New Roman"/>
          <w:b/>
          <w:color w:val="000000" w:themeColor="text1"/>
          <w:sz w:val="24"/>
        </w:rPr>
        <w:t>。本基金与股票型基金、混合型基金和债券型基金等有不同的风险收益特征</w:t>
      </w:r>
      <w:r w:rsidRPr="00667E81">
        <w:rPr>
          <w:rFonts w:ascii="Times New Roman" w:hAnsi="Times New Roman" w:cs="Times New Roman"/>
          <w:b/>
          <w:color w:val="000000" w:themeColor="text1"/>
          <w:sz w:val="24"/>
        </w:rPr>
        <w:t>,</w:t>
      </w:r>
      <w:r w:rsidRPr="00667E81">
        <w:rPr>
          <w:rFonts w:ascii="Times New Roman" w:hAnsi="Times New Roman" w:cs="Times New Roman"/>
          <w:b/>
          <w:color w:val="000000" w:themeColor="text1"/>
          <w:sz w:val="24"/>
        </w:rPr>
        <w:t>本基金的预期风险和收益高于债券型基金和货币市场基金，低于股票型基金。本基金需承担投资基础设施项目因投资环境、投资标的以及市场制度等差异带来的特有风险。投资者应充分了解基础设施基金投资风险及本招募说明书所披露的风险因素，审慎作出投资决定。</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基础设施基金采取封闭式运作，不开放申购与赎回，在深圳证券交易所上市，场外基金份额持有人可在基金通平台转让或将基金份额转托管至场内参与</w:t>
      </w:r>
      <w:r w:rsidRPr="00667E81">
        <w:rPr>
          <w:rFonts w:ascii="Times New Roman" w:hAnsi="Times New Roman" w:cs="Times New Roman"/>
          <w:b/>
          <w:color w:val="000000" w:themeColor="text1"/>
          <w:sz w:val="24"/>
        </w:rPr>
        <w:lastRenderedPageBreak/>
        <w:t>深圳证券交易所场内交易，具体可参照深圳证券交易所、登记机构相关规则办理。</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投资基础设施基金可能面临以下风险，包括但不限于：</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1</w:t>
      </w:r>
      <w:r w:rsidRPr="00667E81">
        <w:rPr>
          <w:rFonts w:ascii="Times New Roman" w:hAnsi="Times New Roman" w:cs="Times New Roman"/>
          <w:b/>
          <w:color w:val="000000" w:themeColor="text1"/>
          <w:sz w:val="24"/>
        </w:rPr>
        <w:t>、与公募基金相关的风险</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本基金为公开募集基础设施证券投资基金，可能面临的与公募基金相关的风险包括：基金价格波动风险、流动性风险、新基金种类不达预期的风险、投资集中度较高的风险、交易失败的风险、暂停上市或终止上市的风险、中止发售的风险、基金份额交易价格折溢价风险、基金可供分配金额预测风险、基金限售份额解禁风险、税收等政策调整风险、管理风险、受同一基金管理人管理基金之间的竞争、利益冲突风险、基金运作的合规性风险、证券市场风险（包括政策风险、经济周期风险、信用风险、利率风险、收益率曲线风险、购买力风险）等。</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2</w:t>
      </w:r>
      <w:r w:rsidRPr="00667E81">
        <w:rPr>
          <w:rFonts w:ascii="Times New Roman" w:hAnsi="Times New Roman" w:cs="Times New Roman"/>
          <w:b/>
          <w:color w:val="000000" w:themeColor="text1"/>
          <w:sz w:val="24"/>
        </w:rPr>
        <w:t>、与专项计划相关的风险</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与专项计划相关的风险包括：运作风险和账户管理风险、计划管理人变更风险、专项计划不能成功备案的风险、收益无法按时归集和分配风险、计划管理人、专项计划托管人等机构尽责履约风险。</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3</w:t>
      </w:r>
      <w:r w:rsidRPr="00667E81">
        <w:rPr>
          <w:rFonts w:ascii="Times New Roman" w:hAnsi="Times New Roman" w:cs="Times New Roman"/>
          <w:b/>
          <w:color w:val="000000" w:themeColor="text1"/>
          <w:sz w:val="24"/>
        </w:rPr>
        <w:t>、与基础设施项目相关的风险</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本基金可能面临的与基础设施项目相关的风险包括：仓储物流行业相关风险、基础设施项目运营风险、基础设施项目关联交易的风险、原始权益人和运营管理机构的同业竞争和利益冲突风险、资产评估估值的相关风险、基础设施项目处置风险、意外事件及不可抗力给基础设施项目造成损失的风险等。</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本基金详细风险揭示详见本基金招募说明书及其更新。</w:t>
      </w:r>
    </w:p>
    <w:p w:rsidR="00807607" w:rsidRPr="00667E81" w:rsidRDefault="00667E81" w:rsidP="00807607">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基础设施项目在评估、现金流测算等过程中，使用了较多的假设前提，这些假设前提在未来是否能够实现存在一定不确定性，投资者应当对这些假设前提进行审慎判断。</w:t>
      </w:r>
    </w:p>
    <w:p w:rsidR="00667E81" w:rsidRPr="00667E81" w:rsidRDefault="00667E81" w:rsidP="00667E8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基金管理人管理的其他基金的业绩不构成对本基金业绩表现的保证，基金的过往业绩并不预示其未来表现。本基金的可供分配金额测算报告的相关预测结果不代表基金存续期间基础设施项目真实的现金流分配情况，也不代表本基金能够按照可供分配金额预测结果进行分配；本基金基础设施项目评估报告的</w:t>
      </w:r>
      <w:r w:rsidRPr="00667E81">
        <w:rPr>
          <w:rFonts w:ascii="Times New Roman" w:hAnsi="Times New Roman" w:cs="Times New Roman"/>
          <w:b/>
          <w:color w:val="000000" w:themeColor="text1"/>
          <w:sz w:val="24"/>
        </w:rPr>
        <w:lastRenderedPageBreak/>
        <w:t>相关评估结果不代表基础设施项目的实际可交易价格，不代表基础设施项目能够按照评估结果进行转让。</w:t>
      </w:r>
    </w:p>
    <w:p w:rsidR="00B26441" w:rsidRPr="00667E81" w:rsidRDefault="00667E81" w:rsidP="00B26441">
      <w:pPr>
        <w:tabs>
          <w:tab w:val="left" w:pos="1110"/>
        </w:tabs>
        <w:adjustRightInd w:val="0"/>
        <w:spacing w:line="360" w:lineRule="auto"/>
        <w:ind w:firstLineChars="200" w:firstLine="482"/>
        <w:rPr>
          <w:rFonts w:ascii="Times New Roman" w:hAnsi="Times New Roman" w:cs="Times New Roman"/>
          <w:b/>
          <w:color w:val="000000" w:themeColor="text1"/>
          <w:sz w:val="24"/>
        </w:rPr>
      </w:pPr>
      <w:r w:rsidRPr="00667E81">
        <w:rPr>
          <w:rFonts w:ascii="Times New Roman" w:hAnsi="Times New Roman" w:cs="Times New Roman"/>
          <w:b/>
          <w:color w:val="000000" w:themeColor="text1"/>
          <w:sz w:val="24"/>
        </w:rPr>
        <w:t>基金管理人依照恪尽职守、诚实信用、谨慎勤勉的原则管理和运用基金财产，但不保证基金一定盈利，也不保证最低收益。基金管理人提醒投资者基金投资的</w:t>
      </w:r>
      <w:r w:rsidRPr="00667E81">
        <w:rPr>
          <w:rFonts w:ascii="Times New Roman" w:hAnsi="Times New Roman" w:cs="Times New Roman"/>
          <w:b/>
          <w:color w:val="000000" w:themeColor="text1"/>
          <w:sz w:val="24"/>
        </w:rPr>
        <w:t>“</w:t>
      </w:r>
      <w:r w:rsidRPr="00667E81">
        <w:rPr>
          <w:rFonts w:ascii="Times New Roman" w:hAnsi="Times New Roman" w:cs="Times New Roman"/>
          <w:b/>
          <w:color w:val="000000" w:themeColor="text1"/>
          <w:sz w:val="24"/>
        </w:rPr>
        <w:t>买者自负</w:t>
      </w:r>
      <w:r w:rsidRPr="00667E81">
        <w:rPr>
          <w:rFonts w:ascii="Times New Roman" w:hAnsi="Times New Roman" w:cs="Times New Roman"/>
          <w:b/>
          <w:color w:val="000000" w:themeColor="text1"/>
          <w:sz w:val="24"/>
        </w:rPr>
        <w:t>”</w:t>
      </w:r>
      <w:r w:rsidRPr="00667E81">
        <w:rPr>
          <w:rFonts w:ascii="Times New Roman" w:hAnsi="Times New Roman" w:cs="Times New Roman"/>
          <w:b/>
          <w:color w:val="000000" w:themeColor="text1"/>
          <w:sz w:val="24"/>
        </w:rPr>
        <w:t>原则，在做出投资决策后，基金运营状况与基金净值变化引致的投资风险，由投资者自行负担。投资者在参与本基金相关业务前，应当认真阅读本基金基金合同、招募说明书、基金产品资料概要等信息披露文件，熟悉基础设施基金相关规则，自主判断基金投资价值，自主做出投资决策，自行承担投资风险，全面认识本基金的风险收益特征和产品特性，并根据自身的投资目的、投资期限、投资经验、资产状况等判断基金是否和自身风险承受能力相适应，理性判断市场，谨慎做出投资决策。</w:t>
      </w:r>
    </w:p>
    <w:p w:rsidR="00B36BC9" w:rsidRDefault="00B36BC9" w:rsidP="00B26441">
      <w:pPr>
        <w:spacing w:line="360" w:lineRule="auto"/>
        <w:ind w:firstLineChars="200" w:firstLine="480"/>
        <w:rPr>
          <w:rFonts w:ascii="Times New Roman" w:hAnsiTheme="minorEastAsia" w:cs="Times New Roman"/>
          <w:sz w:val="24"/>
          <w:szCs w:val="24"/>
        </w:rPr>
      </w:pPr>
      <w:r w:rsidRPr="00F301AA">
        <w:rPr>
          <w:rFonts w:ascii="Times New Roman" w:hAnsiTheme="minorEastAsia" w:cs="Times New Roman"/>
          <w:sz w:val="24"/>
          <w:szCs w:val="24"/>
        </w:rPr>
        <w:t>特此公告</w:t>
      </w:r>
    </w:p>
    <w:p w:rsidR="00AE5E57" w:rsidRPr="00F301AA" w:rsidRDefault="00AE5E57" w:rsidP="00F301AA">
      <w:pPr>
        <w:spacing w:line="360" w:lineRule="auto"/>
        <w:ind w:firstLineChars="200" w:firstLine="480"/>
        <w:rPr>
          <w:rFonts w:ascii="Times New Roman" w:hAnsiTheme="minorEastAsia" w:cs="Times New Roman"/>
          <w:sz w:val="24"/>
          <w:szCs w:val="24"/>
        </w:rPr>
      </w:pPr>
    </w:p>
    <w:p w:rsidR="00B36BC9" w:rsidRPr="00F301AA" w:rsidRDefault="00B36BC9" w:rsidP="00F301AA">
      <w:pPr>
        <w:spacing w:line="360" w:lineRule="auto"/>
        <w:ind w:firstLineChars="200" w:firstLine="480"/>
        <w:rPr>
          <w:rFonts w:ascii="Times New Roman" w:hAnsiTheme="minorEastAsia" w:cs="Times New Roman"/>
          <w:sz w:val="24"/>
          <w:szCs w:val="24"/>
        </w:rPr>
      </w:pPr>
    </w:p>
    <w:p w:rsidR="00B36BC9" w:rsidRPr="00F301AA" w:rsidRDefault="00B36BC9" w:rsidP="00F301AA">
      <w:pPr>
        <w:spacing w:line="360" w:lineRule="auto"/>
        <w:ind w:firstLineChars="200" w:firstLine="480"/>
        <w:jc w:val="right"/>
        <w:rPr>
          <w:rFonts w:ascii="Times New Roman" w:hAnsi="Times New Roman" w:cs="Times New Roman"/>
          <w:sz w:val="24"/>
          <w:szCs w:val="24"/>
        </w:rPr>
      </w:pPr>
      <w:r w:rsidRPr="00F301AA">
        <w:rPr>
          <w:rFonts w:ascii="Times New Roman" w:hAnsiTheme="minorEastAsia" w:cs="Times New Roman"/>
          <w:sz w:val="24"/>
          <w:szCs w:val="24"/>
        </w:rPr>
        <w:t>华夏基金管理有限公司</w:t>
      </w:r>
    </w:p>
    <w:p w:rsidR="00B36BC9" w:rsidRPr="00F301AA" w:rsidRDefault="00B36BC9" w:rsidP="00B36BC9">
      <w:pPr>
        <w:widowControl/>
        <w:jc w:val="right"/>
        <w:rPr>
          <w:rFonts w:ascii="Times New Roman" w:hAnsi="Times New Roman" w:cs="Times New Roman"/>
          <w:sz w:val="24"/>
          <w:szCs w:val="24"/>
        </w:rPr>
      </w:pPr>
      <w:r w:rsidRPr="00F301AA">
        <w:rPr>
          <w:rFonts w:ascii="Times New Roman" w:hAnsiTheme="minorEastAsia" w:cs="Times New Roman"/>
          <w:sz w:val="24"/>
          <w:szCs w:val="24"/>
        </w:rPr>
        <w:t>二〇二</w:t>
      </w:r>
      <w:r w:rsidR="00B04D26">
        <w:rPr>
          <w:rFonts w:ascii="Times New Roman" w:hAnsiTheme="minorEastAsia" w:cs="Times New Roman" w:hint="eastAsia"/>
          <w:sz w:val="24"/>
          <w:szCs w:val="24"/>
        </w:rPr>
        <w:t>五</w:t>
      </w:r>
      <w:r w:rsidRPr="00F301AA">
        <w:rPr>
          <w:rFonts w:ascii="Times New Roman" w:hAnsiTheme="minorEastAsia" w:cs="Times New Roman"/>
          <w:sz w:val="24"/>
          <w:szCs w:val="24"/>
        </w:rPr>
        <w:t>年</w:t>
      </w:r>
      <w:r w:rsidR="00B04D26">
        <w:rPr>
          <w:rFonts w:ascii="Times New Roman" w:hAnsiTheme="minorEastAsia" w:cs="Times New Roman" w:hint="eastAsia"/>
          <w:sz w:val="24"/>
          <w:szCs w:val="24"/>
        </w:rPr>
        <w:t>十</w:t>
      </w:r>
      <w:r w:rsidR="00667E81">
        <w:rPr>
          <w:rFonts w:ascii="Times New Roman" w:hAnsiTheme="minorEastAsia" w:cs="Times New Roman" w:hint="eastAsia"/>
          <w:sz w:val="24"/>
          <w:szCs w:val="24"/>
        </w:rPr>
        <w:t>一</w:t>
      </w:r>
      <w:r w:rsidRPr="00F301AA">
        <w:rPr>
          <w:rFonts w:ascii="Times New Roman" w:hAnsiTheme="minorEastAsia" w:cs="Times New Roman"/>
          <w:sz w:val="24"/>
          <w:szCs w:val="24"/>
        </w:rPr>
        <w:t>月</w:t>
      </w:r>
      <w:r w:rsidR="00D058B6">
        <w:rPr>
          <w:rFonts w:ascii="Times New Roman" w:hAnsi="Times New Roman" w:cs="Times New Roman"/>
          <w:sz w:val="24"/>
          <w:szCs w:val="24"/>
        </w:rPr>
        <w:t>二十</w:t>
      </w:r>
      <w:r w:rsidR="00667E81">
        <w:rPr>
          <w:rFonts w:ascii="Times New Roman" w:hAnsi="Times New Roman" w:cs="Times New Roman" w:hint="eastAsia"/>
          <w:sz w:val="24"/>
          <w:szCs w:val="24"/>
        </w:rPr>
        <w:t>五</w:t>
      </w:r>
      <w:r w:rsidRPr="00F301AA">
        <w:rPr>
          <w:rFonts w:ascii="Times New Roman" w:hAnsiTheme="minorEastAsia" w:cs="Times New Roman"/>
          <w:sz w:val="24"/>
          <w:szCs w:val="24"/>
        </w:rPr>
        <w:t>日</w:t>
      </w:r>
    </w:p>
    <w:p w:rsidR="00B36BC9" w:rsidRPr="00F301AA" w:rsidRDefault="00B36BC9" w:rsidP="00B36BC9">
      <w:pPr>
        <w:widowControl/>
        <w:jc w:val="left"/>
        <w:rPr>
          <w:rFonts w:ascii="Times New Roman" w:hAnsi="Times New Roman" w:cs="Times New Roman"/>
          <w:sz w:val="24"/>
          <w:szCs w:val="24"/>
        </w:rPr>
      </w:pPr>
    </w:p>
    <w:sectPr w:rsidR="00B36BC9" w:rsidRPr="00F301AA" w:rsidSect="00874A5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853" w:rsidRDefault="00483853" w:rsidP="00B36BC9">
      <w:r>
        <w:separator/>
      </w:r>
    </w:p>
  </w:endnote>
  <w:endnote w:type="continuationSeparator" w:id="0">
    <w:p w:rsidR="00483853" w:rsidRDefault="00483853" w:rsidP="00B36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644142"/>
      <w:docPartObj>
        <w:docPartGallery w:val="Page Numbers (Bottom of Page)"/>
        <w:docPartUnique/>
      </w:docPartObj>
    </w:sdtPr>
    <w:sdtEndPr>
      <w:rPr>
        <w:rFonts w:ascii="Times New Roman" w:hAnsi="Times New Roman" w:cs="Times New Roman"/>
      </w:rPr>
    </w:sdtEndPr>
    <w:sdtContent>
      <w:p w:rsidR="001B2ED8" w:rsidRPr="00214B1D" w:rsidRDefault="00B5221D" w:rsidP="00214B1D">
        <w:pPr>
          <w:pStyle w:val="a4"/>
          <w:jc w:val="center"/>
          <w:rPr>
            <w:rFonts w:ascii="Times New Roman" w:hAnsi="Times New Roman" w:cs="Times New Roman"/>
          </w:rPr>
        </w:pPr>
        <w:r w:rsidRPr="00214B1D">
          <w:rPr>
            <w:rFonts w:ascii="Times New Roman" w:hAnsi="Times New Roman" w:cs="Times New Roman"/>
          </w:rPr>
          <w:fldChar w:fldCharType="begin"/>
        </w:r>
        <w:r w:rsidR="001B2ED8" w:rsidRPr="00214B1D">
          <w:rPr>
            <w:rFonts w:ascii="Times New Roman" w:hAnsi="Times New Roman" w:cs="Times New Roman"/>
          </w:rPr>
          <w:instrText xml:space="preserve"> PAGE   \* MERGEFORMAT </w:instrText>
        </w:r>
        <w:r w:rsidRPr="00214B1D">
          <w:rPr>
            <w:rFonts w:ascii="Times New Roman" w:hAnsi="Times New Roman" w:cs="Times New Roman"/>
          </w:rPr>
          <w:fldChar w:fldCharType="separate"/>
        </w:r>
        <w:r w:rsidR="00217AEE" w:rsidRPr="00217AEE">
          <w:rPr>
            <w:rFonts w:ascii="Times New Roman" w:hAnsi="Times New Roman" w:cs="Times New Roman"/>
            <w:noProof/>
            <w:lang w:val="zh-CN"/>
          </w:rPr>
          <w:t>1</w:t>
        </w:r>
        <w:r w:rsidRPr="00214B1D">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853" w:rsidRDefault="00483853" w:rsidP="00B36BC9">
      <w:r>
        <w:separator/>
      </w:r>
    </w:p>
  </w:footnote>
  <w:footnote w:type="continuationSeparator" w:id="0">
    <w:p w:rsidR="00483853" w:rsidRDefault="00483853" w:rsidP="00B36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D8" w:rsidRDefault="001B2ED8" w:rsidP="00F301A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BC9"/>
    <w:rsid w:val="000315C7"/>
    <w:rsid w:val="000B02E6"/>
    <w:rsid w:val="001304C7"/>
    <w:rsid w:val="0019060D"/>
    <w:rsid w:val="001B2ED8"/>
    <w:rsid w:val="00213327"/>
    <w:rsid w:val="00214B1D"/>
    <w:rsid w:val="00217AEE"/>
    <w:rsid w:val="002716A6"/>
    <w:rsid w:val="00292E21"/>
    <w:rsid w:val="002C7DE8"/>
    <w:rsid w:val="002E17FC"/>
    <w:rsid w:val="002F6011"/>
    <w:rsid w:val="0034615B"/>
    <w:rsid w:val="0036134C"/>
    <w:rsid w:val="00483853"/>
    <w:rsid w:val="004E7076"/>
    <w:rsid w:val="004F734D"/>
    <w:rsid w:val="0050586C"/>
    <w:rsid w:val="005B2FC6"/>
    <w:rsid w:val="005C6992"/>
    <w:rsid w:val="00667E81"/>
    <w:rsid w:val="006B36EC"/>
    <w:rsid w:val="006D64B5"/>
    <w:rsid w:val="006E6C86"/>
    <w:rsid w:val="006F0B8D"/>
    <w:rsid w:val="0075162B"/>
    <w:rsid w:val="007D4C3C"/>
    <w:rsid w:val="00807607"/>
    <w:rsid w:val="00874A57"/>
    <w:rsid w:val="008C09BC"/>
    <w:rsid w:val="008F12AC"/>
    <w:rsid w:val="008F1903"/>
    <w:rsid w:val="008F6ED8"/>
    <w:rsid w:val="009001C1"/>
    <w:rsid w:val="00910E83"/>
    <w:rsid w:val="00945ED2"/>
    <w:rsid w:val="009464E9"/>
    <w:rsid w:val="00983053"/>
    <w:rsid w:val="009F03CF"/>
    <w:rsid w:val="00A24739"/>
    <w:rsid w:val="00A65E26"/>
    <w:rsid w:val="00AE5E57"/>
    <w:rsid w:val="00B04D26"/>
    <w:rsid w:val="00B26441"/>
    <w:rsid w:val="00B36BC9"/>
    <w:rsid w:val="00B5221D"/>
    <w:rsid w:val="00B63653"/>
    <w:rsid w:val="00B95E76"/>
    <w:rsid w:val="00BB4D82"/>
    <w:rsid w:val="00BC1483"/>
    <w:rsid w:val="00BF07A2"/>
    <w:rsid w:val="00BF1B04"/>
    <w:rsid w:val="00C35527"/>
    <w:rsid w:val="00C56F9D"/>
    <w:rsid w:val="00CC6D3A"/>
    <w:rsid w:val="00D0345D"/>
    <w:rsid w:val="00D058B6"/>
    <w:rsid w:val="00D4613D"/>
    <w:rsid w:val="00D601C8"/>
    <w:rsid w:val="00D82CBF"/>
    <w:rsid w:val="00DA0EF3"/>
    <w:rsid w:val="00DB6CE3"/>
    <w:rsid w:val="00DC54D6"/>
    <w:rsid w:val="00DD5C40"/>
    <w:rsid w:val="00DE6376"/>
    <w:rsid w:val="00DF72B1"/>
    <w:rsid w:val="00E769D6"/>
    <w:rsid w:val="00EE44EF"/>
    <w:rsid w:val="00F05D16"/>
    <w:rsid w:val="00F301AA"/>
    <w:rsid w:val="00F35206"/>
    <w:rsid w:val="00F87CE1"/>
    <w:rsid w:val="00FD0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B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6BC9"/>
    <w:rPr>
      <w:sz w:val="18"/>
      <w:szCs w:val="18"/>
    </w:rPr>
  </w:style>
  <w:style w:type="paragraph" w:styleId="a4">
    <w:name w:val="footer"/>
    <w:basedOn w:val="a"/>
    <w:link w:val="Char0"/>
    <w:uiPriority w:val="99"/>
    <w:unhideWhenUsed/>
    <w:rsid w:val="00B36BC9"/>
    <w:pPr>
      <w:tabs>
        <w:tab w:val="center" w:pos="4153"/>
        <w:tab w:val="right" w:pos="8306"/>
      </w:tabs>
      <w:snapToGrid w:val="0"/>
      <w:jc w:val="left"/>
    </w:pPr>
    <w:rPr>
      <w:sz w:val="18"/>
      <w:szCs w:val="18"/>
    </w:rPr>
  </w:style>
  <w:style w:type="character" w:customStyle="1" w:styleId="Char0">
    <w:name w:val="页脚 Char"/>
    <w:basedOn w:val="a0"/>
    <w:link w:val="a4"/>
    <w:uiPriority w:val="99"/>
    <w:rsid w:val="00B36BC9"/>
    <w:rPr>
      <w:sz w:val="18"/>
      <w:szCs w:val="18"/>
    </w:rPr>
  </w:style>
  <w:style w:type="paragraph" w:styleId="a5">
    <w:name w:val="Balloon Text"/>
    <w:basedOn w:val="a"/>
    <w:link w:val="Char1"/>
    <w:uiPriority w:val="99"/>
    <w:semiHidden/>
    <w:unhideWhenUsed/>
    <w:rsid w:val="00B36BC9"/>
    <w:rPr>
      <w:sz w:val="18"/>
      <w:szCs w:val="18"/>
    </w:rPr>
  </w:style>
  <w:style w:type="character" w:customStyle="1" w:styleId="Char1">
    <w:name w:val="批注框文本 Char"/>
    <w:basedOn w:val="a0"/>
    <w:link w:val="a5"/>
    <w:uiPriority w:val="99"/>
    <w:semiHidden/>
    <w:rsid w:val="00B36BC9"/>
    <w:rPr>
      <w:sz w:val="18"/>
      <w:szCs w:val="18"/>
    </w:rPr>
  </w:style>
  <w:style w:type="paragraph" w:styleId="a6">
    <w:name w:val="Document Map"/>
    <w:basedOn w:val="a"/>
    <w:link w:val="Char2"/>
    <w:uiPriority w:val="99"/>
    <w:semiHidden/>
    <w:unhideWhenUsed/>
    <w:rsid w:val="00CC6D3A"/>
    <w:rPr>
      <w:rFonts w:ascii="宋体" w:eastAsia="宋体"/>
      <w:sz w:val="18"/>
      <w:szCs w:val="18"/>
    </w:rPr>
  </w:style>
  <w:style w:type="character" w:customStyle="1" w:styleId="Char2">
    <w:name w:val="文档结构图 Char"/>
    <w:basedOn w:val="a0"/>
    <w:link w:val="a6"/>
    <w:uiPriority w:val="99"/>
    <w:semiHidden/>
    <w:rsid w:val="00CC6D3A"/>
    <w:rPr>
      <w:rFonts w:ascii="宋体" w:eastAsia="宋体"/>
      <w:sz w:val="18"/>
      <w:szCs w:val="18"/>
    </w:rPr>
  </w:style>
  <w:style w:type="paragraph" w:customStyle="1" w:styleId="Default">
    <w:name w:val="Default"/>
    <w:rsid w:val="00DA0EF3"/>
    <w:pPr>
      <w:widowControl w:val="0"/>
      <w:autoSpaceDE w:val="0"/>
      <w:autoSpaceDN w:val="0"/>
      <w:adjustRightInd w:val="0"/>
    </w:pPr>
    <w:rPr>
      <w:rFonts w:ascii="宋体" w:eastAsia="宋体" w:cs="宋体"/>
      <w:color w:val="000000"/>
      <w:kern w:val="0"/>
      <w:sz w:val="24"/>
      <w:szCs w:val="24"/>
    </w:rPr>
  </w:style>
  <w:style w:type="paragraph" w:styleId="a7">
    <w:name w:val="Revision"/>
    <w:hidden/>
    <w:uiPriority w:val="99"/>
    <w:semiHidden/>
    <w:rsid w:val="00667E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4</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2025-11-24T16:01:00Z</dcterms:created>
  <dcterms:modified xsi:type="dcterms:W3CDTF">2025-11-24T16:01:00Z</dcterms:modified>
</cp:coreProperties>
</file>