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C8A" w:rsidRDefault="00973C8A">
      <w:pPr>
        <w:jc w:val="center"/>
        <w:rPr>
          <w:rFonts w:ascii="Times New Roman" w:hAnsi="Times New Roman" w:cs="Times New Roman"/>
          <w:b/>
          <w:sz w:val="24"/>
          <w:szCs w:val="24"/>
        </w:rPr>
      </w:pPr>
    </w:p>
    <w:p w:rsidR="00973C8A" w:rsidRDefault="00940945">
      <w:pPr>
        <w:jc w:val="center"/>
        <w:rPr>
          <w:rFonts w:ascii="Times New Roman" w:hAnsi="Times New Roman" w:cs="Times New Roman"/>
          <w:b/>
          <w:sz w:val="24"/>
          <w:szCs w:val="24"/>
        </w:rPr>
      </w:pPr>
      <w:r>
        <w:rPr>
          <w:rFonts w:ascii="Times New Roman" w:cs="Times New Roman" w:hint="eastAsia"/>
          <w:b/>
          <w:sz w:val="24"/>
          <w:szCs w:val="24"/>
        </w:rPr>
        <w:t>诺安基金管理有限公司关于诺安利鑫灵活配置混合型证券投资基金增加基金份额类别并修改基金合同、托管协议等法律文件部分条款的公告</w:t>
      </w:r>
    </w:p>
    <w:p w:rsidR="00973C8A" w:rsidRDefault="00973C8A">
      <w:pPr>
        <w:spacing w:line="276" w:lineRule="auto"/>
        <w:rPr>
          <w:rFonts w:ascii="Times New Roman" w:hAnsi="Times New Roman" w:cs="Times New Roman"/>
        </w:rPr>
      </w:pP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为满足投资者的理财需求，提供更多样化的投资途径，诺安基金管理有限公司（以下简称</w:t>
      </w:r>
      <w:r>
        <w:rPr>
          <w:rFonts w:ascii="Times New Roman" w:hAnsi="Times New Roman" w:cs="Times New Roman" w:hint="eastAsia"/>
        </w:rPr>
        <w:t>“</w:t>
      </w:r>
      <w:r>
        <w:rPr>
          <w:rFonts w:ascii="Times New Roman" w:cs="Times New Roman" w:hint="eastAsia"/>
        </w:rPr>
        <w:t>本公司</w:t>
      </w:r>
      <w:r>
        <w:rPr>
          <w:rFonts w:ascii="Times New Roman" w:hAnsi="Times New Roman" w:cs="Times New Roman" w:hint="eastAsia"/>
        </w:rPr>
        <w:t>”</w:t>
      </w:r>
      <w:r>
        <w:rPr>
          <w:rFonts w:ascii="宋体" w:hAnsi="宋体" w:cs="宋体" w:hint="eastAsia"/>
          <w:szCs w:val="21"/>
        </w:rPr>
        <w:t>或“基金管理人”</w:t>
      </w:r>
      <w:r>
        <w:rPr>
          <w:rFonts w:ascii="Times New Roman" w:cs="Times New Roman" w:hint="eastAsia"/>
        </w:rPr>
        <w:t>）根据《中华人民共和国证券投资基金法》《公开募集证券投资基金运作管理办法》及《</w:t>
      </w:r>
      <w:r>
        <w:rPr>
          <w:rFonts w:ascii="Times New Roman" w:cs="Times New Roman" w:hint="eastAsia"/>
        </w:rPr>
        <w:t>诺安利鑫灵活配置混合型证券投资基金</w:t>
      </w:r>
      <w:r>
        <w:rPr>
          <w:rFonts w:ascii="Times New Roman" w:cs="Times New Roman" w:hint="eastAsia"/>
        </w:rPr>
        <w:t>基金合同》的相关规定，并与</w:t>
      </w:r>
      <w:r>
        <w:rPr>
          <w:rFonts w:ascii="Times New Roman" w:cs="Times New Roman" w:hint="eastAsia"/>
        </w:rPr>
        <w:t>诺安利鑫灵活配置混合型证券投资基金</w:t>
      </w:r>
      <w:r>
        <w:rPr>
          <w:rFonts w:ascii="Times New Roman" w:cs="Times New Roman" w:hint="eastAsia"/>
        </w:rPr>
        <w:t>（以下简称“本基金”）的托管人中国工商银行股份有限公司协商一致，决定自</w:t>
      </w:r>
      <w:r>
        <w:rPr>
          <w:rFonts w:ascii="Times New Roman" w:cs="Times New Roman" w:hint="eastAsia"/>
        </w:rPr>
        <w:t>202</w:t>
      </w:r>
      <w:r>
        <w:rPr>
          <w:rFonts w:ascii="Times New Roman" w:cs="Times New Roman"/>
        </w:rPr>
        <w:t>5</w:t>
      </w:r>
      <w:r>
        <w:rPr>
          <w:rFonts w:ascii="Times New Roman" w:cs="Times New Roman" w:hint="eastAsia"/>
        </w:rPr>
        <w:t>年</w:t>
      </w:r>
      <w:r>
        <w:rPr>
          <w:rFonts w:ascii="Times New Roman" w:cs="Times New Roman" w:hint="eastAsia"/>
        </w:rPr>
        <w:t>11</w:t>
      </w:r>
      <w:r>
        <w:rPr>
          <w:rFonts w:ascii="Times New Roman" w:cs="Times New Roman" w:hint="eastAsia"/>
        </w:rPr>
        <w:t>月</w:t>
      </w:r>
      <w:r>
        <w:rPr>
          <w:rFonts w:ascii="Times New Roman" w:cs="Times New Roman" w:hint="eastAsia"/>
        </w:rPr>
        <w:t>25</w:t>
      </w:r>
      <w:r>
        <w:rPr>
          <w:rFonts w:ascii="Times New Roman" w:cs="Times New Roman" w:hint="eastAsia"/>
        </w:rPr>
        <w:t>日起，本基金增加</w:t>
      </w:r>
      <w:r>
        <w:rPr>
          <w:rFonts w:ascii="Times New Roman" w:cs="Times New Roman" w:hint="eastAsia"/>
        </w:rPr>
        <w:t>D</w:t>
      </w:r>
      <w:r>
        <w:rPr>
          <w:rFonts w:ascii="Times New Roman" w:cs="Times New Roman" w:hint="eastAsia"/>
        </w:rPr>
        <w:t>类基金份额，并修改基金合同、托管协议等法律文件的部分条款。现将有关事项公告如下：</w:t>
      </w:r>
    </w:p>
    <w:p w:rsidR="00973C8A" w:rsidRDefault="00940945" w:rsidP="00940945">
      <w:pPr>
        <w:spacing w:beforeLines="50" w:afterLines="50" w:line="360" w:lineRule="auto"/>
        <w:ind w:firstLineChars="200" w:firstLine="422"/>
        <w:rPr>
          <w:rFonts w:ascii="Times New Roman" w:hAnsi="Times New Roman" w:cs="Times New Roman"/>
          <w:b/>
          <w:bCs/>
        </w:rPr>
      </w:pPr>
      <w:r>
        <w:rPr>
          <w:rFonts w:ascii="Times New Roman" w:cs="Times New Roman" w:hint="eastAsia"/>
          <w:b/>
          <w:bCs/>
        </w:rPr>
        <w:t>一、基金份额分类情况</w:t>
      </w:r>
    </w:p>
    <w:p w:rsidR="00973C8A" w:rsidRDefault="00940945">
      <w:pPr>
        <w:spacing w:line="360" w:lineRule="auto"/>
        <w:ind w:firstLineChars="200" w:firstLine="420"/>
      </w:pPr>
      <w:r>
        <w:rPr>
          <w:rFonts w:ascii="Times New Roman" w:cs="Times New Roman" w:hint="eastAsia"/>
        </w:rPr>
        <w:t>本基金增加基金份额类别后，将设</w:t>
      </w:r>
      <w:r>
        <w:rPr>
          <w:rFonts w:ascii="Times New Roman" w:hAnsi="Times New Roman" w:cs="Times New Roman"/>
        </w:rPr>
        <w:t>A</w:t>
      </w:r>
      <w:r>
        <w:rPr>
          <w:rFonts w:ascii="Times New Roman" w:cs="Times New Roman" w:hint="eastAsia"/>
        </w:rPr>
        <w:t>类基金份额、</w:t>
      </w:r>
      <w:r>
        <w:rPr>
          <w:rFonts w:ascii="Times New Roman" w:hAnsi="Times New Roman" w:cs="Times New Roman"/>
        </w:rPr>
        <w:t>C</w:t>
      </w:r>
      <w:r>
        <w:rPr>
          <w:rFonts w:ascii="Times New Roman" w:cs="Times New Roman" w:hint="eastAsia"/>
        </w:rPr>
        <w:t>类基金份额和</w:t>
      </w:r>
      <w:r>
        <w:rPr>
          <w:rFonts w:ascii="Times New Roman" w:hAnsi="Times New Roman" w:cs="Times New Roman"/>
        </w:rPr>
        <w:t>D</w:t>
      </w:r>
      <w:r>
        <w:rPr>
          <w:rFonts w:ascii="Times New Roman" w:hAnsi="Times New Roman" w:cs="Times New Roman"/>
        </w:rPr>
        <w:t>类</w:t>
      </w:r>
      <w:r>
        <w:rPr>
          <w:rFonts w:ascii="Times New Roman" w:cs="Times New Roman" w:hint="eastAsia"/>
        </w:rPr>
        <w:t>基金份额三类基金份额。其中，</w:t>
      </w:r>
      <w:r>
        <w:rPr>
          <w:rFonts w:ascii="Times New Roman" w:hAnsi="Times New Roman" w:cs="Times New Roman"/>
        </w:rPr>
        <w:t>A</w:t>
      </w:r>
      <w:r>
        <w:rPr>
          <w:rFonts w:ascii="Times New Roman" w:cs="Times New Roman" w:hint="eastAsia"/>
        </w:rPr>
        <w:t>类基金份额和</w:t>
      </w:r>
      <w:r>
        <w:rPr>
          <w:rFonts w:ascii="Times New Roman" w:hAnsi="Times New Roman" w:cs="Times New Roman"/>
        </w:rPr>
        <w:t>D</w:t>
      </w:r>
      <w:r>
        <w:rPr>
          <w:rFonts w:ascii="Times New Roman" w:hAnsi="Times New Roman" w:cs="Times New Roman"/>
        </w:rPr>
        <w:t>类</w:t>
      </w:r>
      <w:r>
        <w:rPr>
          <w:rFonts w:ascii="Times New Roman" w:cs="Times New Roman" w:hint="eastAsia"/>
        </w:rPr>
        <w:t>基金份额在申购时收取申购费用，在赎回时根据持有期限收取赎回费用，但不从该类别基金资产中计提销售服务费；</w:t>
      </w:r>
      <w:r>
        <w:rPr>
          <w:rFonts w:ascii="Times New Roman" w:hAnsi="Times New Roman" w:cs="Times New Roman"/>
        </w:rPr>
        <w:t>C</w:t>
      </w:r>
      <w:r>
        <w:rPr>
          <w:rFonts w:ascii="Times New Roman" w:cs="Times New Roman" w:hint="eastAsia"/>
        </w:rPr>
        <w:t>类基金份额在申购时不收取申购费用，在赎回时根据持有期限收取赎回费用，且从该类别基金资产中计提销售服务费。本基金增加基金份额类别后基金份额名称及基金份额代码如下：</w:t>
      </w:r>
    </w:p>
    <w:tbl>
      <w:tblPr>
        <w:tblStyle w:val="a8"/>
        <w:tblW w:w="0" w:type="auto"/>
        <w:jc w:val="center"/>
        <w:tblLook w:val="04A0"/>
      </w:tblPr>
      <w:tblGrid>
        <w:gridCol w:w="990"/>
        <w:gridCol w:w="4950"/>
        <w:gridCol w:w="2009"/>
      </w:tblGrid>
      <w:tr w:rsidR="00973C8A">
        <w:trPr>
          <w:jc w:val="center"/>
        </w:trPr>
        <w:tc>
          <w:tcPr>
            <w:tcW w:w="990" w:type="dxa"/>
          </w:tcPr>
          <w:p w:rsidR="00973C8A" w:rsidRDefault="00940945">
            <w:pPr>
              <w:spacing w:line="360" w:lineRule="auto"/>
              <w:jc w:val="center"/>
              <w:rPr>
                <w:rFonts w:ascii="Times New Roman" w:hAnsi="Times New Roman" w:cs="Times New Roman"/>
                <w:b/>
                <w:bCs/>
              </w:rPr>
            </w:pPr>
            <w:r>
              <w:rPr>
                <w:rFonts w:ascii="Times New Roman" w:cs="Times New Roman" w:hint="eastAsia"/>
                <w:b/>
                <w:bCs/>
              </w:rPr>
              <w:t>序号</w:t>
            </w:r>
          </w:p>
        </w:tc>
        <w:tc>
          <w:tcPr>
            <w:tcW w:w="4950" w:type="dxa"/>
          </w:tcPr>
          <w:p w:rsidR="00973C8A" w:rsidRDefault="00940945">
            <w:pPr>
              <w:spacing w:line="360" w:lineRule="auto"/>
              <w:jc w:val="center"/>
              <w:rPr>
                <w:rFonts w:ascii="Times New Roman" w:hAnsi="Times New Roman" w:cs="Times New Roman"/>
                <w:b/>
                <w:bCs/>
              </w:rPr>
            </w:pPr>
            <w:r>
              <w:rPr>
                <w:rFonts w:ascii="Times New Roman" w:cs="Times New Roman" w:hint="eastAsia"/>
                <w:b/>
                <w:bCs/>
              </w:rPr>
              <w:t>基金份额名</w:t>
            </w:r>
            <w:r>
              <w:rPr>
                <w:rFonts w:ascii="Times New Roman" w:cs="Times New Roman" w:hint="eastAsia"/>
                <w:b/>
                <w:bCs/>
              </w:rPr>
              <w:t>称</w:t>
            </w:r>
          </w:p>
        </w:tc>
        <w:tc>
          <w:tcPr>
            <w:tcW w:w="2009" w:type="dxa"/>
          </w:tcPr>
          <w:p w:rsidR="00973C8A" w:rsidRDefault="00940945">
            <w:pPr>
              <w:spacing w:line="360" w:lineRule="auto"/>
              <w:jc w:val="center"/>
              <w:rPr>
                <w:rFonts w:ascii="Times New Roman" w:hAnsi="Times New Roman" w:cs="Times New Roman"/>
                <w:b/>
                <w:bCs/>
              </w:rPr>
            </w:pPr>
            <w:r>
              <w:rPr>
                <w:rFonts w:ascii="Times New Roman" w:cs="Times New Roman" w:hint="eastAsia"/>
                <w:b/>
                <w:bCs/>
              </w:rPr>
              <w:t>基金份额代码</w:t>
            </w:r>
          </w:p>
        </w:tc>
      </w:tr>
      <w:tr w:rsidR="00973C8A">
        <w:trPr>
          <w:jc w:val="center"/>
        </w:trPr>
        <w:tc>
          <w:tcPr>
            <w:tcW w:w="990" w:type="dxa"/>
          </w:tcPr>
          <w:p w:rsidR="00973C8A" w:rsidRDefault="00940945">
            <w:pPr>
              <w:spacing w:line="360" w:lineRule="auto"/>
              <w:jc w:val="center"/>
              <w:rPr>
                <w:rFonts w:ascii="Times New Roman" w:hAnsi="Times New Roman" w:cs="Times New Roman"/>
              </w:rPr>
            </w:pPr>
            <w:r>
              <w:rPr>
                <w:rFonts w:ascii="Times New Roman" w:hAnsi="Times New Roman" w:cs="Times New Roman"/>
              </w:rPr>
              <w:t>1</w:t>
            </w:r>
          </w:p>
        </w:tc>
        <w:tc>
          <w:tcPr>
            <w:tcW w:w="4950" w:type="dxa"/>
          </w:tcPr>
          <w:p w:rsidR="00973C8A" w:rsidRDefault="00940945">
            <w:pPr>
              <w:spacing w:line="360" w:lineRule="auto"/>
              <w:rPr>
                <w:rFonts w:ascii="Times New Roman" w:hAnsi="Times New Roman" w:cs="Times New Roman"/>
              </w:rPr>
            </w:pPr>
            <w:r>
              <w:rPr>
                <w:rFonts w:ascii="Times New Roman" w:cs="Times New Roman" w:hint="eastAsia"/>
              </w:rPr>
              <w:t>诺安利鑫灵活配置混合型证券投资基金</w:t>
            </w:r>
            <w:r>
              <w:rPr>
                <w:rFonts w:ascii="Times New Roman" w:hAnsi="Times New Roman" w:cs="Times New Roman"/>
              </w:rPr>
              <w:t>A</w:t>
            </w:r>
          </w:p>
        </w:tc>
        <w:tc>
          <w:tcPr>
            <w:tcW w:w="2009"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002137</w:t>
            </w:r>
          </w:p>
        </w:tc>
      </w:tr>
      <w:tr w:rsidR="00973C8A">
        <w:trPr>
          <w:jc w:val="center"/>
        </w:trPr>
        <w:tc>
          <w:tcPr>
            <w:tcW w:w="990" w:type="dxa"/>
          </w:tcPr>
          <w:p w:rsidR="00973C8A" w:rsidRDefault="00940945">
            <w:pPr>
              <w:spacing w:line="360" w:lineRule="auto"/>
              <w:jc w:val="center"/>
              <w:rPr>
                <w:rFonts w:ascii="Times New Roman" w:hAnsi="Times New Roman" w:cs="Times New Roman"/>
              </w:rPr>
            </w:pPr>
            <w:r>
              <w:rPr>
                <w:rFonts w:ascii="Times New Roman" w:hAnsi="Times New Roman" w:cs="Times New Roman"/>
              </w:rPr>
              <w:t>2</w:t>
            </w:r>
          </w:p>
        </w:tc>
        <w:tc>
          <w:tcPr>
            <w:tcW w:w="4950" w:type="dxa"/>
          </w:tcPr>
          <w:p w:rsidR="00973C8A" w:rsidRDefault="00940945">
            <w:pPr>
              <w:spacing w:line="360" w:lineRule="auto"/>
              <w:rPr>
                <w:rFonts w:ascii="Times New Roman" w:hAnsi="Times New Roman" w:cs="Times New Roman"/>
              </w:rPr>
            </w:pPr>
            <w:r>
              <w:rPr>
                <w:rFonts w:ascii="Times New Roman" w:cs="Times New Roman" w:hint="eastAsia"/>
              </w:rPr>
              <w:t>诺安利鑫灵活配置混合型证券投资基金</w:t>
            </w:r>
            <w:r>
              <w:rPr>
                <w:rFonts w:ascii="Times New Roman" w:hAnsi="Times New Roman" w:cs="Times New Roman"/>
              </w:rPr>
              <w:t>C</w:t>
            </w:r>
          </w:p>
        </w:tc>
        <w:tc>
          <w:tcPr>
            <w:tcW w:w="2009"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014521</w:t>
            </w:r>
          </w:p>
        </w:tc>
      </w:tr>
      <w:tr w:rsidR="00973C8A">
        <w:trPr>
          <w:jc w:val="center"/>
        </w:trPr>
        <w:tc>
          <w:tcPr>
            <w:tcW w:w="99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3</w:t>
            </w:r>
          </w:p>
        </w:tc>
        <w:tc>
          <w:tcPr>
            <w:tcW w:w="4950" w:type="dxa"/>
          </w:tcPr>
          <w:p w:rsidR="00973C8A" w:rsidRDefault="00940945">
            <w:pPr>
              <w:spacing w:line="360" w:lineRule="auto"/>
              <w:rPr>
                <w:rFonts w:ascii="Times New Roman" w:cs="Times New Roman"/>
              </w:rPr>
            </w:pPr>
            <w:r>
              <w:rPr>
                <w:rFonts w:ascii="Times New Roman" w:cs="Times New Roman" w:hint="eastAsia"/>
              </w:rPr>
              <w:t>诺安利鑫灵活配置混合型证券投资基金</w:t>
            </w:r>
            <w:r>
              <w:rPr>
                <w:rFonts w:ascii="Times New Roman" w:cs="Times New Roman"/>
              </w:rPr>
              <w:t>D</w:t>
            </w:r>
          </w:p>
        </w:tc>
        <w:tc>
          <w:tcPr>
            <w:tcW w:w="2009" w:type="dxa"/>
          </w:tcPr>
          <w:p w:rsidR="00973C8A" w:rsidRDefault="00940945">
            <w:pPr>
              <w:spacing w:line="360" w:lineRule="auto"/>
              <w:jc w:val="center"/>
              <w:rPr>
                <w:rFonts w:ascii="Times New Roman" w:hAnsi="Times New Roman" w:cs="Times New Roman"/>
              </w:rPr>
            </w:pPr>
            <w:r>
              <w:rPr>
                <w:rFonts w:ascii="Times New Roman" w:hAnsi="Times New Roman" w:cs="Times New Roman"/>
              </w:rPr>
              <w:t>026201</w:t>
            </w:r>
          </w:p>
        </w:tc>
      </w:tr>
    </w:tbl>
    <w:p w:rsidR="00973C8A" w:rsidRDefault="00940945" w:rsidP="00940945">
      <w:pPr>
        <w:spacing w:beforeLines="50" w:afterLines="50" w:line="360" w:lineRule="auto"/>
        <w:ind w:firstLineChars="200" w:firstLine="422"/>
        <w:rPr>
          <w:rFonts w:ascii="Times New Roman" w:hAnsi="Times New Roman" w:cs="Times New Roman"/>
          <w:b/>
          <w:bCs/>
        </w:rPr>
      </w:pPr>
      <w:r>
        <w:rPr>
          <w:rFonts w:ascii="Times New Roman" w:cs="Times New Roman" w:hint="eastAsia"/>
          <w:b/>
          <w:bCs/>
        </w:rPr>
        <w:t>二、相关业务规则</w:t>
      </w: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（一）申购、赎回、转换、定投等交易相关规则</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cs="Times New Roman" w:hint="eastAsia"/>
        </w:rPr>
        <w:t>、投资者在投资时，可自行选择投资的基金份额类别。</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cs="Times New Roman" w:hint="eastAsia"/>
        </w:rPr>
        <w:t>、本公司将开通本基金</w:t>
      </w:r>
      <w:r>
        <w:rPr>
          <w:rFonts w:ascii="Times New Roman" w:hAnsi="Times New Roman" w:cs="Times New Roman"/>
        </w:rPr>
        <w:t>A</w:t>
      </w:r>
      <w:r>
        <w:rPr>
          <w:rFonts w:ascii="Times New Roman" w:cs="Times New Roman" w:hint="eastAsia"/>
        </w:rPr>
        <w:t>类基金份额、</w:t>
      </w:r>
      <w:r>
        <w:rPr>
          <w:rFonts w:ascii="Times New Roman" w:hAnsi="Times New Roman" w:cs="Times New Roman"/>
        </w:rPr>
        <w:t>C</w:t>
      </w:r>
      <w:r>
        <w:rPr>
          <w:rFonts w:ascii="Times New Roman" w:cs="Times New Roman" w:hint="eastAsia"/>
        </w:rPr>
        <w:t>类基金份额和</w:t>
      </w:r>
      <w:r>
        <w:rPr>
          <w:rFonts w:ascii="Times New Roman" w:hAnsi="Times New Roman" w:cs="Times New Roman"/>
        </w:rPr>
        <w:t>D</w:t>
      </w:r>
      <w:r>
        <w:rPr>
          <w:rFonts w:ascii="Times New Roman" w:hAnsi="Times New Roman" w:cs="Times New Roman"/>
        </w:rPr>
        <w:t>类</w:t>
      </w:r>
      <w:r>
        <w:rPr>
          <w:rFonts w:ascii="Times New Roman" w:cs="Times New Roman" w:hint="eastAsia"/>
        </w:rPr>
        <w:t>基金份额与本公司旗下其他已开通转换业务的基金间的转换业务。</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3</w:t>
      </w:r>
      <w:r>
        <w:rPr>
          <w:rFonts w:ascii="Times New Roman" w:cs="Times New Roman" w:hint="eastAsia"/>
        </w:rPr>
        <w:t>、自</w:t>
      </w:r>
      <w:r>
        <w:rPr>
          <w:rFonts w:ascii="Times New Roman" w:cs="Times New Roman" w:hint="eastAsia"/>
        </w:rPr>
        <w:t>202</w:t>
      </w:r>
      <w:r>
        <w:rPr>
          <w:rFonts w:ascii="Times New Roman" w:cs="Times New Roman"/>
        </w:rPr>
        <w:t>5</w:t>
      </w:r>
      <w:r>
        <w:rPr>
          <w:rFonts w:ascii="Times New Roman" w:cs="Times New Roman" w:hint="eastAsia"/>
        </w:rPr>
        <w:t>年</w:t>
      </w:r>
      <w:r>
        <w:rPr>
          <w:rFonts w:ascii="Times New Roman" w:cs="Times New Roman" w:hint="eastAsia"/>
        </w:rPr>
        <w:t>11</w:t>
      </w:r>
      <w:r>
        <w:rPr>
          <w:rFonts w:ascii="Times New Roman" w:cs="Times New Roman" w:hint="eastAsia"/>
        </w:rPr>
        <w:t>月</w:t>
      </w:r>
      <w:r>
        <w:rPr>
          <w:rFonts w:ascii="Times New Roman" w:cs="Times New Roman" w:hint="eastAsia"/>
        </w:rPr>
        <w:t>25</w:t>
      </w:r>
      <w:r>
        <w:rPr>
          <w:rFonts w:ascii="Times New Roman" w:cs="Times New Roman" w:hint="eastAsia"/>
        </w:rPr>
        <w:t>日起，投资者可通过销售机构办理本基金</w:t>
      </w:r>
      <w:r>
        <w:rPr>
          <w:rFonts w:ascii="Times New Roman" w:cs="Times New Roman"/>
        </w:rPr>
        <w:t>D</w:t>
      </w:r>
      <w:r>
        <w:rPr>
          <w:rFonts w:ascii="Times New Roman" w:cs="Times New Roman"/>
        </w:rPr>
        <w:t>类</w:t>
      </w:r>
      <w:r>
        <w:rPr>
          <w:rFonts w:ascii="Times New Roman" w:cs="Times New Roman" w:hint="eastAsia"/>
        </w:rPr>
        <w:t>基金份额的申购、赎回、转换、定投等业务。</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4</w:t>
      </w:r>
      <w:r>
        <w:rPr>
          <w:rFonts w:ascii="Times New Roman" w:cs="Times New Roman" w:hint="eastAsia"/>
        </w:rPr>
        <w:t>、本基金</w:t>
      </w:r>
      <w:r>
        <w:rPr>
          <w:rFonts w:ascii="Times New Roman" w:hAnsi="Times New Roman" w:cs="Times New Roman"/>
        </w:rPr>
        <w:t>A</w:t>
      </w:r>
      <w:r>
        <w:rPr>
          <w:rFonts w:ascii="Times New Roman" w:cs="Times New Roman" w:hint="eastAsia"/>
        </w:rPr>
        <w:t>类基金份额、</w:t>
      </w:r>
      <w:r>
        <w:rPr>
          <w:rFonts w:ascii="Times New Roman" w:hAnsi="Times New Roman" w:cs="Times New Roman"/>
        </w:rPr>
        <w:t>C</w:t>
      </w:r>
      <w:r>
        <w:rPr>
          <w:rFonts w:ascii="Times New Roman" w:cs="Times New Roman" w:hint="eastAsia"/>
        </w:rPr>
        <w:t>类基金份额和</w:t>
      </w:r>
      <w:r>
        <w:rPr>
          <w:rFonts w:ascii="Times New Roman" w:hAnsi="Times New Roman" w:cs="Times New Roman"/>
        </w:rPr>
        <w:t>D</w:t>
      </w:r>
      <w:r>
        <w:rPr>
          <w:rFonts w:ascii="Times New Roman" w:hAnsi="Times New Roman" w:cs="Times New Roman"/>
        </w:rPr>
        <w:t>类</w:t>
      </w:r>
      <w:r>
        <w:rPr>
          <w:rFonts w:ascii="Times New Roman" w:cs="Times New Roman" w:hint="eastAsia"/>
        </w:rPr>
        <w:t>基金份额的注册登记机构均为诺安基金管理有限公司。</w:t>
      </w:r>
    </w:p>
    <w:p w:rsidR="00973C8A" w:rsidRDefault="00940945">
      <w:pPr>
        <w:numPr>
          <w:ilvl w:val="255"/>
          <w:numId w:val="0"/>
        </w:numPr>
        <w:spacing w:line="360" w:lineRule="auto"/>
        <w:ind w:firstLineChars="200" w:firstLine="420"/>
        <w:rPr>
          <w:rFonts w:ascii="Times New Roman" w:hAnsi="Times New Roman" w:cs="Times New Roman"/>
        </w:rPr>
      </w:pPr>
      <w:r>
        <w:rPr>
          <w:rFonts w:ascii="Times New Roman" w:cs="Times New Roman" w:hint="eastAsia"/>
        </w:rPr>
        <w:lastRenderedPageBreak/>
        <w:t>（二）基金份额的销售机构</w:t>
      </w:r>
    </w:p>
    <w:p w:rsidR="00973C8A" w:rsidRDefault="00940945">
      <w:pPr>
        <w:spacing w:line="360" w:lineRule="auto"/>
        <w:ind w:firstLineChars="200" w:firstLine="420"/>
        <w:rPr>
          <w:rFonts w:ascii="Times New Roman" w:cs="Times New Roman"/>
        </w:rPr>
      </w:pPr>
      <w:r>
        <w:rPr>
          <w:rFonts w:ascii="Times New Roman" w:cs="Times New Roman" w:hint="eastAsia"/>
        </w:rPr>
        <w:t>自</w:t>
      </w:r>
      <w:r>
        <w:rPr>
          <w:rFonts w:ascii="Times New Roman" w:cs="Times New Roman" w:hint="eastAsia"/>
        </w:rPr>
        <w:t>202</w:t>
      </w:r>
      <w:r>
        <w:rPr>
          <w:rFonts w:ascii="Times New Roman" w:cs="Times New Roman"/>
        </w:rPr>
        <w:t>5</w:t>
      </w:r>
      <w:r>
        <w:rPr>
          <w:rFonts w:ascii="Times New Roman" w:cs="Times New Roman" w:hint="eastAsia"/>
        </w:rPr>
        <w:t>年</w:t>
      </w:r>
      <w:r>
        <w:rPr>
          <w:rFonts w:ascii="Times New Roman" w:cs="Times New Roman" w:hint="eastAsia"/>
        </w:rPr>
        <w:t>11</w:t>
      </w:r>
      <w:r>
        <w:rPr>
          <w:rFonts w:ascii="Times New Roman" w:cs="Times New Roman" w:hint="eastAsia"/>
        </w:rPr>
        <w:t>月</w:t>
      </w:r>
      <w:r>
        <w:rPr>
          <w:rFonts w:ascii="Times New Roman" w:cs="Times New Roman" w:hint="eastAsia"/>
        </w:rPr>
        <w:t>25</w:t>
      </w:r>
      <w:r>
        <w:rPr>
          <w:rFonts w:ascii="Times New Roman" w:cs="Times New Roman" w:hint="eastAsia"/>
        </w:rPr>
        <w:t>日起，投资者可通过诺安基金管理有限公司直销柜台及网上直销交易系统，办理本基金</w:t>
      </w:r>
      <w:r>
        <w:rPr>
          <w:rFonts w:ascii="Times New Roman" w:cs="Times New Roman" w:hint="eastAsia"/>
        </w:rPr>
        <w:t>D</w:t>
      </w:r>
      <w:r>
        <w:rPr>
          <w:rFonts w:ascii="Times New Roman" w:cs="Times New Roman" w:hint="eastAsia"/>
        </w:rPr>
        <w:t>类基金份额的申购、赎回、定投、转换等业务，进行相关信息查询并享受相应的售后服务，具体办理程序、业务规则、费率优惠情况等请遵循销售机构的规定。</w:t>
      </w:r>
      <w:r>
        <w:rPr>
          <w:rFonts w:ascii="Times New Roman" w:cs="Times New Roman" w:hint="eastAsia"/>
        </w:rPr>
        <w:t xml:space="preserve">    </w:t>
      </w:r>
      <w:r>
        <w:rPr>
          <w:rFonts w:ascii="Times New Roman" w:cs="Times New Roman" w:hint="eastAsia"/>
        </w:rPr>
        <w:t>本公司可根据业务需要增加本基金</w:t>
      </w:r>
      <w:r>
        <w:rPr>
          <w:rFonts w:ascii="Times New Roman" w:hAnsi="Times New Roman" w:cs="Times New Roman"/>
        </w:rPr>
        <w:t>A</w:t>
      </w:r>
      <w:r>
        <w:rPr>
          <w:rFonts w:ascii="Times New Roman" w:cs="Times New Roman" w:hint="eastAsia"/>
        </w:rPr>
        <w:t>类基金份额、</w:t>
      </w:r>
      <w:r>
        <w:rPr>
          <w:rFonts w:ascii="Times New Roman" w:hAnsi="Times New Roman" w:cs="Times New Roman"/>
        </w:rPr>
        <w:t>C</w:t>
      </w:r>
      <w:r>
        <w:rPr>
          <w:rFonts w:ascii="Times New Roman" w:cs="Times New Roman" w:hint="eastAsia"/>
        </w:rPr>
        <w:t>类基金份额和</w:t>
      </w:r>
      <w:r>
        <w:rPr>
          <w:rFonts w:ascii="Times New Roman" w:hAnsi="Times New Roman" w:cs="Times New Roman"/>
        </w:rPr>
        <w:t>D</w:t>
      </w:r>
      <w:r>
        <w:rPr>
          <w:rFonts w:ascii="Times New Roman" w:hAnsi="Times New Roman" w:cs="Times New Roman"/>
        </w:rPr>
        <w:t>类</w:t>
      </w:r>
      <w:r>
        <w:rPr>
          <w:rFonts w:ascii="Times New Roman" w:cs="Times New Roman" w:hint="eastAsia"/>
        </w:rPr>
        <w:t>基金份额的销售机构，各类基金份额的销售机构详见本公司网站公示的销售机构信息。</w:t>
      </w: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（三）基金份额净值公告的披露安排</w:t>
      </w: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本基金</w:t>
      </w:r>
      <w:r>
        <w:rPr>
          <w:rFonts w:ascii="Times New Roman" w:hAnsi="Times New Roman" w:cs="Times New Roman"/>
        </w:rPr>
        <w:t>A</w:t>
      </w:r>
      <w:r>
        <w:rPr>
          <w:rFonts w:ascii="Times New Roman" w:cs="Times New Roman" w:hint="eastAsia"/>
        </w:rPr>
        <w:t>类基金份额、</w:t>
      </w:r>
      <w:r>
        <w:rPr>
          <w:rFonts w:ascii="Times New Roman" w:hAnsi="Times New Roman" w:cs="Times New Roman"/>
        </w:rPr>
        <w:t>C</w:t>
      </w:r>
      <w:r>
        <w:rPr>
          <w:rFonts w:ascii="Times New Roman" w:cs="Times New Roman" w:hint="eastAsia"/>
        </w:rPr>
        <w:t>类基金份额和</w:t>
      </w:r>
      <w:r>
        <w:rPr>
          <w:rFonts w:ascii="Times New Roman" w:hAnsi="Times New Roman" w:cs="Times New Roman"/>
        </w:rPr>
        <w:t>D</w:t>
      </w:r>
      <w:r>
        <w:rPr>
          <w:rFonts w:ascii="Times New Roman" w:hAnsi="Times New Roman" w:cs="Times New Roman"/>
        </w:rPr>
        <w:t>类</w:t>
      </w:r>
      <w:r>
        <w:rPr>
          <w:rFonts w:ascii="Times New Roman" w:cs="Times New Roman" w:hint="eastAsia"/>
        </w:rPr>
        <w:t>基金份额分别计算基金份额净值。</w:t>
      </w: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自</w:t>
      </w:r>
      <w:r>
        <w:rPr>
          <w:rFonts w:ascii="Times New Roman" w:cs="Times New Roman" w:hint="eastAsia"/>
        </w:rPr>
        <w:t>202</w:t>
      </w:r>
      <w:r>
        <w:rPr>
          <w:rFonts w:ascii="Times New Roman" w:cs="Times New Roman"/>
        </w:rPr>
        <w:t>5</w:t>
      </w:r>
      <w:r>
        <w:rPr>
          <w:rFonts w:ascii="Times New Roman" w:cs="Times New Roman" w:hint="eastAsia"/>
        </w:rPr>
        <w:t>年</w:t>
      </w:r>
      <w:r>
        <w:rPr>
          <w:rFonts w:ascii="Times New Roman" w:cs="Times New Roman" w:hint="eastAsia"/>
        </w:rPr>
        <w:t>11</w:t>
      </w:r>
      <w:r>
        <w:rPr>
          <w:rFonts w:ascii="Times New Roman" w:cs="Times New Roman" w:hint="eastAsia"/>
        </w:rPr>
        <w:t>月</w:t>
      </w:r>
      <w:r>
        <w:rPr>
          <w:rFonts w:ascii="Times New Roman" w:cs="Times New Roman" w:hint="eastAsia"/>
        </w:rPr>
        <w:t>25</w:t>
      </w:r>
      <w:r>
        <w:rPr>
          <w:rFonts w:ascii="Times New Roman" w:cs="Times New Roman" w:hint="eastAsia"/>
        </w:rPr>
        <w:t>日起，本公司将在不晚于每个开放日的次日，通过规定网站、基金销售机构网站或者营业网点披露本基金</w:t>
      </w:r>
      <w:r>
        <w:rPr>
          <w:rFonts w:ascii="Times New Roman" w:hAnsi="Times New Roman" w:cs="Times New Roman"/>
        </w:rPr>
        <w:t>A</w:t>
      </w:r>
      <w:r>
        <w:rPr>
          <w:rFonts w:ascii="Times New Roman" w:cs="Times New Roman" w:hint="eastAsia"/>
        </w:rPr>
        <w:t>类基金份额、</w:t>
      </w:r>
      <w:r>
        <w:rPr>
          <w:rFonts w:ascii="Times New Roman" w:hAnsi="Times New Roman" w:cs="Times New Roman"/>
        </w:rPr>
        <w:t>C</w:t>
      </w:r>
      <w:r>
        <w:rPr>
          <w:rFonts w:ascii="Times New Roman" w:cs="Times New Roman" w:hint="eastAsia"/>
        </w:rPr>
        <w:t>类基金份额和</w:t>
      </w:r>
      <w:r>
        <w:rPr>
          <w:rFonts w:ascii="Times New Roman" w:hAnsi="Times New Roman" w:cs="Times New Roman"/>
        </w:rPr>
        <w:t>D</w:t>
      </w:r>
      <w:r>
        <w:rPr>
          <w:rFonts w:ascii="Times New Roman" w:hAnsi="Times New Roman" w:cs="Times New Roman"/>
        </w:rPr>
        <w:t>类</w:t>
      </w:r>
      <w:r>
        <w:rPr>
          <w:rFonts w:ascii="Times New Roman" w:cs="Times New Roman" w:hint="eastAsia"/>
        </w:rPr>
        <w:t>基金份额开放日的基金份额净值和基金份额累计净值。本公司将在不晚于半年度和年度最后一日的次日，在规定网站披露本基金</w:t>
      </w:r>
      <w:r>
        <w:rPr>
          <w:rFonts w:ascii="Times New Roman" w:hAnsi="Times New Roman" w:cs="Times New Roman"/>
        </w:rPr>
        <w:t>A</w:t>
      </w:r>
      <w:r>
        <w:rPr>
          <w:rFonts w:ascii="Times New Roman" w:cs="Times New Roman" w:hint="eastAsia"/>
        </w:rPr>
        <w:t>类基金份额、</w:t>
      </w:r>
      <w:r>
        <w:rPr>
          <w:rFonts w:ascii="Times New Roman" w:hAnsi="Times New Roman" w:cs="Times New Roman"/>
        </w:rPr>
        <w:t>C</w:t>
      </w:r>
      <w:r>
        <w:rPr>
          <w:rFonts w:ascii="Times New Roman" w:cs="Times New Roman" w:hint="eastAsia"/>
        </w:rPr>
        <w:t>类基金份额和</w:t>
      </w:r>
      <w:r>
        <w:rPr>
          <w:rFonts w:ascii="Times New Roman" w:hAnsi="Times New Roman" w:cs="Times New Roman"/>
        </w:rPr>
        <w:t>D</w:t>
      </w:r>
      <w:r>
        <w:rPr>
          <w:rFonts w:ascii="Times New Roman" w:hAnsi="Times New Roman" w:cs="Times New Roman"/>
        </w:rPr>
        <w:t>类</w:t>
      </w:r>
      <w:r>
        <w:rPr>
          <w:rFonts w:ascii="Times New Roman" w:cs="Times New Roman" w:hint="eastAsia"/>
        </w:rPr>
        <w:t>基金份额半年度和年度最后一日的基金份额净</w:t>
      </w:r>
      <w:r>
        <w:rPr>
          <w:rFonts w:ascii="Times New Roman" w:cs="Times New Roman" w:hint="eastAsia"/>
        </w:rPr>
        <w:t>值和基金份额累计净值。</w:t>
      </w:r>
    </w:p>
    <w:p w:rsidR="00973C8A" w:rsidRDefault="00940945" w:rsidP="00940945">
      <w:pPr>
        <w:spacing w:beforeLines="50" w:afterLines="50" w:line="360" w:lineRule="auto"/>
        <w:ind w:firstLineChars="200" w:firstLine="422"/>
        <w:rPr>
          <w:rFonts w:ascii="Times New Roman" w:hAnsi="Times New Roman" w:cs="Times New Roman"/>
          <w:b/>
          <w:bCs/>
        </w:rPr>
      </w:pPr>
      <w:r>
        <w:rPr>
          <w:rFonts w:ascii="Times New Roman" w:cs="Times New Roman" w:hint="eastAsia"/>
          <w:b/>
          <w:bCs/>
        </w:rPr>
        <w:t>三、相关费用说明</w:t>
      </w: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（一）管理费率、托管费率</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hint="eastAsia"/>
        </w:rPr>
        <w:t>本基金的管理费率、托管费率维持原管理费率、托管费率不变。</w:t>
      </w: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（二）申购费率</w:t>
      </w:r>
    </w:p>
    <w:p w:rsidR="00973C8A" w:rsidRDefault="00940945">
      <w:pPr>
        <w:spacing w:line="360" w:lineRule="auto"/>
        <w:ind w:firstLineChars="200" w:firstLine="420"/>
        <w:rPr>
          <w:rFonts w:ascii="Times New Roman" w:cs="Times New Roman"/>
        </w:rPr>
      </w:pPr>
      <w:r>
        <w:rPr>
          <w:rFonts w:ascii="Times New Roman" w:cs="Times New Roman" w:hint="eastAsia"/>
        </w:rPr>
        <w:t>本基金</w:t>
      </w:r>
      <w:r>
        <w:rPr>
          <w:rFonts w:ascii="Times New Roman" w:cs="Times New Roman" w:hint="eastAsia"/>
        </w:rPr>
        <w:t>A</w:t>
      </w:r>
      <w:r>
        <w:rPr>
          <w:rFonts w:ascii="Times New Roman" w:cs="Times New Roman" w:hint="eastAsia"/>
        </w:rPr>
        <w:t>类基金份额在申购时收取基金申购费用，申购费率维持原申购费率不变，</w:t>
      </w:r>
      <w:r>
        <w:rPr>
          <w:rFonts w:ascii="Times New Roman" w:cs="Times New Roman" w:hint="eastAsia"/>
        </w:rPr>
        <w:t>C</w:t>
      </w:r>
      <w:r>
        <w:rPr>
          <w:rFonts w:ascii="Times New Roman" w:cs="Times New Roman" w:hint="eastAsia"/>
        </w:rPr>
        <w:t>类基金份额不收取申购费用，</w:t>
      </w:r>
      <w:r>
        <w:rPr>
          <w:rFonts w:ascii="Times New Roman" w:cs="Times New Roman" w:hint="eastAsia"/>
        </w:rPr>
        <w:t>D</w:t>
      </w:r>
      <w:r>
        <w:rPr>
          <w:rFonts w:ascii="Times New Roman" w:cs="Times New Roman" w:hint="eastAsia"/>
        </w:rPr>
        <w:t>类基金份额的申购费率具体如下：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2160"/>
      </w:tblGrid>
      <w:tr w:rsidR="00973C8A">
        <w:trPr>
          <w:trHeight w:val="457"/>
        </w:trPr>
        <w:tc>
          <w:tcPr>
            <w:tcW w:w="2520" w:type="dxa"/>
            <w:vAlign w:val="center"/>
          </w:tcPr>
          <w:p w:rsidR="00973C8A" w:rsidRDefault="00940945">
            <w:pPr>
              <w:spacing w:line="360" w:lineRule="auto"/>
              <w:jc w:val="center"/>
              <w:rPr>
                <w:rFonts w:ascii="Times New Roman" w:cs="Times New Roman"/>
              </w:rPr>
            </w:pPr>
            <w:r>
              <w:rPr>
                <w:rFonts w:ascii="Times New Roman" w:cs="Times New Roman"/>
              </w:rPr>
              <w:t>申购金额（</w:t>
            </w:r>
            <w:r>
              <w:rPr>
                <w:rFonts w:ascii="Times New Roman" w:cs="Times New Roman"/>
              </w:rPr>
              <w:t>M</w:t>
            </w:r>
            <w:r>
              <w:rPr>
                <w:rFonts w:ascii="Times New Roman" w:cs="Times New Roman"/>
              </w:rPr>
              <w:t>）</w:t>
            </w:r>
          </w:p>
        </w:tc>
        <w:tc>
          <w:tcPr>
            <w:tcW w:w="2160" w:type="dxa"/>
            <w:vAlign w:val="center"/>
          </w:tcPr>
          <w:p w:rsidR="00973C8A" w:rsidRDefault="00940945">
            <w:pPr>
              <w:spacing w:line="360" w:lineRule="auto"/>
              <w:jc w:val="center"/>
              <w:rPr>
                <w:rFonts w:ascii="Times New Roman" w:cs="Times New Roman"/>
              </w:rPr>
            </w:pPr>
            <w:r>
              <w:rPr>
                <w:rFonts w:ascii="Times New Roman" w:cs="Times New Roman"/>
              </w:rPr>
              <w:t>申购费率</w:t>
            </w:r>
          </w:p>
        </w:tc>
      </w:tr>
      <w:tr w:rsidR="00973C8A">
        <w:trPr>
          <w:trHeight w:val="457"/>
        </w:trPr>
        <w:tc>
          <w:tcPr>
            <w:tcW w:w="2520" w:type="dxa"/>
          </w:tcPr>
          <w:p w:rsidR="00973C8A" w:rsidRDefault="00940945">
            <w:pPr>
              <w:spacing w:line="360" w:lineRule="auto"/>
              <w:jc w:val="center"/>
              <w:rPr>
                <w:rFonts w:ascii="宋体" w:eastAsia="宋体" w:hAnsi="宋体" w:cs="宋体"/>
              </w:rPr>
            </w:pPr>
            <w:r>
              <w:rPr>
                <w:rFonts w:ascii="宋体" w:eastAsia="宋体" w:hAnsi="宋体" w:cs="宋体" w:hint="eastAsia"/>
              </w:rPr>
              <w:t>M</w:t>
            </w:r>
            <w:r>
              <w:rPr>
                <w:rFonts w:ascii="宋体" w:eastAsia="宋体" w:hAnsi="宋体" w:cs="宋体" w:hint="eastAsia"/>
              </w:rPr>
              <w:t>＜</w:t>
            </w:r>
            <w:r>
              <w:rPr>
                <w:rFonts w:ascii="Times New Roman" w:hAnsi="Times New Roman" w:cs="Times New Roman" w:hint="eastAsia"/>
              </w:rPr>
              <w:t>100</w:t>
            </w:r>
            <w:r>
              <w:rPr>
                <w:rFonts w:ascii="宋体" w:eastAsia="宋体" w:hAnsi="宋体" w:cs="宋体" w:hint="eastAsia"/>
              </w:rPr>
              <w:t>万元</w:t>
            </w:r>
          </w:p>
        </w:tc>
        <w:tc>
          <w:tcPr>
            <w:tcW w:w="216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1.5</w:t>
            </w:r>
            <w:r>
              <w:rPr>
                <w:rFonts w:ascii="Times New Roman" w:hAnsi="Times New Roman" w:cs="Times New Roman" w:hint="eastAsia"/>
              </w:rPr>
              <w:t>%</w:t>
            </w:r>
          </w:p>
        </w:tc>
      </w:tr>
      <w:tr w:rsidR="00973C8A">
        <w:trPr>
          <w:trHeight w:val="457"/>
        </w:trPr>
        <w:tc>
          <w:tcPr>
            <w:tcW w:w="2520" w:type="dxa"/>
          </w:tcPr>
          <w:p w:rsidR="00973C8A" w:rsidRDefault="00940945">
            <w:pPr>
              <w:spacing w:line="360" w:lineRule="auto"/>
              <w:jc w:val="center"/>
              <w:rPr>
                <w:rFonts w:ascii="宋体" w:eastAsia="宋体" w:hAnsi="宋体" w:cs="宋体"/>
              </w:rPr>
            </w:pPr>
            <w:r>
              <w:rPr>
                <w:rFonts w:ascii="Times New Roman" w:hAnsi="Times New Roman" w:cs="Times New Roman" w:hint="eastAsia"/>
              </w:rPr>
              <w:t>100</w:t>
            </w:r>
            <w:r>
              <w:rPr>
                <w:rFonts w:ascii="宋体" w:eastAsia="宋体" w:hAnsi="宋体" w:cs="宋体" w:hint="eastAsia"/>
              </w:rPr>
              <w:t>万元≤</w:t>
            </w:r>
            <w:r>
              <w:rPr>
                <w:rFonts w:ascii="宋体" w:eastAsia="宋体" w:hAnsi="宋体" w:cs="宋体" w:hint="eastAsia"/>
              </w:rPr>
              <w:t>M</w:t>
            </w:r>
            <w:r>
              <w:rPr>
                <w:rFonts w:ascii="宋体" w:eastAsia="宋体" w:hAnsi="宋体" w:cs="宋体" w:hint="eastAsia"/>
              </w:rPr>
              <w:t>＜</w:t>
            </w:r>
            <w:r>
              <w:rPr>
                <w:rFonts w:ascii="Times New Roman" w:hAnsi="Times New Roman" w:cs="Times New Roman" w:hint="eastAsia"/>
              </w:rPr>
              <w:t>200</w:t>
            </w:r>
            <w:r>
              <w:rPr>
                <w:rFonts w:ascii="宋体" w:eastAsia="宋体" w:hAnsi="宋体" w:cs="宋体" w:hint="eastAsia"/>
              </w:rPr>
              <w:t>万元</w:t>
            </w:r>
          </w:p>
        </w:tc>
        <w:tc>
          <w:tcPr>
            <w:tcW w:w="216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1.0</w:t>
            </w:r>
            <w:r>
              <w:rPr>
                <w:rFonts w:ascii="Times New Roman" w:hAnsi="Times New Roman" w:cs="Times New Roman" w:hint="eastAsia"/>
              </w:rPr>
              <w:t>%</w:t>
            </w:r>
          </w:p>
        </w:tc>
      </w:tr>
      <w:tr w:rsidR="00973C8A">
        <w:trPr>
          <w:trHeight w:val="457"/>
        </w:trPr>
        <w:tc>
          <w:tcPr>
            <w:tcW w:w="2520" w:type="dxa"/>
          </w:tcPr>
          <w:p w:rsidR="00973C8A" w:rsidRDefault="00940945">
            <w:pPr>
              <w:spacing w:line="360" w:lineRule="auto"/>
              <w:jc w:val="center"/>
              <w:rPr>
                <w:rFonts w:ascii="宋体" w:eastAsia="宋体" w:hAnsi="宋体" w:cs="宋体"/>
              </w:rPr>
            </w:pPr>
            <w:r>
              <w:rPr>
                <w:rFonts w:ascii="Times New Roman" w:hAnsi="Times New Roman" w:cs="Times New Roman" w:hint="eastAsia"/>
              </w:rPr>
              <w:t>200</w:t>
            </w:r>
            <w:r>
              <w:rPr>
                <w:rFonts w:ascii="宋体" w:eastAsia="宋体" w:hAnsi="宋体" w:cs="宋体" w:hint="eastAsia"/>
              </w:rPr>
              <w:t>万元≤</w:t>
            </w:r>
            <w:r>
              <w:rPr>
                <w:rFonts w:ascii="宋体" w:eastAsia="宋体" w:hAnsi="宋体" w:cs="宋体" w:hint="eastAsia"/>
              </w:rPr>
              <w:t>M</w:t>
            </w:r>
            <w:r>
              <w:rPr>
                <w:rFonts w:ascii="宋体" w:eastAsia="宋体" w:hAnsi="宋体" w:cs="宋体" w:hint="eastAsia"/>
              </w:rPr>
              <w:t>＜</w:t>
            </w:r>
            <w:r>
              <w:rPr>
                <w:rFonts w:ascii="Times New Roman" w:hAnsi="Times New Roman" w:cs="Times New Roman" w:hint="eastAsia"/>
              </w:rPr>
              <w:t>500</w:t>
            </w:r>
            <w:r>
              <w:rPr>
                <w:rFonts w:ascii="宋体" w:eastAsia="宋体" w:hAnsi="宋体" w:cs="宋体" w:hint="eastAsia"/>
              </w:rPr>
              <w:t>万元</w:t>
            </w:r>
          </w:p>
        </w:tc>
        <w:tc>
          <w:tcPr>
            <w:tcW w:w="216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0.</w:t>
            </w:r>
            <w:r>
              <w:rPr>
                <w:rFonts w:ascii="Times New Roman" w:hAnsi="Times New Roman" w:cs="Times New Roman" w:hint="eastAsia"/>
              </w:rPr>
              <w:t>6</w:t>
            </w:r>
            <w:r>
              <w:rPr>
                <w:rFonts w:ascii="Times New Roman" w:hAnsi="Times New Roman" w:cs="Times New Roman" w:hint="eastAsia"/>
              </w:rPr>
              <w:t>%</w:t>
            </w:r>
          </w:p>
        </w:tc>
      </w:tr>
      <w:tr w:rsidR="00973C8A">
        <w:trPr>
          <w:trHeight w:val="457"/>
        </w:trPr>
        <w:tc>
          <w:tcPr>
            <w:tcW w:w="2520" w:type="dxa"/>
          </w:tcPr>
          <w:p w:rsidR="00973C8A" w:rsidRDefault="00940945">
            <w:pPr>
              <w:spacing w:line="360" w:lineRule="auto"/>
              <w:jc w:val="center"/>
              <w:rPr>
                <w:rFonts w:ascii="宋体" w:eastAsia="宋体" w:hAnsi="宋体" w:cs="宋体"/>
              </w:rPr>
            </w:pPr>
            <w:r>
              <w:rPr>
                <w:rFonts w:ascii="宋体" w:eastAsia="宋体" w:hAnsi="宋体" w:cs="宋体" w:hint="eastAsia"/>
              </w:rPr>
              <w:t>M</w:t>
            </w:r>
            <w:r>
              <w:rPr>
                <w:rFonts w:ascii="宋体" w:eastAsia="宋体" w:hAnsi="宋体" w:cs="宋体" w:hint="eastAsia"/>
              </w:rPr>
              <w:t>≥</w:t>
            </w:r>
            <w:r>
              <w:rPr>
                <w:rFonts w:ascii="Times New Roman" w:hAnsi="Times New Roman" w:cs="Times New Roman" w:hint="eastAsia"/>
              </w:rPr>
              <w:t>500</w:t>
            </w:r>
            <w:r>
              <w:rPr>
                <w:rFonts w:ascii="宋体" w:eastAsia="宋体" w:hAnsi="宋体" w:cs="宋体" w:hint="eastAsia"/>
              </w:rPr>
              <w:t>万元</w:t>
            </w:r>
          </w:p>
        </w:tc>
        <w:tc>
          <w:tcPr>
            <w:tcW w:w="2160" w:type="dxa"/>
          </w:tcPr>
          <w:p w:rsidR="00973C8A" w:rsidRDefault="00940945">
            <w:pPr>
              <w:spacing w:line="360" w:lineRule="auto"/>
              <w:jc w:val="center"/>
              <w:rPr>
                <w:rFonts w:ascii="Times New Roman" w:cs="Times New Roman"/>
              </w:rPr>
            </w:pPr>
            <w:r>
              <w:rPr>
                <w:rFonts w:hint="eastAsia"/>
              </w:rPr>
              <w:t>每笔</w:t>
            </w:r>
            <w:r>
              <w:rPr>
                <w:rFonts w:ascii="Times New Roman" w:hAnsi="Times New Roman" w:cs="Times New Roman" w:hint="eastAsia"/>
              </w:rPr>
              <w:t>1000</w:t>
            </w:r>
            <w:r>
              <w:rPr>
                <w:rFonts w:hint="eastAsia"/>
              </w:rPr>
              <w:t>元</w:t>
            </w:r>
          </w:p>
        </w:tc>
      </w:tr>
    </w:tbl>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（三）销售服务费率</w:t>
      </w: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本基金</w:t>
      </w:r>
      <w:r>
        <w:rPr>
          <w:rFonts w:ascii="Times New Roman" w:cs="Times New Roman" w:hint="eastAsia"/>
        </w:rPr>
        <w:t>A</w:t>
      </w:r>
      <w:r>
        <w:rPr>
          <w:rFonts w:ascii="Times New Roman" w:cs="Times New Roman" w:hint="eastAsia"/>
        </w:rPr>
        <w:t>类基金份额和</w:t>
      </w:r>
      <w:r>
        <w:rPr>
          <w:rFonts w:ascii="Times New Roman" w:cs="Times New Roman" w:hint="eastAsia"/>
        </w:rPr>
        <w:t>D</w:t>
      </w:r>
      <w:r>
        <w:rPr>
          <w:rFonts w:ascii="Times New Roman" w:cs="Times New Roman" w:hint="eastAsia"/>
        </w:rPr>
        <w:t>类基金份额不收取销售服务费，</w:t>
      </w:r>
      <w:r>
        <w:rPr>
          <w:rFonts w:ascii="Times New Roman" w:hAnsi="Times New Roman" w:cs="Times New Roman"/>
        </w:rPr>
        <w:t>C</w:t>
      </w:r>
      <w:r>
        <w:rPr>
          <w:rFonts w:ascii="Times New Roman" w:cs="Times New Roman" w:hint="eastAsia"/>
        </w:rPr>
        <w:t>类基金份额的销售服务费率维持原有销售服务费率不变。</w:t>
      </w: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（四）赎回费率</w:t>
      </w:r>
    </w:p>
    <w:p w:rsidR="00973C8A" w:rsidRDefault="00940945">
      <w:pPr>
        <w:numPr>
          <w:ilvl w:val="255"/>
          <w:numId w:val="0"/>
        </w:numPr>
        <w:spacing w:line="360" w:lineRule="auto"/>
        <w:ind w:firstLineChars="200" w:firstLine="420"/>
        <w:rPr>
          <w:rFonts w:ascii="Times New Roman" w:cs="Times New Roman"/>
        </w:rPr>
      </w:pPr>
      <w:r>
        <w:rPr>
          <w:rFonts w:ascii="Times New Roman" w:cs="Times New Roman" w:hint="eastAsia"/>
        </w:rPr>
        <w:t>本基金</w:t>
      </w:r>
      <w:r>
        <w:rPr>
          <w:rFonts w:ascii="Times New Roman" w:hAnsi="Times New Roman" w:cs="Times New Roman"/>
        </w:rPr>
        <w:t>A</w:t>
      </w:r>
      <w:r>
        <w:rPr>
          <w:rFonts w:ascii="Times New Roman" w:cs="Times New Roman" w:hint="eastAsia"/>
        </w:rPr>
        <w:t>类基金份额和</w:t>
      </w:r>
      <w:r>
        <w:rPr>
          <w:rFonts w:ascii="Times New Roman" w:cs="Times New Roman" w:hint="eastAsia"/>
        </w:rPr>
        <w:t>C</w:t>
      </w:r>
      <w:r>
        <w:rPr>
          <w:rFonts w:ascii="Times New Roman" w:cs="Times New Roman" w:hint="eastAsia"/>
        </w:rPr>
        <w:t>类基金份额赎回费率维持原有赎回费率不变。本基金</w:t>
      </w:r>
      <w:r>
        <w:rPr>
          <w:rFonts w:ascii="Times New Roman" w:hAnsi="Times New Roman" w:cs="Times New Roman"/>
        </w:rPr>
        <w:t>D</w:t>
      </w:r>
      <w:r>
        <w:rPr>
          <w:rFonts w:ascii="Times New Roman" w:cs="Times New Roman" w:hint="eastAsia"/>
        </w:rPr>
        <w:t>类基</w:t>
      </w:r>
      <w:r>
        <w:rPr>
          <w:rFonts w:ascii="Times New Roman" w:cs="Times New Roman" w:hint="eastAsia"/>
        </w:rPr>
        <w:lastRenderedPageBreak/>
        <w:t>金份额的赎回费率情况具体如下：</w:t>
      </w: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2035"/>
        <w:gridCol w:w="2470"/>
      </w:tblGrid>
      <w:tr w:rsidR="00973C8A">
        <w:trPr>
          <w:trHeight w:val="416"/>
        </w:trPr>
        <w:tc>
          <w:tcPr>
            <w:tcW w:w="2340" w:type="dxa"/>
          </w:tcPr>
          <w:p w:rsidR="00973C8A" w:rsidRDefault="00940945">
            <w:pPr>
              <w:spacing w:line="360" w:lineRule="auto"/>
              <w:jc w:val="center"/>
              <w:rPr>
                <w:rFonts w:ascii="Times New Roman" w:cs="Times New Roman"/>
              </w:rPr>
            </w:pPr>
            <w:r>
              <w:rPr>
                <w:rFonts w:ascii="Times New Roman" w:cs="Times New Roman" w:hint="eastAsia"/>
              </w:rPr>
              <w:t>持有期限（</w:t>
            </w:r>
            <w:r>
              <w:rPr>
                <w:rFonts w:ascii="Times New Roman" w:cs="Times New Roman" w:hint="eastAsia"/>
              </w:rPr>
              <w:t>T</w:t>
            </w:r>
            <w:r>
              <w:rPr>
                <w:rFonts w:ascii="Times New Roman" w:cs="Times New Roman" w:hint="eastAsia"/>
              </w:rPr>
              <w:t>）</w:t>
            </w:r>
          </w:p>
        </w:tc>
        <w:tc>
          <w:tcPr>
            <w:tcW w:w="2035" w:type="dxa"/>
          </w:tcPr>
          <w:p w:rsidR="00973C8A" w:rsidRDefault="00940945">
            <w:pPr>
              <w:spacing w:line="360" w:lineRule="auto"/>
              <w:jc w:val="center"/>
              <w:rPr>
                <w:rFonts w:ascii="Times New Roman" w:cs="Times New Roman"/>
              </w:rPr>
            </w:pPr>
            <w:r>
              <w:rPr>
                <w:rFonts w:ascii="Times New Roman" w:cs="Times New Roman" w:hint="eastAsia"/>
              </w:rPr>
              <w:t>赎回费</w:t>
            </w:r>
          </w:p>
        </w:tc>
        <w:tc>
          <w:tcPr>
            <w:tcW w:w="2470" w:type="dxa"/>
          </w:tcPr>
          <w:p w:rsidR="00973C8A" w:rsidRDefault="00940945">
            <w:pPr>
              <w:spacing w:line="360" w:lineRule="auto"/>
              <w:jc w:val="center"/>
              <w:rPr>
                <w:rFonts w:ascii="Times New Roman" w:cs="Times New Roman"/>
              </w:rPr>
            </w:pPr>
            <w:r>
              <w:rPr>
                <w:rFonts w:ascii="Times New Roman" w:cs="Times New Roman" w:hint="eastAsia"/>
              </w:rPr>
              <w:t>归入基金资产比例</w:t>
            </w:r>
          </w:p>
        </w:tc>
      </w:tr>
      <w:tr w:rsidR="00973C8A">
        <w:trPr>
          <w:trHeight w:val="416"/>
        </w:trPr>
        <w:tc>
          <w:tcPr>
            <w:tcW w:w="2340" w:type="dxa"/>
          </w:tcPr>
          <w:p w:rsidR="00973C8A" w:rsidRDefault="00940945">
            <w:pPr>
              <w:spacing w:line="360" w:lineRule="auto"/>
              <w:jc w:val="center"/>
              <w:rPr>
                <w:rFonts w:ascii="宋体" w:eastAsia="宋体" w:hAnsi="宋体" w:cs="宋体"/>
              </w:rPr>
            </w:pPr>
            <w:r>
              <w:rPr>
                <w:rFonts w:ascii="宋体" w:eastAsia="宋体" w:hAnsi="宋体" w:cs="宋体" w:hint="eastAsia"/>
              </w:rPr>
              <w:t>T</w:t>
            </w:r>
            <w:r>
              <w:rPr>
                <w:rFonts w:ascii="宋体" w:eastAsia="宋体" w:hAnsi="宋体" w:cs="宋体" w:hint="eastAsia"/>
              </w:rPr>
              <w:t>＜</w:t>
            </w:r>
            <w:r>
              <w:rPr>
                <w:rFonts w:ascii="Times New Roman" w:hAnsi="Times New Roman" w:cs="Times New Roman" w:hint="eastAsia"/>
              </w:rPr>
              <w:t>7</w:t>
            </w:r>
            <w:r>
              <w:rPr>
                <w:rFonts w:ascii="宋体" w:eastAsia="宋体" w:hAnsi="宋体" w:cs="宋体" w:hint="eastAsia"/>
              </w:rPr>
              <w:t>日</w:t>
            </w:r>
          </w:p>
        </w:tc>
        <w:tc>
          <w:tcPr>
            <w:tcW w:w="2035"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1.50%</w:t>
            </w:r>
          </w:p>
        </w:tc>
        <w:tc>
          <w:tcPr>
            <w:tcW w:w="247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100%</w:t>
            </w:r>
          </w:p>
        </w:tc>
      </w:tr>
      <w:tr w:rsidR="00973C8A">
        <w:trPr>
          <w:trHeight w:val="366"/>
        </w:trPr>
        <w:tc>
          <w:tcPr>
            <w:tcW w:w="2340" w:type="dxa"/>
          </w:tcPr>
          <w:p w:rsidR="00973C8A" w:rsidRDefault="00940945">
            <w:pPr>
              <w:spacing w:line="360" w:lineRule="auto"/>
              <w:jc w:val="center"/>
              <w:rPr>
                <w:rFonts w:ascii="宋体" w:eastAsia="宋体" w:hAnsi="宋体" w:cs="宋体"/>
              </w:rPr>
            </w:pPr>
            <w:r>
              <w:rPr>
                <w:rFonts w:ascii="Times New Roman" w:hAnsi="Times New Roman" w:cs="Times New Roman" w:hint="eastAsia"/>
              </w:rPr>
              <w:t>7</w:t>
            </w:r>
            <w:r>
              <w:rPr>
                <w:rFonts w:ascii="宋体" w:eastAsia="宋体" w:hAnsi="宋体" w:cs="宋体" w:hint="eastAsia"/>
              </w:rPr>
              <w:t>日≤</w:t>
            </w:r>
            <w:r>
              <w:rPr>
                <w:rFonts w:ascii="宋体" w:eastAsia="宋体" w:hAnsi="宋体" w:cs="宋体" w:hint="eastAsia"/>
              </w:rPr>
              <w:t>T</w:t>
            </w:r>
            <w:r>
              <w:rPr>
                <w:rFonts w:ascii="宋体" w:eastAsia="宋体" w:hAnsi="宋体" w:cs="宋体" w:hint="eastAsia"/>
              </w:rPr>
              <w:t>＜</w:t>
            </w:r>
            <w:r>
              <w:rPr>
                <w:rFonts w:ascii="Times New Roman" w:hAnsi="Times New Roman" w:cs="Times New Roman" w:hint="eastAsia"/>
              </w:rPr>
              <w:t>1</w:t>
            </w:r>
            <w:r>
              <w:rPr>
                <w:rFonts w:ascii="Times New Roman" w:hAnsi="Times New Roman" w:cs="Times New Roman" w:hint="eastAsia"/>
              </w:rPr>
              <w:t>个月</w:t>
            </w:r>
          </w:p>
        </w:tc>
        <w:tc>
          <w:tcPr>
            <w:tcW w:w="2035"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0.75%</w:t>
            </w:r>
          </w:p>
        </w:tc>
        <w:tc>
          <w:tcPr>
            <w:tcW w:w="247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100%</w:t>
            </w:r>
          </w:p>
        </w:tc>
      </w:tr>
      <w:tr w:rsidR="00973C8A">
        <w:trPr>
          <w:trHeight w:val="316"/>
        </w:trPr>
        <w:tc>
          <w:tcPr>
            <w:tcW w:w="2340" w:type="dxa"/>
          </w:tcPr>
          <w:p w:rsidR="00973C8A" w:rsidRDefault="00940945">
            <w:pPr>
              <w:spacing w:line="360" w:lineRule="auto"/>
              <w:jc w:val="center"/>
              <w:rPr>
                <w:rFonts w:ascii="宋体" w:eastAsia="宋体" w:hAnsi="宋体" w:cs="宋体"/>
              </w:rPr>
            </w:pPr>
            <w:r>
              <w:rPr>
                <w:rFonts w:ascii="Times New Roman" w:hAnsi="Times New Roman" w:cs="Times New Roman" w:hint="eastAsia"/>
              </w:rPr>
              <w:t xml:space="preserve"> </w:t>
            </w:r>
            <w:r>
              <w:rPr>
                <w:rFonts w:ascii="Times New Roman" w:hAnsi="Times New Roman" w:cs="Times New Roman" w:hint="eastAsia"/>
              </w:rPr>
              <w:t>1</w:t>
            </w:r>
            <w:r>
              <w:rPr>
                <w:rFonts w:ascii="Times New Roman" w:hAnsi="Times New Roman" w:cs="Times New Roman" w:hint="eastAsia"/>
              </w:rPr>
              <w:t>个月</w:t>
            </w:r>
            <w:r>
              <w:rPr>
                <w:rFonts w:ascii="宋体" w:eastAsia="宋体" w:hAnsi="宋体" w:cs="宋体" w:hint="eastAsia"/>
              </w:rPr>
              <w:t>≤</w:t>
            </w:r>
            <w:r>
              <w:rPr>
                <w:rFonts w:ascii="宋体" w:eastAsia="宋体" w:hAnsi="宋体" w:cs="宋体" w:hint="eastAsia"/>
              </w:rPr>
              <w:t>T</w:t>
            </w:r>
            <w:r>
              <w:rPr>
                <w:rFonts w:ascii="宋体" w:eastAsia="宋体" w:hAnsi="宋体" w:cs="宋体" w:hint="eastAsia"/>
              </w:rPr>
              <w:t>＜</w:t>
            </w:r>
            <w:r>
              <w:rPr>
                <w:rFonts w:ascii="Times New Roman" w:hAnsi="Times New Roman" w:cs="Times New Roman" w:hint="eastAsia"/>
              </w:rPr>
              <w:t>3</w:t>
            </w:r>
            <w:r>
              <w:rPr>
                <w:rFonts w:ascii="Times New Roman" w:hAnsi="Times New Roman" w:cs="Times New Roman" w:hint="eastAsia"/>
              </w:rPr>
              <w:t>个月</w:t>
            </w:r>
          </w:p>
        </w:tc>
        <w:tc>
          <w:tcPr>
            <w:tcW w:w="2035"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0.50%</w:t>
            </w:r>
          </w:p>
        </w:tc>
        <w:tc>
          <w:tcPr>
            <w:tcW w:w="247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75%</w:t>
            </w:r>
          </w:p>
        </w:tc>
      </w:tr>
      <w:tr w:rsidR="00973C8A">
        <w:trPr>
          <w:trHeight w:val="316"/>
        </w:trPr>
        <w:tc>
          <w:tcPr>
            <w:tcW w:w="234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hint="eastAsia"/>
              </w:rPr>
              <w:t>3</w:t>
            </w:r>
            <w:r>
              <w:rPr>
                <w:rFonts w:ascii="Times New Roman" w:hAnsi="Times New Roman" w:cs="Times New Roman" w:hint="eastAsia"/>
              </w:rPr>
              <w:t>个月</w:t>
            </w:r>
            <w:r>
              <w:rPr>
                <w:rFonts w:ascii="宋体" w:eastAsia="宋体" w:hAnsi="宋体" w:cs="宋体" w:hint="eastAsia"/>
              </w:rPr>
              <w:t>≤</w:t>
            </w:r>
            <w:r>
              <w:rPr>
                <w:rFonts w:ascii="宋体" w:eastAsia="宋体" w:hAnsi="宋体" w:cs="宋体" w:hint="eastAsia"/>
              </w:rPr>
              <w:t>T</w:t>
            </w:r>
            <w:r>
              <w:rPr>
                <w:rFonts w:ascii="宋体" w:eastAsia="宋体" w:hAnsi="宋体" w:cs="宋体" w:hint="eastAsia"/>
              </w:rPr>
              <w:t>＜</w:t>
            </w:r>
            <w:r>
              <w:rPr>
                <w:rFonts w:ascii="Times New Roman" w:hAnsi="Times New Roman" w:cs="Times New Roman" w:hint="eastAsia"/>
              </w:rPr>
              <w:t>6</w:t>
            </w:r>
            <w:r>
              <w:rPr>
                <w:rFonts w:ascii="Times New Roman" w:hAnsi="Times New Roman" w:cs="Times New Roman" w:hint="eastAsia"/>
              </w:rPr>
              <w:t>个月</w:t>
            </w:r>
          </w:p>
        </w:tc>
        <w:tc>
          <w:tcPr>
            <w:tcW w:w="2035"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0.50%</w:t>
            </w:r>
          </w:p>
        </w:tc>
        <w:tc>
          <w:tcPr>
            <w:tcW w:w="247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50%</w:t>
            </w:r>
          </w:p>
        </w:tc>
      </w:tr>
      <w:tr w:rsidR="00973C8A">
        <w:trPr>
          <w:trHeight w:val="393"/>
        </w:trPr>
        <w:tc>
          <w:tcPr>
            <w:tcW w:w="2340" w:type="dxa"/>
          </w:tcPr>
          <w:p w:rsidR="00973C8A" w:rsidRDefault="00940945">
            <w:pPr>
              <w:spacing w:line="360" w:lineRule="auto"/>
              <w:jc w:val="center"/>
              <w:rPr>
                <w:rFonts w:ascii="宋体" w:eastAsia="宋体" w:hAnsi="宋体" w:cs="宋体"/>
              </w:rPr>
            </w:pPr>
            <w:r>
              <w:rPr>
                <w:rFonts w:ascii="Times New Roman" w:hAnsi="Times New Roman" w:cs="Times New Roman" w:hint="eastAsia"/>
              </w:rPr>
              <w:t>6</w:t>
            </w:r>
            <w:r>
              <w:rPr>
                <w:rFonts w:ascii="Times New Roman" w:hAnsi="Times New Roman" w:cs="Times New Roman" w:hint="eastAsia"/>
              </w:rPr>
              <w:t>个月</w:t>
            </w:r>
            <w:r>
              <w:rPr>
                <w:rFonts w:ascii="宋体" w:eastAsia="宋体" w:hAnsi="宋体" w:cs="宋体" w:hint="eastAsia"/>
              </w:rPr>
              <w:t>≤</w:t>
            </w:r>
            <w:r>
              <w:rPr>
                <w:rFonts w:ascii="宋体" w:eastAsia="宋体" w:hAnsi="宋体" w:cs="宋体" w:hint="eastAsia"/>
              </w:rPr>
              <w:t>T</w:t>
            </w:r>
            <w:r>
              <w:rPr>
                <w:rFonts w:ascii="宋体" w:eastAsia="宋体" w:hAnsi="宋体" w:cs="宋体" w:hint="eastAsia"/>
              </w:rPr>
              <w:t>＜</w:t>
            </w:r>
            <w:r>
              <w:rPr>
                <w:rFonts w:ascii="Times New Roman" w:hAnsi="Times New Roman" w:cs="Times New Roman" w:hint="eastAsia"/>
              </w:rPr>
              <w:t>1</w:t>
            </w:r>
            <w:r>
              <w:rPr>
                <w:rFonts w:ascii="宋体" w:eastAsia="宋体" w:hAnsi="宋体" w:cs="宋体" w:hint="eastAsia"/>
              </w:rPr>
              <w:t>年</w:t>
            </w:r>
          </w:p>
        </w:tc>
        <w:tc>
          <w:tcPr>
            <w:tcW w:w="2035"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0.20%</w:t>
            </w:r>
          </w:p>
        </w:tc>
        <w:tc>
          <w:tcPr>
            <w:tcW w:w="247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25%</w:t>
            </w:r>
          </w:p>
        </w:tc>
      </w:tr>
      <w:tr w:rsidR="00973C8A">
        <w:trPr>
          <w:trHeight w:val="342"/>
        </w:trPr>
        <w:tc>
          <w:tcPr>
            <w:tcW w:w="2340" w:type="dxa"/>
          </w:tcPr>
          <w:p w:rsidR="00973C8A" w:rsidRDefault="00940945">
            <w:pPr>
              <w:spacing w:line="360" w:lineRule="auto"/>
              <w:jc w:val="center"/>
              <w:rPr>
                <w:rFonts w:ascii="宋体" w:eastAsia="宋体" w:hAnsi="宋体" w:cs="宋体"/>
              </w:rPr>
            </w:pPr>
            <w:r>
              <w:rPr>
                <w:rFonts w:ascii="宋体" w:eastAsia="宋体" w:hAnsi="宋体" w:cs="宋体" w:hint="eastAsia"/>
              </w:rPr>
              <w:t>T</w:t>
            </w:r>
            <w:r>
              <w:rPr>
                <w:rFonts w:ascii="宋体" w:eastAsia="宋体" w:hAnsi="宋体" w:cs="宋体" w:hint="eastAsia"/>
              </w:rPr>
              <w:t>≥</w:t>
            </w:r>
            <w:r>
              <w:rPr>
                <w:rFonts w:ascii="Times New Roman" w:hAnsi="Times New Roman" w:cs="Times New Roman" w:hint="eastAsia"/>
              </w:rPr>
              <w:t>1</w:t>
            </w:r>
            <w:r>
              <w:rPr>
                <w:rFonts w:ascii="宋体" w:eastAsia="宋体" w:hAnsi="宋体" w:cs="宋体" w:hint="eastAsia"/>
              </w:rPr>
              <w:t>年</w:t>
            </w:r>
          </w:p>
        </w:tc>
        <w:tc>
          <w:tcPr>
            <w:tcW w:w="2035"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0</w:t>
            </w:r>
          </w:p>
        </w:tc>
        <w:tc>
          <w:tcPr>
            <w:tcW w:w="2470" w:type="dxa"/>
          </w:tcPr>
          <w:p w:rsidR="00973C8A" w:rsidRDefault="00940945">
            <w:pPr>
              <w:spacing w:line="360" w:lineRule="auto"/>
              <w:jc w:val="center"/>
              <w:rPr>
                <w:rFonts w:ascii="Times New Roman" w:hAnsi="Times New Roman" w:cs="Times New Roman"/>
              </w:rPr>
            </w:pPr>
            <w:r>
              <w:rPr>
                <w:rFonts w:ascii="Times New Roman" w:hAnsi="Times New Roman" w:cs="Times New Roman" w:hint="eastAsia"/>
              </w:rPr>
              <w:t>-</w:t>
            </w:r>
          </w:p>
        </w:tc>
      </w:tr>
    </w:tbl>
    <w:p w:rsidR="00973C8A" w:rsidRDefault="00940945" w:rsidP="00940945">
      <w:pPr>
        <w:spacing w:beforeLines="50" w:afterLines="50" w:line="360" w:lineRule="auto"/>
        <w:ind w:firstLineChars="202" w:firstLine="424"/>
        <w:rPr>
          <w:rFonts w:ascii="宋体" w:eastAsia="宋体" w:hAnsi="宋体" w:cs="宋体"/>
        </w:rPr>
      </w:pPr>
      <w:r>
        <w:rPr>
          <w:rFonts w:ascii="宋体" w:eastAsia="宋体" w:hAnsi="宋体" w:cs="宋体" w:hint="eastAsia"/>
        </w:rPr>
        <w:t>注：</w:t>
      </w:r>
      <w:r>
        <w:rPr>
          <w:rFonts w:ascii="宋体" w:eastAsia="宋体" w:hAnsi="宋体" w:cs="宋体" w:hint="eastAsia"/>
        </w:rPr>
        <w:t>1</w:t>
      </w:r>
      <w:r>
        <w:rPr>
          <w:rFonts w:ascii="宋体" w:eastAsia="宋体" w:hAnsi="宋体" w:cs="宋体" w:hint="eastAsia"/>
        </w:rPr>
        <w:t>个月指</w:t>
      </w:r>
      <w:r>
        <w:rPr>
          <w:rFonts w:ascii="宋体" w:eastAsia="宋体" w:hAnsi="宋体" w:cs="宋体" w:hint="eastAsia"/>
        </w:rPr>
        <w:t>30</w:t>
      </w:r>
      <w:r>
        <w:rPr>
          <w:rFonts w:ascii="宋体" w:eastAsia="宋体" w:hAnsi="宋体" w:cs="宋体" w:hint="eastAsia"/>
        </w:rPr>
        <w:t>天，</w:t>
      </w:r>
      <w:r>
        <w:rPr>
          <w:rFonts w:ascii="宋体" w:eastAsia="宋体" w:hAnsi="宋体" w:cs="宋体" w:hint="eastAsia"/>
        </w:rPr>
        <w:t>6</w:t>
      </w:r>
      <w:r>
        <w:rPr>
          <w:rFonts w:ascii="宋体" w:eastAsia="宋体" w:hAnsi="宋体" w:cs="宋体" w:hint="eastAsia"/>
        </w:rPr>
        <w:t>个月指</w:t>
      </w:r>
      <w:r>
        <w:rPr>
          <w:rFonts w:ascii="宋体" w:eastAsia="宋体" w:hAnsi="宋体" w:cs="宋体" w:hint="eastAsia"/>
        </w:rPr>
        <w:t>180</w:t>
      </w:r>
      <w:r>
        <w:rPr>
          <w:rFonts w:ascii="宋体" w:eastAsia="宋体" w:hAnsi="宋体" w:cs="宋体" w:hint="eastAsia"/>
        </w:rPr>
        <w:t>天，</w:t>
      </w:r>
      <w:r>
        <w:rPr>
          <w:rFonts w:ascii="宋体" w:eastAsia="宋体" w:hAnsi="宋体" w:cs="宋体" w:hint="eastAsia"/>
        </w:rPr>
        <w:t>1</w:t>
      </w:r>
      <w:r>
        <w:rPr>
          <w:rFonts w:ascii="宋体" w:eastAsia="宋体" w:hAnsi="宋体" w:cs="宋体" w:hint="eastAsia"/>
        </w:rPr>
        <w:t>年指</w:t>
      </w:r>
      <w:r>
        <w:rPr>
          <w:rFonts w:ascii="宋体" w:eastAsia="宋体" w:hAnsi="宋体" w:cs="宋体" w:hint="eastAsia"/>
        </w:rPr>
        <w:t>365</w:t>
      </w:r>
      <w:r>
        <w:rPr>
          <w:rFonts w:ascii="宋体" w:eastAsia="宋体" w:hAnsi="宋体" w:cs="宋体" w:hint="eastAsia"/>
        </w:rPr>
        <w:t>天。</w:t>
      </w:r>
    </w:p>
    <w:p w:rsidR="00973C8A" w:rsidRDefault="00940945" w:rsidP="00940945">
      <w:pPr>
        <w:spacing w:beforeLines="50" w:afterLines="50" w:line="360" w:lineRule="auto"/>
        <w:ind w:firstLineChars="200" w:firstLine="422"/>
        <w:rPr>
          <w:rFonts w:ascii="Times New Roman" w:hAnsi="Times New Roman" w:cs="Times New Roman"/>
          <w:b/>
          <w:bCs/>
        </w:rPr>
      </w:pPr>
      <w:r>
        <w:rPr>
          <w:rFonts w:ascii="Times New Roman" w:cs="Times New Roman" w:hint="eastAsia"/>
          <w:b/>
          <w:bCs/>
        </w:rPr>
        <w:t>四、基金合同、托管协议的修订及招募说明书、基金产品资料概要的更新</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1</w:t>
      </w:r>
      <w:r>
        <w:rPr>
          <w:rFonts w:ascii="Times New Roman" w:cs="Times New Roman" w:hint="eastAsia"/>
        </w:rPr>
        <w:t>、为确保本基金增加新的基金份额符合法律、法规的规定，本公司就本基金基金合同、托管协议的相关内容进行了修订，本项修订不涉及原基金份额持有人权利义务关系的变化，对原基金份额持有人的利益无实质性不利影响，根据基金合同的相关约定，不需要召开基金份额持有人大会。</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2</w:t>
      </w:r>
      <w:r>
        <w:rPr>
          <w:rFonts w:ascii="Times New Roman" w:cs="Times New Roman" w:hint="eastAsia"/>
        </w:rPr>
        <w:t>、本基金基金合同和托管协议的修订要点详见附件的对照表。</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3</w:t>
      </w:r>
      <w:r>
        <w:rPr>
          <w:rFonts w:ascii="Times New Roman" w:cs="Times New Roman" w:hint="eastAsia"/>
        </w:rPr>
        <w:t>、</w:t>
      </w:r>
      <w:r>
        <w:rPr>
          <w:rFonts w:ascii="Times New Roman" w:hAnsi="宋体" w:cs="Times New Roman" w:hint="eastAsia"/>
          <w:szCs w:val="21"/>
        </w:rPr>
        <w:t>本公司将按照《公开募集证券投资基金信息披露管理办法》的有关规定对本基金的招募说明书及基金产品资料概要进行同步更新。本基金修订后的基金合同、托管协议、招募说明书和基金产品资料概要将于本公告披露当日在本公司网站（</w:t>
      </w:r>
      <w:r>
        <w:rPr>
          <w:rFonts w:ascii="Times New Roman" w:hAnsi="宋体" w:cs="Times New Roman" w:hint="eastAsia"/>
          <w:szCs w:val="21"/>
        </w:rPr>
        <w:t>http://www.lionfund.com.cn</w:t>
      </w:r>
      <w:r>
        <w:rPr>
          <w:rFonts w:ascii="Times New Roman" w:hAnsi="宋体" w:cs="Times New Roman" w:hint="eastAsia"/>
          <w:szCs w:val="21"/>
        </w:rPr>
        <w:t>）及中国证监会基金电子披露网站（</w:t>
      </w:r>
      <w:hyperlink r:id="rId7" w:history="1">
        <w:r>
          <w:rPr>
            <w:rFonts w:ascii="Times New Roman" w:hAnsi="宋体" w:cs="Times New Roman" w:hint="eastAsia"/>
            <w:szCs w:val="21"/>
          </w:rPr>
          <w:t>http://eid.csrc.gov.cn/fund</w:t>
        </w:r>
      </w:hyperlink>
      <w:r>
        <w:rPr>
          <w:rFonts w:ascii="Times New Roman" w:hAnsi="宋体" w:cs="Times New Roman" w:hint="eastAsia"/>
          <w:szCs w:val="21"/>
        </w:rPr>
        <w:t>）披露。</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4</w:t>
      </w:r>
      <w:r>
        <w:rPr>
          <w:rFonts w:ascii="Times New Roman" w:cs="Times New Roman" w:hint="eastAsia"/>
        </w:rPr>
        <w:t>、投资者欲了解本基金信息，请仔细阅读本基金的基金合同、招募说明书、</w:t>
      </w:r>
      <w:r>
        <w:rPr>
          <w:rFonts w:ascii="Times New Roman" w:cs="Times New Roman" w:hint="eastAsia"/>
        </w:rPr>
        <w:t>基金产品资料概要等法律文件。</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hint="eastAsia"/>
        </w:rPr>
        <w:t>、投资者可通过本公司的网站（</w:t>
      </w:r>
      <w:r>
        <w:rPr>
          <w:rFonts w:ascii="Times New Roman" w:hAnsi="Times New Roman" w:cs="Times New Roman" w:hint="eastAsia"/>
        </w:rPr>
        <w:t>http://</w:t>
      </w:r>
      <w:r>
        <w:rPr>
          <w:rFonts w:ascii="Times New Roman" w:hAnsi="Times New Roman" w:cs="Times New Roman"/>
        </w:rPr>
        <w:t>www.lionfund.com.cn</w:t>
      </w:r>
      <w:r>
        <w:rPr>
          <w:rFonts w:ascii="Times New Roman" w:hAnsi="Times New Roman" w:cs="Times New Roman" w:hint="eastAsia"/>
        </w:rPr>
        <w:t>）或客户服务电话（</w:t>
      </w:r>
      <w:r>
        <w:rPr>
          <w:rFonts w:ascii="Times New Roman" w:hAnsi="Times New Roman" w:cs="Times New Roman"/>
        </w:rPr>
        <w:t>400-888-8998</w:t>
      </w:r>
      <w:r>
        <w:rPr>
          <w:rFonts w:ascii="Times New Roman" w:hAnsi="Times New Roman" w:cs="Times New Roman" w:hint="eastAsia"/>
        </w:rPr>
        <w:t>）咨询相关情况。</w:t>
      </w:r>
    </w:p>
    <w:p w:rsidR="00973C8A" w:rsidRDefault="00940945">
      <w:pPr>
        <w:spacing w:line="360" w:lineRule="auto"/>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hint="eastAsia"/>
        </w:rPr>
        <w:t>、本公告的有关内容在法律法规允许范围内由本公司负责解释。</w:t>
      </w:r>
    </w:p>
    <w:p w:rsidR="00973C8A" w:rsidRDefault="00973C8A">
      <w:pPr>
        <w:spacing w:line="360" w:lineRule="auto"/>
        <w:rPr>
          <w:rFonts w:ascii="Times New Roman" w:hAnsi="Times New Roman" w:cs="Times New Roman"/>
          <w:b/>
          <w:szCs w:val="21"/>
        </w:rPr>
      </w:pPr>
    </w:p>
    <w:p w:rsidR="00973C8A" w:rsidRDefault="00940945">
      <w:pPr>
        <w:spacing w:line="360" w:lineRule="auto"/>
        <w:rPr>
          <w:rFonts w:ascii="Times New Roman" w:hAnsi="Times New Roman" w:cs="Times New Roman"/>
          <w:b/>
          <w:szCs w:val="21"/>
        </w:rPr>
      </w:pPr>
      <w:r>
        <w:rPr>
          <w:rFonts w:ascii="Times New Roman" w:hAnsi="Times New Roman" w:cs="Times New Roman" w:hint="eastAsia"/>
          <w:b/>
          <w:szCs w:val="21"/>
        </w:rPr>
        <w:t>风险提示：</w:t>
      </w:r>
    </w:p>
    <w:p w:rsidR="00973C8A" w:rsidRDefault="00940945">
      <w:pPr>
        <w:spacing w:line="360" w:lineRule="auto"/>
        <w:ind w:firstLineChars="200" w:firstLine="420"/>
        <w:rPr>
          <w:rFonts w:ascii="Times New Roman" w:hAnsi="Times New Roman" w:cs="Times New Roman"/>
          <w:b/>
          <w:bCs/>
        </w:rPr>
      </w:pPr>
      <w:r>
        <w:rPr>
          <w:szCs w:val="21"/>
        </w:rPr>
        <w:t>本基金管理人承诺以诚实信用、勤勉尽责的原则管理和运用基金财产，但不保证基金一定盈利，也不保证最低收益。基金的过往业绩及其净值高低并不预示其未来业绩表现，基金管理人管理的其他基金的业绩并不构成</w:t>
      </w:r>
      <w:r>
        <w:rPr>
          <w:rFonts w:hint="eastAsia"/>
          <w:szCs w:val="21"/>
        </w:rPr>
        <w:t>本</w:t>
      </w:r>
      <w:r>
        <w:rPr>
          <w:szCs w:val="21"/>
        </w:rPr>
        <w:t>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w:t>
      </w:r>
      <w:bookmarkStart w:id="0" w:name="_GoBack"/>
      <w:bookmarkEnd w:id="0"/>
      <w:r>
        <w:rPr>
          <w:rFonts w:hAnsi="宋体"/>
          <w:szCs w:val="21"/>
        </w:rPr>
        <w:t>基金净值变化引致的投资风险，由投资者自行负担。基金管理人、基金托管人、基金销售机构及相关机构不对基金投资收益做出任何承诺或保证。投资者投资于本公司管理的基金时应仔细阅读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w:t>
      </w:r>
      <w:r>
        <w:rPr>
          <w:rFonts w:hAnsi="宋体"/>
          <w:szCs w:val="21"/>
        </w:rPr>
        <w:t>，理性判断并谨慎做出投资决策。</w:t>
      </w:r>
    </w:p>
    <w:p w:rsidR="00973C8A" w:rsidRDefault="00973C8A">
      <w:pPr>
        <w:spacing w:line="360" w:lineRule="auto"/>
        <w:ind w:firstLineChars="200" w:firstLine="420"/>
        <w:rPr>
          <w:rFonts w:ascii="Times New Roman" w:hAnsi="Times New Roman" w:cs="Times New Roman"/>
        </w:rPr>
      </w:pPr>
    </w:p>
    <w:p w:rsidR="00973C8A" w:rsidRDefault="00940945">
      <w:pPr>
        <w:spacing w:line="360" w:lineRule="auto"/>
        <w:ind w:firstLineChars="200" w:firstLine="420"/>
        <w:rPr>
          <w:rFonts w:ascii="Times New Roman" w:hAnsi="Times New Roman" w:cs="Times New Roman"/>
        </w:rPr>
      </w:pPr>
      <w:r>
        <w:rPr>
          <w:rFonts w:ascii="Times New Roman" w:cs="Times New Roman" w:hint="eastAsia"/>
        </w:rPr>
        <w:t>特此公告。</w:t>
      </w:r>
    </w:p>
    <w:p w:rsidR="00973C8A" w:rsidRDefault="00973C8A">
      <w:pPr>
        <w:spacing w:line="360" w:lineRule="auto"/>
        <w:rPr>
          <w:rFonts w:ascii="Times New Roman" w:hAnsi="Times New Roman" w:cs="Times New Roman"/>
        </w:rPr>
      </w:pPr>
    </w:p>
    <w:p w:rsidR="00973C8A" w:rsidRDefault="00940945">
      <w:pPr>
        <w:spacing w:line="360" w:lineRule="auto"/>
        <w:ind w:right="210"/>
        <w:jc w:val="right"/>
        <w:rPr>
          <w:rFonts w:ascii="Times New Roman" w:hAnsi="Times New Roman" w:cs="Times New Roman"/>
        </w:rPr>
      </w:pPr>
      <w:r>
        <w:rPr>
          <w:rFonts w:ascii="Times New Roman" w:cs="Times New Roman" w:hint="eastAsia"/>
        </w:rPr>
        <w:t>诺安基金管理有限公司</w:t>
      </w:r>
    </w:p>
    <w:p w:rsidR="00973C8A" w:rsidRDefault="00940945">
      <w:pPr>
        <w:wordWrap w:val="0"/>
        <w:spacing w:line="360" w:lineRule="auto"/>
        <w:ind w:right="210"/>
        <w:jc w:val="center"/>
        <w:rPr>
          <w:rFonts w:ascii="Times New Roman" w:hAnsi="Times New Roman" w:cs="Times New Roman"/>
        </w:rPr>
      </w:pPr>
      <w:r>
        <w:rPr>
          <w:rFonts w:ascii="Times New Roman" w:cs="Times New Roman" w:hint="eastAsia"/>
        </w:rPr>
        <w:t xml:space="preserve">                                                          </w:t>
      </w:r>
      <w:r>
        <w:rPr>
          <w:rFonts w:ascii="Times New Roman" w:cs="Times New Roman" w:hint="eastAsia"/>
        </w:rPr>
        <w:t>202</w:t>
      </w:r>
      <w:r>
        <w:rPr>
          <w:rFonts w:ascii="Times New Roman" w:cs="Times New Roman"/>
        </w:rPr>
        <w:t>5</w:t>
      </w:r>
      <w:r>
        <w:rPr>
          <w:rFonts w:ascii="Times New Roman" w:cs="Times New Roman" w:hint="eastAsia"/>
        </w:rPr>
        <w:t>年</w:t>
      </w:r>
      <w:r>
        <w:rPr>
          <w:rFonts w:ascii="Times New Roman" w:cs="Times New Roman" w:hint="eastAsia"/>
        </w:rPr>
        <w:t>11</w:t>
      </w:r>
      <w:r>
        <w:rPr>
          <w:rFonts w:ascii="Times New Roman" w:cs="Times New Roman" w:hint="eastAsia"/>
        </w:rPr>
        <w:t>月</w:t>
      </w:r>
      <w:r>
        <w:rPr>
          <w:rFonts w:ascii="Times New Roman" w:cs="Times New Roman" w:hint="eastAsia"/>
        </w:rPr>
        <w:t>25</w:t>
      </w:r>
      <w:r>
        <w:rPr>
          <w:rFonts w:ascii="Times New Roman" w:cs="Times New Roman" w:hint="eastAsia"/>
        </w:rPr>
        <w:t>日</w:t>
      </w:r>
    </w:p>
    <w:p w:rsidR="00973C8A" w:rsidRDefault="00940945">
      <w:pPr>
        <w:jc w:val="left"/>
        <w:rPr>
          <w:rFonts w:ascii="Times New Roman" w:hAnsi="Times New Roman" w:cs="Times New Roman"/>
        </w:rPr>
      </w:pPr>
      <w:r>
        <w:rPr>
          <w:rFonts w:ascii="Times New Roman" w:hAnsi="Times New Roman" w:cs="Times New Roman"/>
        </w:rPr>
        <w:br w:type="page"/>
      </w:r>
    </w:p>
    <w:p w:rsidR="00973C8A" w:rsidRDefault="00940945">
      <w:pPr>
        <w:spacing w:line="276" w:lineRule="auto"/>
        <w:ind w:right="210"/>
        <w:jc w:val="left"/>
        <w:rPr>
          <w:rFonts w:ascii="Times New Roman" w:hAnsi="Times New Roman" w:cs="Times New Roman"/>
        </w:rPr>
      </w:pPr>
      <w:r>
        <w:rPr>
          <w:rFonts w:ascii="Times New Roman" w:cs="Times New Roman" w:hint="eastAsia"/>
          <w:b/>
        </w:rPr>
        <w:t>附件：基金合同、托管协议修改要点前后文对照表</w:t>
      </w:r>
    </w:p>
    <w:p w:rsidR="00973C8A" w:rsidRDefault="00940945">
      <w:pPr>
        <w:spacing w:line="360" w:lineRule="auto"/>
        <w:rPr>
          <w:rFonts w:ascii="Times New Roman" w:cs="Times New Roman"/>
          <w:szCs w:val="21"/>
        </w:rPr>
      </w:pPr>
      <w:r>
        <w:rPr>
          <w:rFonts w:ascii="Times New Roman" w:cs="Times New Roman" w:hint="eastAsia"/>
          <w:szCs w:val="21"/>
        </w:rPr>
        <w:t>（一）</w:t>
      </w:r>
      <w:r>
        <w:rPr>
          <w:rFonts w:ascii="Times New Roman" w:cs="Times New Roman" w:hint="eastAsia"/>
        </w:rPr>
        <w:t>诺安利鑫灵活配置混合型证券投资基金</w:t>
      </w:r>
      <w:r>
        <w:rPr>
          <w:rFonts w:ascii="Times New Roman" w:cs="Times New Roman" w:hint="eastAsia"/>
          <w:szCs w:val="21"/>
        </w:rPr>
        <w:t>基金合同修订要点前后文对照表</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5"/>
        <w:gridCol w:w="3781"/>
        <w:gridCol w:w="3732"/>
      </w:tblGrid>
      <w:tr w:rsidR="00973C8A">
        <w:tc>
          <w:tcPr>
            <w:tcW w:w="1335" w:type="dxa"/>
            <w:vMerge w:val="restart"/>
            <w:tcBorders>
              <w:top w:val="single" w:sz="4" w:space="0" w:color="auto"/>
              <w:left w:val="single" w:sz="4" w:space="0" w:color="auto"/>
              <w:bottom w:val="single" w:sz="4" w:space="0" w:color="auto"/>
              <w:right w:val="single" w:sz="4" w:space="0" w:color="auto"/>
            </w:tcBorders>
            <w:vAlign w:val="center"/>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章节</w:t>
            </w: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原文条款</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修改后条款</w:t>
            </w:r>
          </w:p>
        </w:tc>
      </w:tr>
      <w:tr w:rsidR="00973C8A">
        <w:tc>
          <w:tcPr>
            <w:tcW w:w="1335" w:type="dxa"/>
            <w:vMerge/>
            <w:tcBorders>
              <w:top w:val="single" w:sz="4" w:space="0" w:color="auto"/>
              <w:left w:val="single" w:sz="4" w:space="0" w:color="auto"/>
              <w:bottom w:val="single" w:sz="4" w:space="0" w:color="auto"/>
              <w:right w:val="single" w:sz="4" w:space="0" w:color="auto"/>
            </w:tcBorders>
            <w:vAlign w:val="center"/>
          </w:tcPr>
          <w:p w:rsidR="00973C8A" w:rsidRDefault="00973C8A">
            <w:pPr>
              <w:widowControl/>
              <w:jc w:val="center"/>
              <w:rPr>
                <w:rFonts w:ascii="宋体" w:eastAsia="宋体" w:hAnsi="宋体" w:cs="Times New Roman"/>
                <w:b/>
                <w:szCs w:val="21"/>
              </w:rPr>
            </w:pP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内容</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内容</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rPr>
            </w:pPr>
            <w:r>
              <w:rPr>
                <w:rFonts w:ascii="宋体" w:eastAsia="宋体" w:hAnsi="宋体" w:cs="Times New Roman" w:hint="eastAsia"/>
                <w:b/>
                <w:szCs w:val="21"/>
              </w:rPr>
              <w:t>第二部分</w:t>
            </w:r>
            <w:r>
              <w:rPr>
                <w:rFonts w:ascii="宋体" w:eastAsia="宋体" w:hAnsi="宋体" w:cs="Times New Roman" w:hint="eastAsia"/>
                <w:b/>
                <w:szCs w:val="21"/>
              </w:rPr>
              <w:t xml:space="preserve">  </w:t>
            </w:r>
            <w:r>
              <w:rPr>
                <w:rFonts w:ascii="宋体" w:eastAsia="宋体" w:hAnsi="宋体" w:cs="Times New Roman" w:hint="eastAsia"/>
                <w:b/>
                <w:szCs w:val="21"/>
              </w:rPr>
              <w:t>释义</w:t>
            </w: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ind w:right="26"/>
              <w:rPr>
                <w:rFonts w:ascii="宋体" w:eastAsia="宋体" w:hAnsi="宋体" w:cs="Times New Roman"/>
                <w:bCs/>
                <w:szCs w:val="21"/>
              </w:rPr>
            </w:pPr>
            <w:r>
              <w:rPr>
                <w:rFonts w:ascii="宋体" w:eastAsia="宋体" w:hAnsi="宋体" w:cs="Times New Roman" w:hint="eastAsia"/>
                <w:bCs/>
                <w:szCs w:val="21"/>
              </w:rPr>
              <w:t>15</w:t>
            </w:r>
            <w:r>
              <w:rPr>
                <w:rFonts w:ascii="宋体" w:eastAsia="宋体" w:hAnsi="宋体" w:cs="Times New Roman" w:hint="eastAsia"/>
                <w:bCs/>
                <w:szCs w:val="21"/>
              </w:rPr>
              <w:t>、银行业监督管理机构：指中国人民银行和</w:t>
            </w:r>
            <w:r>
              <w:rPr>
                <w:rFonts w:ascii="宋体" w:eastAsia="宋体" w:hAnsi="宋体" w:cs="Times New Roman" w:hint="eastAsia"/>
                <w:bCs/>
                <w:szCs w:val="21"/>
              </w:rPr>
              <w:t>/</w:t>
            </w:r>
            <w:r>
              <w:rPr>
                <w:rFonts w:ascii="宋体" w:eastAsia="宋体" w:hAnsi="宋体" w:cs="Times New Roman" w:hint="eastAsia"/>
                <w:bCs/>
                <w:szCs w:val="21"/>
              </w:rPr>
              <w:t>或中国银行业监督管理委员会</w:t>
            </w:r>
          </w:p>
          <w:p w:rsidR="00973C8A" w:rsidRDefault="00973C8A">
            <w:pPr>
              <w:ind w:right="26"/>
              <w:rPr>
                <w:rFonts w:ascii="宋体" w:eastAsia="宋体" w:hAnsi="宋体" w:cs="Times New Roman"/>
                <w:bCs/>
                <w:szCs w:val="21"/>
              </w:rPr>
            </w:pPr>
          </w:p>
          <w:p w:rsidR="00973C8A" w:rsidRDefault="00940945">
            <w:pPr>
              <w:ind w:right="26"/>
              <w:rPr>
                <w:rFonts w:ascii="宋体" w:eastAsia="宋体" w:hAnsi="宋体" w:cs="Times New Roman"/>
                <w:b/>
                <w:bCs/>
                <w:strike/>
                <w:szCs w:val="21"/>
              </w:rPr>
            </w:pPr>
            <w:r>
              <w:rPr>
                <w:rFonts w:ascii="宋体" w:eastAsia="宋体" w:hAnsi="宋体" w:cs="Times New Roman" w:hint="eastAsia"/>
                <w:bCs/>
                <w:szCs w:val="21"/>
              </w:rPr>
              <w:t>51</w:t>
            </w:r>
            <w:r>
              <w:rPr>
                <w:rFonts w:ascii="宋体" w:eastAsia="宋体" w:hAnsi="宋体" w:cs="Times New Roman" w:hint="eastAsia"/>
                <w:bCs/>
                <w:szCs w:val="21"/>
              </w:rPr>
              <w:t>、基金份额分类：指本基金根据申购费用、销售服务费用收取方式的不同，将基金份额分为不同的类别。在投资者申购时收取申购费用，但不从本类别基金资产中计提销售服务费的，</w:t>
            </w:r>
            <w:r>
              <w:rPr>
                <w:rFonts w:ascii="宋体" w:eastAsia="宋体" w:hAnsi="宋体" w:cs="Times New Roman" w:hint="eastAsia"/>
                <w:bCs/>
                <w:szCs w:val="21"/>
              </w:rPr>
              <w:t>称为</w:t>
            </w:r>
            <w:r>
              <w:rPr>
                <w:rFonts w:ascii="宋体" w:eastAsia="宋体" w:hAnsi="宋体" w:cs="Times New Roman" w:hint="eastAsia"/>
                <w:bCs/>
                <w:szCs w:val="21"/>
              </w:rPr>
              <w:t>A</w:t>
            </w:r>
            <w:r>
              <w:rPr>
                <w:rFonts w:ascii="宋体" w:eastAsia="宋体" w:hAnsi="宋体" w:cs="Times New Roman" w:hint="eastAsia"/>
                <w:bCs/>
                <w:szCs w:val="21"/>
              </w:rPr>
              <w:t>类基金份额；在投资者申购时不收取申购费用，而是从本类别基金资产中计提销售服务费的，称为</w:t>
            </w:r>
            <w:r>
              <w:rPr>
                <w:rFonts w:ascii="宋体" w:eastAsia="宋体" w:hAnsi="宋体" w:cs="Times New Roman" w:hint="eastAsia"/>
                <w:bCs/>
                <w:szCs w:val="21"/>
              </w:rPr>
              <w:t>C</w:t>
            </w:r>
            <w:r>
              <w:rPr>
                <w:rFonts w:ascii="宋体" w:eastAsia="宋体" w:hAnsi="宋体" w:cs="Times New Roman" w:hint="eastAsia"/>
                <w:bCs/>
                <w:szCs w:val="21"/>
              </w:rPr>
              <w:t>类基金份额</w:t>
            </w:r>
          </w:p>
        </w:tc>
        <w:tc>
          <w:tcPr>
            <w:tcW w:w="3732" w:type="dxa"/>
            <w:tcBorders>
              <w:top w:val="single" w:sz="4" w:space="0" w:color="auto"/>
              <w:left w:val="single" w:sz="4" w:space="0" w:color="auto"/>
              <w:bottom w:val="single" w:sz="4" w:space="0" w:color="auto"/>
              <w:right w:val="single" w:sz="4" w:space="0" w:color="auto"/>
            </w:tcBorders>
            <w:vAlign w:val="center"/>
          </w:tcPr>
          <w:p w:rsidR="00973C8A" w:rsidRDefault="00940945">
            <w:pPr>
              <w:ind w:right="26"/>
              <w:rPr>
                <w:rFonts w:ascii="宋体" w:eastAsia="宋体" w:hAnsi="宋体" w:cs="Times New Roman"/>
                <w:b/>
                <w:strike/>
                <w:szCs w:val="21"/>
              </w:rPr>
            </w:pPr>
            <w:r>
              <w:rPr>
                <w:rFonts w:ascii="宋体" w:eastAsia="宋体" w:hAnsi="宋体" w:cs="Times New Roman" w:hint="eastAsia"/>
                <w:szCs w:val="21"/>
                <w:u w:val="single"/>
              </w:rPr>
              <w:t>15</w:t>
            </w:r>
            <w:r>
              <w:rPr>
                <w:rFonts w:ascii="宋体" w:eastAsia="宋体" w:hAnsi="宋体" w:cs="Times New Roman" w:hint="eastAsia"/>
                <w:szCs w:val="21"/>
                <w:u w:val="single"/>
              </w:rPr>
              <w:t>、银行业监督管理机构：指</w:t>
            </w:r>
            <w:r>
              <w:rPr>
                <w:rFonts w:ascii="宋体" w:eastAsia="宋体" w:hAnsi="宋体" w:cs="Times New Roman" w:hint="eastAsia"/>
                <w:b/>
                <w:bCs/>
                <w:szCs w:val="21"/>
                <w:u w:val="single"/>
              </w:rPr>
              <w:t>国家金融监督管理总局</w:t>
            </w:r>
            <w:r>
              <w:rPr>
                <w:rFonts w:ascii="宋体" w:eastAsia="宋体" w:hAnsi="宋体" w:cs="Times New Roman" w:hint="eastAsia"/>
                <w:b/>
                <w:strike/>
                <w:szCs w:val="21"/>
              </w:rPr>
              <w:t>中国人民银行和</w:t>
            </w:r>
            <w:r>
              <w:rPr>
                <w:rFonts w:ascii="宋体" w:eastAsia="宋体" w:hAnsi="宋体" w:cs="Times New Roman" w:hint="eastAsia"/>
                <w:b/>
                <w:strike/>
                <w:szCs w:val="21"/>
              </w:rPr>
              <w:t>/</w:t>
            </w:r>
            <w:r>
              <w:rPr>
                <w:rFonts w:ascii="宋体" w:eastAsia="宋体" w:hAnsi="宋体" w:cs="Times New Roman" w:hint="eastAsia"/>
                <w:b/>
                <w:strike/>
                <w:szCs w:val="21"/>
              </w:rPr>
              <w:t>或中国银行业监督管理委员会</w:t>
            </w:r>
          </w:p>
          <w:p w:rsidR="00973C8A" w:rsidRDefault="00940945">
            <w:pPr>
              <w:ind w:right="26"/>
              <w:rPr>
                <w:rFonts w:ascii="宋体" w:eastAsia="宋体" w:hAnsi="宋体" w:cs="Times New Roman"/>
                <w:b/>
                <w:szCs w:val="21"/>
                <w:u w:val="single"/>
              </w:rPr>
            </w:pPr>
            <w:r>
              <w:rPr>
                <w:rFonts w:ascii="宋体" w:eastAsia="宋体" w:hAnsi="宋体" w:cs="Times New Roman" w:hint="eastAsia"/>
                <w:bCs/>
                <w:szCs w:val="21"/>
              </w:rPr>
              <w:t>51</w:t>
            </w:r>
            <w:r>
              <w:rPr>
                <w:rFonts w:ascii="宋体" w:eastAsia="宋体" w:hAnsi="宋体" w:cs="Times New Roman" w:hint="eastAsia"/>
                <w:bCs/>
                <w:szCs w:val="21"/>
              </w:rPr>
              <w:t>、基金份额分类：指本基金根据申购费用、销售服务费用收取方式的不同，将基金份额分为不同的类别。在投资者申购时收取申购费用，但不从本类别基金资产中计提销售服务费的，</w:t>
            </w:r>
            <w:r>
              <w:rPr>
                <w:rFonts w:ascii="宋体" w:eastAsia="宋体" w:hAnsi="宋体" w:cs="Times New Roman" w:hint="eastAsia"/>
                <w:bCs/>
                <w:szCs w:val="21"/>
              </w:rPr>
              <w:t>称为</w:t>
            </w:r>
            <w:r>
              <w:rPr>
                <w:rFonts w:ascii="宋体" w:eastAsia="宋体" w:hAnsi="宋体" w:cs="Times New Roman" w:hint="eastAsia"/>
                <w:bCs/>
                <w:szCs w:val="21"/>
              </w:rPr>
              <w:t>A</w:t>
            </w:r>
            <w:r>
              <w:rPr>
                <w:rFonts w:ascii="宋体" w:eastAsia="宋体" w:hAnsi="宋体" w:cs="Times New Roman" w:hint="eastAsia"/>
                <w:bCs/>
                <w:szCs w:val="21"/>
              </w:rPr>
              <w:t>类基金份额</w:t>
            </w:r>
            <w:r>
              <w:rPr>
                <w:rFonts w:ascii="宋体" w:eastAsia="宋体" w:hAnsi="宋体" w:cs="Times New Roman" w:hint="eastAsia"/>
                <w:b/>
                <w:szCs w:val="21"/>
                <w:u w:val="single"/>
              </w:rPr>
              <w:t>和</w:t>
            </w:r>
            <w:r>
              <w:rPr>
                <w:rFonts w:ascii="宋体" w:eastAsia="宋体" w:hAnsi="宋体" w:cs="Times New Roman" w:hint="eastAsia"/>
                <w:b/>
                <w:szCs w:val="21"/>
                <w:u w:val="single"/>
              </w:rPr>
              <w:t>D</w:t>
            </w:r>
            <w:r>
              <w:rPr>
                <w:rFonts w:ascii="宋体" w:eastAsia="宋体" w:hAnsi="宋体" w:cs="Times New Roman" w:hint="eastAsia"/>
                <w:b/>
                <w:szCs w:val="21"/>
                <w:u w:val="single"/>
              </w:rPr>
              <w:t>类基金份额</w:t>
            </w:r>
            <w:r>
              <w:rPr>
                <w:rFonts w:ascii="宋体" w:eastAsia="宋体" w:hAnsi="宋体" w:cs="Times New Roman" w:hint="eastAsia"/>
                <w:bCs/>
                <w:szCs w:val="21"/>
              </w:rPr>
              <w:t>；在投资者申购时不收取申购费用，而是从本类别基金资产中计提销售服务费的，称为</w:t>
            </w:r>
            <w:r>
              <w:rPr>
                <w:rFonts w:ascii="宋体" w:eastAsia="宋体" w:hAnsi="宋体" w:cs="Times New Roman" w:hint="eastAsia"/>
                <w:bCs/>
                <w:szCs w:val="21"/>
              </w:rPr>
              <w:t>C</w:t>
            </w:r>
            <w:r>
              <w:rPr>
                <w:rFonts w:ascii="宋体" w:eastAsia="宋体" w:hAnsi="宋体" w:cs="Times New Roman" w:hint="eastAsia"/>
                <w:bCs/>
                <w:szCs w:val="21"/>
              </w:rPr>
              <w:t>类基金份额</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rPr>
            </w:pPr>
            <w:r>
              <w:rPr>
                <w:rFonts w:ascii="宋体" w:eastAsia="宋体" w:hAnsi="宋体" w:cs="Times New Roman" w:hint="eastAsia"/>
                <w:b/>
                <w:szCs w:val="21"/>
              </w:rPr>
              <w:t>第三部分</w:t>
            </w:r>
            <w:r>
              <w:rPr>
                <w:rFonts w:ascii="宋体" w:eastAsia="宋体" w:hAnsi="宋体" w:cs="Times New Roman" w:hint="eastAsia"/>
                <w:b/>
                <w:szCs w:val="21"/>
              </w:rPr>
              <w:t xml:space="preserve">  </w:t>
            </w:r>
            <w:r>
              <w:rPr>
                <w:rFonts w:ascii="宋体" w:eastAsia="宋体" w:hAnsi="宋体" w:cs="Times New Roman" w:hint="eastAsia"/>
                <w:b/>
                <w:szCs w:val="21"/>
              </w:rPr>
              <w:t>基金的基本情况</w:t>
            </w: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ind w:right="26"/>
              <w:rPr>
                <w:rFonts w:ascii="宋体" w:eastAsia="宋体" w:hAnsi="宋体" w:cs="Times New Roman"/>
                <w:szCs w:val="21"/>
              </w:rPr>
            </w:pPr>
            <w:r>
              <w:rPr>
                <w:rFonts w:ascii="宋体" w:eastAsia="宋体" w:hAnsi="宋体" w:cs="Times New Roman" w:hint="eastAsia"/>
                <w:szCs w:val="21"/>
              </w:rPr>
              <w:t>六、基金份额的类别</w:t>
            </w:r>
          </w:p>
          <w:p w:rsidR="00973C8A" w:rsidRDefault="00940945">
            <w:pPr>
              <w:ind w:right="26"/>
              <w:rPr>
                <w:rFonts w:ascii="宋体" w:eastAsia="宋体" w:hAnsi="宋体" w:cs="Times New Roman"/>
                <w:szCs w:val="21"/>
              </w:rPr>
            </w:pPr>
            <w:r>
              <w:rPr>
                <w:rFonts w:ascii="宋体" w:eastAsia="宋体" w:hAnsi="宋体" w:cs="Times New Roman" w:hint="eastAsia"/>
                <w:szCs w:val="21"/>
              </w:rPr>
              <w:t>本基金根据申购费用、销售服务费用收取方式的不同，将基金份额分为不同的类别。在投资者申购时收取申购费用，但不从本类别基金资产中计提销售服务费的，</w:t>
            </w:r>
            <w:r>
              <w:rPr>
                <w:rFonts w:ascii="宋体" w:eastAsia="宋体" w:hAnsi="宋体" w:cs="Times New Roman" w:hint="eastAsia"/>
                <w:szCs w:val="21"/>
              </w:rPr>
              <w:t>称为</w:t>
            </w:r>
            <w:r>
              <w:rPr>
                <w:rFonts w:ascii="宋体" w:eastAsia="宋体" w:hAnsi="宋体" w:cs="Times New Roman" w:hint="eastAsia"/>
                <w:szCs w:val="21"/>
              </w:rPr>
              <w:t>A</w:t>
            </w:r>
            <w:r>
              <w:rPr>
                <w:rFonts w:ascii="宋体" w:eastAsia="宋体" w:hAnsi="宋体" w:cs="Times New Roman" w:hint="eastAsia"/>
                <w:szCs w:val="21"/>
              </w:rPr>
              <w:t>类基金份额；在投资者申购时不收取申购费用，而是从本类别基金资产中计提销售服务费的，称为</w:t>
            </w:r>
            <w:r>
              <w:rPr>
                <w:rFonts w:ascii="宋体" w:eastAsia="宋体" w:hAnsi="宋体" w:cs="Times New Roman" w:hint="eastAsia"/>
                <w:szCs w:val="21"/>
              </w:rPr>
              <w:t>C</w:t>
            </w:r>
            <w:r>
              <w:rPr>
                <w:rFonts w:ascii="宋体" w:eastAsia="宋体" w:hAnsi="宋体" w:cs="Times New Roman" w:hint="eastAsia"/>
                <w:szCs w:val="21"/>
              </w:rPr>
              <w:t>类基金份额。</w:t>
            </w:r>
          </w:p>
          <w:p w:rsidR="00973C8A" w:rsidRDefault="00940945">
            <w:pPr>
              <w:ind w:right="26"/>
              <w:rPr>
                <w:rFonts w:ascii="宋体" w:eastAsia="宋体" w:hAnsi="宋体" w:cs="Times New Roman"/>
                <w:bCs/>
                <w:szCs w:val="21"/>
              </w:rPr>
            </w:pPr>
            <w:r>
              <w:rPr>
                <w:rFonts w:ascii="宋体" w:eastAsia="宋体" w:hAnsi="宋体" w:cs="Times New Roman" w:hint="eastAsia"/>
                <w:szCs w:val="21"/>
              </w:rPr>
              <w:t>本基金</w:t>
            </w:r>
            <w:r>
              <w:rPr>
                <w:rFonts w:ascii="宋体" w:eastAsia="宋体" w:hAnsi="宋体" w:cs="Times New Roman" w:hint="eastAsia"/>
                <w:szCs w:val="21"/>
              </w:rPr>
              <w:t>A</w:t>
            </w:r>
            <w:r>
              <w:rPr>
                <w:rFonts w:ascii="宋体" w:eastAsia="宋体" w:hAnsi="宋体" w:cs="Times New Roman" w:hint="eastAsia"/>
                <w:szCs w:val="21"/>
              </w:rPr>
              <w:t>类和</w:t>
            </w:r>
            <w:r>
              <w:rPr>
                <w:rFonts w:ascii="宋体" w:eastAsia="宋体" w:hAnsi="宋体" w:cs="Times New Roman" w:hint="eastAsia"/>
                <w:szCs w:val="21"/>
              </w:rPr>
              <w:t>C</w:t>
            </w:r>
            <w:r>
              <w:rPr>
                <w:rFonts w:ascii="宋体" w:eastAsia="宋体" w:hAnsi="宋体" w:cs="Times New Roman" w:hint="eastAsia"/>
                <w:szCs w:val="21"/>
              </w:rPr>
              <w:t>类基金份额分别设置代码。由于基金费用的不同，本基金</w:t>
            </w:r>
            <w:r>
              <w:rPr>
                <w:rFonts w:ascii="宋体" w:eastAsia="宋体" w:hAnsi="宋体" w:cs="Times New Roman" w:hint="eastAsia"/>
                <w:szCs w:val="21"/>
              </w:rPr>
              <w:t>A</w:t>
            </w:r>
            <w:r>
              <w:rPr>
                <w:rFonts w:ascii="宋体" w:eastAsia="宋体" w:hAnsi="宋体" w:cs="Times New Roman" w:hint="eastAsia"/>
                <w:szCs w:val="21"/>
              </w:rPr>
              <w:t>类和</w:t>
            </w:r>
            <w:r>
              <w:rPr>
                <w:rFonts w:ascii="宋体" w:eastAsia="宋体" w:hAnsi="宋体" w:cs="Times New Roman" w:hint="eastAsia"/>
                <w:szCs w:val="21"/>
              </w:rPr>
              <w:t>C</w:t>
            </w:r>
            <w:r>
              <w:rPr>
                <w:rFonts w:ascii="宋体" w:eastAsia="宋体" w:hAnsi="宋体" w:cs="Times New Roman" w:hint="eastAsia"/>
                <w:szCs w:val="21"/>
              </w:rPr>
              <w:t>类基金份额将分别计算基金份额净值，计算公式为：计算日某类基金份额净值＝计算日该类基金份额的基金资产净值</w:t>
            </w:r>
            <w:r>
              <w:rPr>
                <w:rFonts w:ascii="宋体" w:eastAsia="宋体" w:hAnsi="宋体" w:cs="Times New Roman" w:hint="eastAsia"/>
                <w:szCs w:val="21"/>
              </w:rPr>
              <w:t>/</w:t>
            </w:r>
            <w:r>
              <w:rPr>
                <w:rFonts w:ascii="宋体" w:eastAsia="宋体" w:hAnsi="宋体" w:cs="Times New Roman" w:hint="eastAsia"/>
                <w:szCs w:val="21"/>
              </w:rPr>
              <w:t>计算日该类别基金份额总数。</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ind w:right="26"/>
              <w:rPr>
                <w:rFonts w:ascii="宋体" w:eastAsia="宋体" w:hAnsi="宋体" w:cs="Times New Roman"/>
                <w:szCs w:val="21"/>
              </w:rPr>
            </w:pPr>
            <w:r>
              <w:rPr>
                <w:rFonts w:ascii="宋体" w:eastAsia="宋体" w:hAnsi="宋体" w:cs="Times New Roman" w:hint="eastAsia"/>
                <w:szCs w:val="21"/>
              </w:rPr>
              <w:t>六、基金份额的类别</w:t>
            </w:r>
          </w:p>
          <w:p w:rsidR="00973C8A" w:rsidRDefault="00940945">
            <w:pPr>
              <w:ind w:right="26"/>
              <w:rPr>
                <w:rFonts w:ascii="宋体" w:eastAsia="宋体" w:hAnsi="宋体" w:cs="Times New Roman"/>
                <w:szCs w:val="21"/>
              </w:rPr>
            </w:pPr>
            <w:r>
              <w:rPr>
                <w:rFonts w:ascii="宋体" w:eastAsia="宋体" w:hAnsi="宋体" w:cs="Times New Roman" w:hint="eastAsia"/>
                <w:szCs w:val="21"/>
              </w:rPr>
              <w:t>本基金根据申购费用、销售服务费用收取方式的不同，将基金份额分为不同的类别。在投资者申购时收取申购费用，但不从本类别基金资产中计提销售服务费的，</w:t>
            </w:r>
            <w:r>
              <w:rPr>
                <w:rFonts w:ascii="宋体" w:eastAsia="宋体" w:hAnsi="宋体" w:cs="Times New Roman" w:hint="eastAsia"/>
                <w:szCs w:val="21"/>
              </w:rPr>
              <w:t>称为</w:t>
            </w:r>
            <w:r>
              <w:rPr>
                <w:rFonts w:ascii="宋体" w:eastAsia="宋体" w:hAnsi="宋体" w:cs="Times New Roman" w:hint="eastAsia"/>
                <w:szCs w:val="21"/>
              </w:rPr>
              <w:t>A</w:t>
            </w:r>
            <w:r>
              <w:rPr>
                <w:rFonts w:ascii="宋体" w:eastAsia="宋体" w:hAnsi="宋体" w:cs="Times New Roman" w:hint="eastAsia"/>
                <w:szCs w:val="21"/>
              </w:rPr>
              <w:t>类基金份额</w:t>
            </w:r>
            <w:r>
              <w:rPr>
                <w:rFonts w:ascii="宋体" w:eastAsia="宋体" w:hAnsi="宋体" w:cs="Times New Roman" w:hint="eastAsia"/>
                <w:b/>
                <w:bCs/>
                <w:szCs w:val="21"/>
                <w:u w:val="single"/>
              </w:rPr>
              <w:t>和</w:t>
            </w:r>
            <w:r>
              <w:rPr>
                <w:rFonts w:ascii="宋体" w:eastAsia="宋体" w:hAnsi="宋体" w:cs="Times New Roman" w:hint="eastAsia"/>
                <w:b/>
                <w:bCs/>
                <w:szCs w:val="21"/>
                <w:u w:val="single"/>
              </w:rPr>
              <w:t>D</w:t>
            </w:r>
            <w:r>
              <w:rPr>
                <w:rFonts w:ascii="宋体" w:eastAsia="宋体" w:hAnsi="宋体" w:cs="Times New Roman" w:hint="eastAsia"/>
                <w:b/>
                <w:bCs/>
                <w:szCs w:val="21"/>
                <w:u w:val="single"/>
              </w:rPr>
              <w:t>类基金份额</w:t>
            </w:r>
            <w:r>
              <w:rPr>
                <w:rFonts w:ascii="宋体" w:eastAsia="宋体" w:hAnsi="宋体" w:cs="Times New Roman" w:hint="eastAsia"/>
                <w:szCs w:val="21"/>
              </w:rPr>
              <w:t>；在投资者申</w:t>
            </w:r>
            <w:r>
              <w:rPr>
                <w:rFonts w:ascii="宋体" w:eastAsia="宋体" w:hAnsi="宋体" w:cs="Times New Roman" w:hint="eastAsia"/>
                <w:szCs w:val="21"/>
              </w:rPr>
              <w:t>购时不收取申购费用，而是从本类别基金资产中计提销售服务费的，称为</w:t>
            </w:r>
            <w:r>
              <w:rPr>
                <w:rFonts w:ascii="宋体" w:eastAsia="宋体" w:hAnsi="宋体" w:cs="Times New Roman" w:hint="eastAsia"/>
                <w:szCs w:val="21"/>
              </w:rPr>
              <w:t>C</w:t>
            </w:r>
            <w:r>
              <w:rPr>
                <w:rFonts w:ascii="宋体" w:eastAsia="宋体" w:hAnsi="宋体" w:cs="Times New Roman" w:hint="eastAsia"/>
                <w:szCs w:val="21"/>
              </w:rPr>
              <w:t>类基金份额。</w:t>
            </w:r>
          </w:p>
          <w:p w:rsidR="00973C8A" w:rsidRDefault="00940945">
            <w:pPr>
              <w:ind w:right="26"/>
              <w:rPr>
                <w:rFonts w:ascii="宋体" w:eastAsia="宋体" w:hAnsi="宋体" w:cs="Times New Roman"/>
                <w:bCs/>
                <w:szCs w:val="21"/>
              </w:rPr>
            </w:pPr>
            <w:r>
              <w:rPr>
                <w:rFonts w:ascii="宋体" w:eastAsia="宋体" w:hAnsi="宋体" w:cs="Times New Roman" w:hint="eastAsia"/>
                <w:szCs w:val="21"/>
              </w:rPr>
              <w:t>本基金</w:t>
            </w:r>
            <w:r>
              <w:rPr>
                <w:rFonts w:ascii="宋体" w:eastAsia="宋体" w:hAnsi="宋体" w:cs="Times New Roman" w:hint="eastAsia"/>
                <w:szCs w:val="21"/>
              </w:rPr>
              <w:t>A</w:t>
            </w:r>
            <w:r>
              <w:rPr>
                <w:rFonts w:ascii="宋体" w:eastAsia="宋体" w:hAnsi="宋体" w:cs="Times New Roman" w:hint="eastAsia"/>
                <w:szCs w:val="21"/>
              </w:rPr>
              <w:t>类</w:t>
            </w:r>
            <w:r>
              <w:rPr>
                <w:rFonts w:ascii="宋体" w:eastAsia="宋体" w:hAnsi="宋体" w:cs="Times New Roman" w:hint="eastAsia"/>
                <w:b/>
                <w:bCs/>
                <w:szCs w:val="21"/>
                <w:u w:val="single"/>
              </w:rPr>
              <w:t>、</w:t>
            </w:r>
            <w:r>
              <w:rPr>
                <w:rFonts w:ascii="宋体" w:eastAsia="宋体" w:hAnsi="宋体" w:cs="Times New Roman" w:hint="eastAsia"/>
                <w:b/>
                <w:bCs/>
                <w:strike/>
                <w:szCs w:val="21"/>
              </w:rPr>
              <w:t>和</w:t>
            </w:r>
            <w:r>
              <w:rPr>
                <w:rFonts w:ascii="宋体" w:eastAsia="宋体" w:hAnsi="宋体" w:cs="Times New Roman" w:hint="eastAsia"/>
                <w:szCs w:val="21"/>
              </w:rPr>
              <w:t>C</w:t>
            </w:r>
            <w:r>
              <w:rPr>
                <w:rFonts w:ascii="宋体" w:eastAsia="宋体" w:hAnsi="宋体" w:cs="Times New Roman" w:hint="eastAsia"/>
                <w:szCs w:val="21"/>
              </w:rPr>
              <w:t>类</w:t>
            </w:r>
            <w:r>
              <w:rPr>
                <w:rFonts w:ascii="宋体" w:eastAsia="宋体" w:hAnsi="宋体" w:cs="Times New Roman" w:hint="eastAsia"/>
                <w:b/>
                <w:bCs/>
                <w:szCs w:val="21"/>
                <w:u w:val="single"/>
              </w:rPr>
              <w:t>和</w:t>
            </w:r>
            <w:r>
              <w:rPr>
                <w:rFonts w:ascii="宋体" w:eastAsia="宋体" w:hAnsi="宋体" w:cs="Times New Roman" w:hint="eastAsia"/>
                <w:b/>
                <w:bCs/>
                <w:szCs w:val="21"/>
                <w:u w:val="single"/>
              </w:rPr>
              <w:t>D</w:t>
            </w:r>
            <w:r>
              <w:rPr>
                <w:rFonts w:ascii="宋体" w:eastAsia="宋体" w:hAnsi="宋体" w:cs="Times New Roman" w:hint="eastAsia"/>
                <w:b/>
                <w:bCs/>
                <w:szCs w:val="21"/>
                <w:u w:val="single"/>
              </w:rPr>
              <w:t>类</w:t>
            </w:r>
            <w:r>
              <w:rPr>
                <w:rFonts w:ascii="宋体" w:eastAsia="宋体" w:hAnsi="宋体" w:cs="Times New Roman" w:hint="eastAsia"/>
                <w:szCs w:val="21"/>
              </w:rPr>
              <w:t>基金份额分别设置代码。由于基金费用的不同，本基金</w:t>
            </w:r>
            <w:r>
              <w:rPr>
                <w:rFonts w:ascii="宋体" w:eastAsia="宋体" w:hAnsi="宋体" w:cs="Times New Roman" w:hint="eastAsia"/>
                <w:szCs w:val="21"/>
              </w:rPr>
              <w:t>A</w:t>
            </w:r>
            <w:r>
              <w:rPr>
                <w:rFonts w:ascii="宋体" w:eastAsia="宋体" w:hAnsi="宋体" w:cs="Times New Roman" w:hint="eastAsia"/>
                <w:szCs w:val="21"/>
              </w:rPr>
              <w:t>类</w:t>
            </w:r>
            <w:r>
              <w:rPr>
                <w:rFonts w:ascii="宋体" w:eastAsia="宋体" w:hAnsi="宋体" w:cs="Times New Roman" w:hint="eastAsia"/>
                <w:b/>
                <w:bCs/>
                <w:szCs w:val="21"/>
                <w:u w:val="single"/>
              </w:rPr>
              <w:t>、</w:t>
            </w:r>
            <w:r>
              <w:rPr>
                <w:rFonts w:ascii="宋体" w:eastAsia="宋体" w:hAnsi="宋体" w:cs="Times New Roman" w:hint="eastAsia"/>
                <w:b/>
                <w:bCs/>
                <w:strike/>
                <w:szCs w:val="21"/>
              </w:rPr>
              <w:t>和</w:t>
            </w:r>
            <w:r>
              <w:rPr>
                <w:rFonts w:ascii="宋体" w:eastAsia="宋体" w:hAnsi="宋体" w:cs="Times New Roman" w:hint="eastAsia"/>
                <w:szCs w:val="21"/>
              </w:rPr>
              <w:t>C</w:t>
            </w:r>
            <w:r>
              <w:rPr>
                <w:rFonts w:ascii="宋体" w:eastAsia="宋体" w:hAnsi="宋体" w:cs="Times New Roman" w:hint="eastAsia"/>
                <w:szCs w:val="21"/>
              </w:rPr>
              <w:t>类</w:t>
            </w:r>
            <w:r>
              <w:rPr>
                <w:rFonts w:ascii="宋体" w:eastAsia="宋体" w:hAnsi="宋体" w:cs="Times New Roman" w:hint="eastAsia"/>
                <w:b/>
                <w:bCs/>
                <w:szCs w:val="21"/>
                <w:u w:val="single"/>
              </w:rPr>
              <w:t>和</w:t>
            </w:r>
            <w:r>
              <w:rPr>
                <w:rFonts w:ascii="宋体" w:eastAsia="宋体" w:hAnsi="宋体" w:cs="Times New Roman" w:hint="eastAsia"/>
                <w:b/>
                <w:bCs/>
                <w:szCs w:val="21"/>
                <w:u w:val="single"/>
              </w:rPr>
              <w:t>D</w:t>
            </w:r>
            <w:r>
              <w:rPr>
                <w:rFonts w:ascii="宋体" w:eastAsia="宋体" w:hAnsi="宋体" w:cs="Times New Roman" w:hint="eastAsia"/>
                <w:b/>
                <w:bCs/>
                <w:szCs w:val="21"/>
                <w:u w:val="single"/>
              </w:rPr>
              <w:t>类</w:t>
            </w:r>
            <w:r>
              <w:rPr>
                <w:rFonts w:ascii="宋体" w:eastAsia="宋体" w:hAnsi="宋体" w:cs="Times New Roman" w:hint="eastAsia"/>
                <w:szCs w:val="21"/>
              </w:rPr>
              <w:t>基金份额将分别计算基金份额净值，计算公式为：计算日某类基金份额净值＝计算日该类基金份额的基金资产净值</w:t>
            </w:r>
            <w:r>
              <w:rPr>
                <w:rFonts w:ascii="宋体" w:eastAsia="宋体" w:hAnsi="宋体" w:cs="Times New Roman" w:hint="eastAsia"/>
                <w:szCs w:val="21"/>
              </w:rPr>
              <w:t>/</w:t>
            </w:r>
            <w:r>
              <w:rPr>
                <w:rFonts w:ascii="宋体" w:eastAsia="宋体" w:hAnsi="宋体" w:cs="Times New Roman" w:hint="eastAsia"/>
                <w:szCs w:val="21"/>
              </w:rPr>
              <w:t>计算日该类别基金份额总数。</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rPr>
            </w:pPr>
            <w:r>
              <w:rPr>
                <w:rFonts w:ascii="宋体" w:eastAsia="宋体" w:hAnsi="宋体" w:cs="Times New Roman" w:hint="eastAsia"/>
                <w:b/>
                <w:szCs w:val="21"/>
              </w:rPr>
              <w:t>第六部分</w:t>
            </w:r>
            <w:r>
              <w:rPr>
                <w:rFonts w:ascii="宋体" w:eastAsia="宋体" w:hAnsi="宋体" w:cs="Times New Roman" w:hint="eastAsia"/>
                <w:b/>
                <w:szCs w:val="21"/>
              </w:rPr>
              <w:t xml:space="preserve">  </w:t>
            </w:r>
            <w:r>
              <w:rPr>
                <w:rFonts w:ascii="宋体" w:eastAsia="宋体" w:hAnsi="宋体" w:cs="Times New Roman" w:hint="eastAsia"/>
                <w:b/>
                <w:szCs w:val="21"/>
              </w:rPr>
              <w:t>基金份额的申购与赎回</w:t>
            </w: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ind w:right="26"/>
              <w:rPr>
                <w:rFonts w:ascii="宋体" w:eastAsia="宋体" w:hAnsi="宋体" w:cs="Times New Roman"/>
                <w:szCs w:val="21"/>
              </w:rPr>
            </w:pPr>
            <w:r>
              <w:rPr>
                <w:rFonts w:ascii="宋体" w:eastAsia="宋体" w:hAnsi="宋体" w:cs="Times New Roman" w:hint="eastAsia"/>
                <w:szCs w:val="21"/>
              </w:rPr>
              <w:t>二、申购和赎回的开放日及时间</w:t>
            </w:r>
          </w:p>
          <w:p w:rsidR="00973C8A" w:rsidRDefault="00940945">
            <w:pPr>
              <w:ind w:right="26"/>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、申购、赎回开始日及业务办理时间</w:t>
            </w:r>
          </w:p>
          <w:p w:rsidR="00973C8A" w:rsidRDefault="00940945">
            <w:pPr>
              <w:ind w:right="26"/>
              <w:rPr>
                <w:rFonts w:ascii="宋体" w:eastAsia="宋体" w:hAnsi="宋体" w:cs="Times New Roman"/>
                <w:szCs w:val="21"/>
              </w:rPr>
            </w:pPr>
            <w:r>
              <w:rPr>
                <w:rFonts w:ascii="宋体" w:eastAsia="宋体" w:hAnsi="宋体" w:cs="Times New Roman" w:hint="eastAsia"/>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各类基金份额申购、赎回的价格。</w:t>
            </w:r>
          </w:p>
          <w:p w:rsidR="00973C8A" w:rsidRDefault="00973C8A">
            <w:pPr>
              <w:ind w:right="26"/>
              <w:rPr>
                <w:rFonts w:ascii="宋体" w:eastAsia="宋体" w:hAnsi="宋体" w:cs="Times New Roman"/>
                <w:szCs w:val="21"/>
              </w:rPr>
            </w:pPr>
          </w:p>
          <w:p w:rsidR="00973C8A" w:rsidRDefault="00940945">
            <w:pPr>
              <w:ind w:right="26"/>
              <w:rPr>
                <w:rFonts w:ascii="宋体" w:eastAsia="宋体" w:hAnsi="宋体" w:cs="Times New Roman"/>
                <w:szCs w:val="21"/>
              </w:rPr>
            </w:pPr>
            <w:r>
              <w:rPr>
                <w:rFonts w:ascii="宋体" w:eastAsia="宋体" w:hAnsi="宋体" w:cs="Times New Roman" w:hint="eastAsia"/>
                <w:szCs w:val="21"/>
              </w:rPr>
              <w:t>四、申购与赎回的程序</w:t>
            </w:r>
          </w:p>
          <w:p w:rsidR="00973C8A" w:rsidRDefault="00940945">
            <w:pPr>
              <w:ind w:right="26"/>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、申购和赎回申请的确认</w:t>
            </w:r>
          </w:p>
          <w:p w:rsidR="00973C8A" w:rsidRDefault="00940945">
            <w:pPr>
              <w:ind w:right="26"/>
              <w:rPr>
                <w:rFonts w:ascii="宋体" w:eastAsia="宋体" w:hAnsi="宋体" w:cs="Times New Roman"/>
                <w:szCs w:val="21"/>
              </w:rPr>
            </w:pPr>
            <w:r>
              <w:rPr>
                <w:rFonts w:ascii="宋体" w:eastAsia="宋体" w:hAnsi="宋体" w:cs="Times New Roman" w:hint="eastAsia"/>
                <w:szCs w:val="21"/>
              </w:rPr>
              <w:t>基金管理人应以交易时间结束前受理有效申购和赎回申请的当天作为申购或赎回申请日</w:t>
            </w:r>
            <w:r>
              <w:rPr>
                <w:rFonts w:ascii="宋体" w:eastAsia="宋体" w:hAnsi="宋体" w:cs="Times New Roman" w:hint="eastAsia"/>
                <w:szCs w:val="21"/>
              </w:rPr>
              <w:t>(T</w:t>
            </w:r>
            <w:r>
              <w:rPr>
                <w:rFonts w:ascii="宋体" w:eastAsia="宋体" w:hAnsi="宋体" w:cs="Times New Roman" w:hint="eastAsia"/>
                <w:szCs w:val="21"/>
              </w:rPr>
              <w:t>日</w:t>
            </w:r>
            <w:r>
              <w:rPr>
                <w:rFonts w:ascii="宋体" w:eastAsia="宋体" w:hAnsi="宋体" w:cs="Times New Roman" w:hint="eastAsia"/>
                <w:szCs w:val="21"/>
              </w:rPr>
              <w:t>)</w:t>
            </w:r>
            <w:r>
              <w:rPr>
                <w:rFonts w:ascii="宋体" w:eastAsia="宋体" w:hAnsi="宋体" w:cs="Times New Roman" w:hint="eastAsia"/>
                <w:szCs w:val="21"/>
              </w:rPr>
              <w:t>，在正常情况下，本基金登记机构在</w:t>
            </w:r>
            <w:r>
              <w:rPr>
                <w:rFonts w:ascii="宋体" w:eastAsia="宋体" w:hAnsi="宋体" w:cs="Times New Roman" w:hint="eastAsia"/>
                <w:szCs w:val="21"/>
              </w:rPr>
              <w:t>T+1</w:t>
            </w:r>
            <w:r>
              <w:rPr>
                <w:rFonts w:ascii="宋体" w:eastAsia="宋体" w:hAnsi="宋体" w:cs="Times New Roman" w:hint="eastAsia"/>
                <w:szCs w:val="21"/>
              </w:rPr>
              <w:t>日内对该交易的有效性进行确认。</w:t>
            </w:r>
            <w:r>
              <w:rPr>
                <w:rFonts w:ascii="宋体" w:eastAsia="宋体" w:hAnsi="宋体" w:cs="Times New Roman" w:hint="eastAsia"/>
                <w:szCs w:val="21"/>
              </w:rPr>
              <w:t>T</w:t>
            </w:r>
            <w:r>
              <w:rPr>
                <w:rFonts w:ascii="宋体" w:eastAsia="宋体" w:hAnsi="宋体" w:cs="Times New Roman" w:hint="eastAsia"/>
                <w:szCs w:val="21"/>
              </w:rPr>
              <w:t>日提交的有效申请，投资人可在</w:t>
            </w:r>
            <w:r>
              <w:rPr>
                <w:rFonts w:ascii="宋体" w:eastAsia="宋体" w:hAnsi="宋体" w:cs="Times New Roman" w:hint="eastAsia"/>
                <w:szCs w:val="21"/>
              </w:rPr>
              <w:t>T+2</w:t>
            </w:r>
            <w:r>
              <w:rPr>
                <w:rFonts w:ascii="宋体" w:eastAsia="宋体" w:hAnsi="宋体" w:cs="Times New Roman" w:hint="eastAsia"/>
                <w:szCs w:val="21"/>
              </w:rPr>
              <w:t>日后</w:t>
            </w:r>
            <w:r>
              <w:rPr>
                <w:rFonts w:ascii="宋体" w:eastAsia="宋体" w:hAnsi="宋体" w:cs="Times New Roman" w:hint="eastAsia"/>
                <w:szCs w:val="21"/>
              </w:rPr>
              <w:t>(</w:t>
            </w:r>
            <w:r>
              <w:rPr>
                <w:rFonts w:ascii="宋体" w:eastAsia="宋体" w:hAnsi="宋体" w:cs="Times New Roman" w:hint="eastAsia"/>
                <w:szCs w:val="21"/>
              </w:rPr>
              <w:t>包括该日</w:t>
            </w:r>
            <w:r>
              <w:rPr>
                <w:rFonts w:ascii="宋体" w:eastAsia="宋体" w:hAnsi="宋体" w:cs="Times New Roman" w:hint="eastAsia"/>
                <w:szCs w:val="21"/>
              </w:rPr>
              <w:t>)</w:t>
            </w:r>
            <w:r>
              <w:rPr>
                <w:rFonts w:ascii="宋体" w:eastAsia="宋体" w:hAnsi="宋体" w:cs="Times New Roman" w:hint="eastAsia"/>
                <w:szCs w:val="21"/>
              </w:rPr>
              <w:t>到销售网点柜台或以销售机构</w:t>
            </w:r>
            <w:r>
              <w:rPr>
                <w:rFonts w:ascii="宋体" w:eastAsia="宋体" w:hAnsi="宋体" w:cs="Times New Roman" w:hint="eastAsia"/>
                <w:szCs w:val="21"/>
              </w:rPr>
              <w:t>规定的其他方式查询申请的确认情况。若申购不成功，则申购款项退还给投资人。</w:t>
            </w:r>
          </w:p>
          <w:p w:rsidR="00973C8A" w:rsidRDefault="00973C8A">
            <w:pPr>
              <w:ind w:right="26"/>
              <w:rPr>
                <w:rFonts w:ascii="宋体" w:eastAsia="宋体" w:hAnsi="宋体" w:cs="Times New Roman"/>
                <w:szCs w:val="21"/>
              </w:rPr>
            </w:pPr>
          </w:p>
          <w:p w:rsidR="00973C8A" w:rsidRDefault="00940945">
            <w:pPr>
              <w:ind w:right="26"/>
              <w:rPr>
                <w:rFonts w:ascii="宋体" w:eastAsia="宋体" w:hAnsi="宋体" w:cs="Times New Roman"/>
                <w:szCs w:val="21"/>
              </w:rPr>
            </w:pPr>
            <w:r>
              <w:rPr>
                <w:rFonts w:ascii="宋体" w:eastAsia="宋体" w:hAnsi="宋体" w:cs="Times New Roman" w:hint="eastAsia"/>
                <w:szCs w:val="21"/>
              </w:rPr>
              <w:t>六、申购和赎回的价格、费用及其用途</w:t>
            </w:r>
          </w:p>
          <w:p w:rsidR="00973C8A" w:rsidRDefault="00940945">
            <w:pPr>
              <w:ind w:right="26"/>
              <w:rPr>
                <w:rFonts w:ascii="宋体" w:eastAsia="宋体" w:hAnsi="宋体" w:cs="Times New Roman"/>
                <w:bCs/>
                <w:szCs w:val="21"/>
              </w:rPr>
            </w:pPr>
            <w:r>
              <w:rPr>
                <w:rFonts w:ascii="宋体" w:eastAsia="宋体" w:hAnsi="宋体" w:cs="Times New Roman" w:hint="eastAsia"/>
                <w:bCs/>
                <w:szCs w:val="21"/>
              </w:rPr>
              <w:t>1</w:t>
            </w:r>
            <w:r>
              <w:rPr>
                <w:rFonts w:ascii="宋体" w:eastAsia="宋体" w:hAnsi="宋体" w:cs="Times New Roman" w:hint="eastAsia"/>
                <w:bCs/>
                <w:szCs w:val="21"/>
              </w:rPr>
              <w:t>、本基金</w:t>
            </w:r>
            <w:r>
              <w:rPr>
                <w:rFonts w:ascii="宋体" w:eastAsia="宋体" w:hAnsi="宋体" w:cs="Times New Roman" w:hint="eastAsia"/>
                <w:bCs/>
                <w:szCs w:val="21"/>
              </w:rPr>
              <w:t>A</w:t>
            </w:r>
            <w:r>
              <w:rPr>
                <w:rFonts w:ascii="宋体" w:eastAsia="宋体" w:hAnsi="宋体" w:cs="Times New Roman" w:hint="eastAsia"/>
                <w:bCs/>
                <w:szCs w:val="21"/>
              </w:rPr>
              <w:t>类基金份额</w:t>
            </w:r>
            <w:r>
              <w:rPr>
                <w:rFonts w:ascii="宋体" w:eastAsia="宋体" w:hAnsi="宋体" w:cs="Times New Roman" w:hint="eastAsia"/>
                <w:bCs/>
                <w:szCs w:val="21"/>
              </w:rPr>
              <w:t>和</w:t>
            </w:r>
            <w:r>
              <w:rPr>
                <w:rFonts w:ascii="宋体" w:eastAsia="宋体" w:hAnsi="宋体" w:cs="Times New Roman" w:hint="eastAsia"/>
                <w:bCs/>
                <w:szCs w:val="21"/>
              </w:rPr>
              <w:t>C</w:t>
            </w:r>
            <w:r>
              <w:rPr>
                <w:rFonts w:ascii="宋体" w:eastAsia="宋体" w:hAnsi="宋体" w:cs="Times New Roman" w:hint="eastAsia"/>
                <w:bCs/>
                <w:szCs w:val="21"/>
              </w:rPr>
              <w:t>类基金份额将分别计算基金份额净值。本基金各类基金份额净值的计算，均保留到小数点后</w:t>
            </w:r>
            <w:r>
              <w:rPr>
                <w:rFonts w:ascii="宋体" w:eastAsia="宋体" w:hAnsi="宋体" w:cs="Times New Roman" w:hint="eastAsia"/>
                <w:bCs/>
                <w:szCs w:val="21"/>
              </w:rPr>
              <w:t>4</w:t>
            </w:r>
            <w:r>
              <w:rPr>
                <w:rFonts w:ascii="宋体" w:eastAsia="宋体" w:hAnsi="宋体" w:cs="Times New Roman" w:hint="eastAsia"/>
                <w:bCs/>
                <w:szCs w:val="21"/>
              </w:rPr>
              <w:t>位，小数点后第</w:t>
            </w:r>
            <w:r>
              <w:rPr>
                <w:rFonts w:ascii="宋体" w:eastAsia="宋体" w:hAnsi="宋体" w:cs="Times New Roman" w:hint="eastAsia"/>
                <w:bCs/>
                <w:szCs w:val="21"/>
              </w:rPr>
              <w:t>5</w:t>
            </w:r>
            <w:r>
              <w:rPr>
                <w:rFonts w:ascii="宋体" w:eastAsia="宋体" w:hAnsi="宋体" w:cs="Times New Roman" w:hint="eastAsia"/>
                <w:bCs/>
                <w:szCs w:val="21"/>
              </w:rPr>
              <w:t>位四舍五入，由此产生的收益或损失由基金财产承担。</w:t>
            </w:r>
            <w:r>
              <w:rPr>
                <w:rFonts w:ascii="宋体" w:eastAsia="宋体" w:hAnsi="宋体" w:cs="Times New Roman" w:hint="eastAsia"/>
                <w:bCs/>
                <w:szCs w:val="21"/>
              </w:rPr>
              <w:t>T</w:t>
            </w:r>
            <w:r>
              <w:rPr>
                <w:rFonts w:ascii="宋体" w:eastAsia="宋体" w:hAnsi="宋体" w:cs="Times New Roman" w:hint="eastAsia"/>
                <w:bCs/>
                <w:szCs w:val="21"/>
              </w:rPr>
              <w:t>日的各类基金份额净值在当天收市后计算，并在</w:t>
            </w:r>
            <w:r>
              <w:rPr>
                <w:rFonts w:ascii="宋体" w:eastAsia="宋体" w:hAnsi="宋体" w:cs="Times New Roman" w:hint="eastAsia"/>
                <w:bCs/>
                <w:szCs w:val="21"/>
              </w:rPr>
              <w:t>T+1</w:t>
            </w:r>
            <w:r>
              <w:rPr>
                <w:rFonts w:ascii="宋体" w:eastAsia="宋体" w:hAnsi="宋体" w:cs="Times New Roman" w:hint="eastAsia"/>
                <w:bCs/>
                <w:szCs w:val="21"/>
              </w:rPr>
              <w:t>日内公告。遇特殊情况，经中国证监会同意，可以适当延迟计算或公告。</w:t>
            </w:r>
          </w:p>
          <w:p w:rsidR="00973C8A" w:rsidRDefault="00940945">
            <w:pPr>
              <w:ind w:right="26"/>
              <w:rPr>
                <w:rFonts w:ascii="宋体" w:eastAsia="宋体" w:hAnsi="宋体" w:cs="Times New Roman"/>
                <w:bCs/>
                <w:szCs w:val="21"/>
              </w:rPr>
            </w:pPr>
            <w:r>
              <w:rPr>
                <w:rFonts w:ascii="宋体" w:eastAsia="宋体" w:hAnsi="宋体" w:cs="Times New Roman" w:hint="eastAsia"/>
                <w:bCs/>
                <w:szCs w:val="21"/>
              </w:rPr>
              <w:t>2</w:t>
            </w:r>
            <w:r>
              <w:rPr>
                <w:rFonts w:ascii="宋体" w:eastAsia="宋体" w:hAnsi="宋体" w:cs="Times New Roman" w:hint="eastAsia"/>
                <w:bCs/>
                <w:szCs w:val="21"/>
              </w:rPr>
              <w:t>、申购份额的计算及余额的处理方式：本基金申购份额的计算详见《招募说明书》。本基金</w:t>
            </w:r>
            <w:r>
              <w:rPr>
                <w:rFonts w:ascii="宋体" w:eastAsia="宋体" w:hAnsi="宋体" w:cs="Times New Roman" w:hint="eastAsia"/>
                <w:bCs/>
                <w:szCs w:val="21"/>
              </w:rPr>
              <w:t>A</w:t>
            </w:r>
            <w:r>
              <w:rPr>
                <w:rFonts w:ascii="宋体" w:eastAsia="宋体" w:hAnsi="宋体" w:cs="Times New Roman" w:hint="eastAsia"/>
                <w:bCs/>
                <w:szCs w:val="21"/>
              </w:rPr>
              <w:t>类基金份额的申购费率由基金管理人决定，并在招募说明书中列示。申购的有效份额为净申购金额除以当日</w:t>
            </w:r>
            <w:r>
              <w:rPr>
                <w:rFonts w:ascii="宋体" w:eastAsia="宋体" w:hAnsi="宋体" w:cs="Times New Roman" w:hint="eastAsia"/>
                <w:bCs/>
                <w:szCs w:val="21"/>
              </w:rPr>
              <w:t>的</w:t>
            </w:r>
            <w:r>
              <w:rPr>
                <w:rFonts w:ascii="宋体" w:eastAsia="宋体" w:hAnsi="宋体" w:cs="Times New Roman" w:hint="eastAsia"/>
                <w:bCs/>
                <w:szCs w:val="21"/>
              </w:rPr>
              <w:t>该类基金份额净值，有效份额单位为份，上述计算结果均按四舍五入方法，保留到小数点后</w:t>
            </w:r>
            <w:r>
              <w:rPr>
                <w:rFonts w:ascii="宋体" w:eastAsia="宋体" w:hAnsi="宋体" w:cs="Times New Roman" w:hint="eastAsia"/>
                <w:bCs/>
                <w:szCs w:val="21"/>
              </w:rPr>
              <w:t>2</w:t>
            </w:r>
            <w:r>
              <w:rPr>
                <w:rFonts w:ascii="宋体" w:eastAsia="宋体" w:hAnsi="宋体" w:cs="Times New Roman" w:hint="eastAsia"/>
                <w:bCs/>
                <w:szCs w:val="21"/>
              </w:rPr>
              <w:t>位，由此产生的收益或损失由基金财产承担。</w:t>
            </w:r>
          </w:p>
          <w:p w:rsidR="00973C8A" w:rsidRDefault="00940945">
            <w:pPr>
              <w:ind w:right="26"/>
              <w:rPr>
                <w:rFonts w:ascii="宋体" w:eastAsia="宋体" w:hAnsi="宋体" w:cs="Times New Roman"/>
                <w:bCs/>
                <w:szCs w:val="21"/>
              </w:rPr>
            </w:pPr>
            <w:r>
              <w:rPr>
                <w:rFonts w:ascii="宋体" w:eastAsia="宋体" w:hAnsi="宋体" w:cs="Times New Roman" w:hint="eastAsia"/>
                <w:bCs/>
                <w:szCs w:val="21"/>
              </w:rPr>
              <w:t>3</w:t>
            </w:r>
            <w:r>
              <w:rPr>
                <w:rFonts w:ascii="宋体" w:eastAsia="宋体" w:hAnsi="宋体" w:cs="Times New Roman" w:hint="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该类基金份额净值并扣除</w:t>
            </w:r>
            <w:r>
              <w:rPr>
                <w:rFonts w:ascii="宋体" w:eastAsia="宋体" w:hAnsi="宋体" w:cs="Times New Roman" w:hint="eastAsia"/>
                <w:bCs/>
                <w:szCs w:val="21"/>
              </w:rPr>
              <w:t>相应的费用，赎回金额单位为元。上述计算结果均按四舍五入方法，保留到小数点后</w:t>
            </w:r>
            <w:r>
              <w:rPr>
                <w:rFonts w:ascii="宋体" w:eastAsia="宋体" w:hAnsi="宋体" w:cs="Times New Roman" w:hint="eastAsia"/>
                <w:bCs/>
                <w:szCs w:val="21"/>
              </w:rPr>
              <w:t>2</w:t>
            </w:r>
            <w:r>
              <w:rPr>
                <w:rFonts w:ascii="宋体" w:eastAsia="宋体" w:hAnsi="宋体" w:cs="Times New Roman" w:hint="eastAsia"/>
                <w:bCs/>
                <w:szCs w:val="21"/>
              </w:rPr>
              <w:t>位，由此产生的收益或损失由基金财产承担。</w:t>
            </w:r>
          </w:p>
          <w:p w:rsidR="00973C8A" w:rsidRDefault="00940945">
            <w:pPr>
              <w:ind w:right="26"/>
              <w:rPr>
                <w:rFonts w:ascii="宋体" w:eastAsia="宋体" w:hAnsi="宋体" w:cs="Times New Roman"/>
                <w:szCs w:val="21"/>
              </w:rPr>
            </w:pPr>
            <w:r>
              <w:rPr>
                <w:rFonts w:ascii="宋体" w:eastAsia="宋体" w:hAnsi="宋体" w:cs="Times New Roman" w:hint="eastAsia"/>
                <w:bCs/>
                <w:szCs w:val="21"/>
              </w:rPr>
              <w:t>4</w:t>
            </w:r>
            <w:r>
              <w:rPr>
                <w:rFonts w:ascii="宋体" w:eastAsia="宋体" w:hAnsi="宋体" w:cs="Times New Roman" w:hint="eastAsia"/>
                <w:bCs/>
                <w:szCs w:val="21"/>
              </w:rPr>
              <w:t>、本基金</w:t>
            </w:r>
            <w:r>
              <w:rPr>
                <w:rFonts w:ascii="宋体" w:eastAsia="宋体" w:hAnsi="宋体" w:cs="Times New Roman" w:hint="eastAsia"/>
                <w:bCs/>
                <w:szCs w:val="21"/>
              </w:rPr>
              <w:t>A</w:t>
            </w:r>
            <w:r>
              <w:rPr>
                <w:rFonts w:ascii="宋体" w:eastAsia="宋体" w:hAnsi="宋体" w:cs="Times New Roman" w:hint="eastAsia"/>
                <w:bCs/>
                <w:szCs w:val="21"/>
              </w:rPr>
              <w:t>类基金份额的申购费用由申购</w:t>
            </w:r>
            <w:r>
              <w:rPr>
                <w:rFonts w:ascii="宋体" w:eastAsia="宋体" w:hAnsi="宋体" w:cs="Times New Roman" w:hint="eastAsia"/>
                <w:bCs/>
                <w:szCs w:val="21"/>
              </w:rPr>
              <w:t>A</w:t>
            </w:r>
            <w:r>
              <w:rPr>
                <w:rFonts w:ascii="宋体" w:eastAsia="宋体" w:hAnsi="宋体" w:cs="Times New Roman" w:hint="eastAsia"/>
                <w:bCs/>
                <w:szCs w:val="21"/>
              </w:rPr>
              <w:t>类基金份额的投资人承担，不列入基金财产。</w:t>
            </w:r>
            <w:r>
              <w:rPr>
                <w:rFonts w:ascii="宋体" w:eastAsia="宋体" w:hAnsi="宋体" w:cs="Times New Roman" w:hint="eastAsia"/>
                <w:bCs/>
                <w:szCs w:val="21"/>
              </w:rPr>
              <w:t>C</w:t>
            </w:r>
            <w:r>
              <w:rPr>
                <w:rFonts w:ascii="宋体" w:eastAsia="宋体" w:hAnsi="宋体" w:cs="Times New Roman" w:hint="eastAsia"/>
                <w:bCs/>
                <w:szCs w:val="21"/>
              </w:rPr>
              <w:t>类基金份额不收取申购费用。</w:t>
            </w:r>
          </w:p>
          <w:p w:rsidR="00973C8A" w:rsidRDefault="00973C8A">
            <w:pPr>
              <w:ind w:right="26"/>
              <w:rPr>
                <w:rFonts w:ascii="宋体" w:eastAsia="宋体" w:hAnsi="宋体" w:cs="Times New Roman"/>
                <w:szCs w:val="21"/>
              </w:rPr>
            </w:pP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ind w:right="26"/>
              <w:rPr>
                <w:rFonts w:ascii="宋体" w:eastAsia="宋体" w:hAnsi="宋体" w:cs="Times New Roman"/>
                <w:szCs w:val="21"/>
              </w:rPr>
            </w:pPr>
            <w:r>
              <w:rPr>
                <w:rFonts w:ascii="宋体" w:eastAsia="宋体" w:hAnsi="宋体" w:cs="Times New Roman" w:hint="eastAsia"/>
                <w:szCs w:val="21"/>
              </w:rPr>
              <w:t>二、申购和赎回的开放日及时间</w:t>
            </w:r>
          </w:p>
          <w:p w:rsidR="00973C8A" w:rsidRDefault="00940945">
            <w:pPr>
              <w:ind w:right="26"/>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、申购、赎回开始日及业务办理时间</w:t>
            </w:r>
          </w:p>
          <w:p w:rsidR="00973C8A" w:rsidRDefault="00940945">
            <w:pPr>
              <w:ind w:right="26"/>
              <w:rPr>
                <w:rFonts w:ascii="宋体" w:eastAsia="宋体" w:hAnsi="宋体" w:cs="Times New Roman"/>
                <w:szCs w:val="21"/>
              </w:rPr>
            </w:pPr>
            <w:r>
              <w:rPr>
                <w:rFonts w:ascii="宋体" w:eastAsia="宋体" w:hAnsi="宋体" w:cs="Times New Roman" w:hint="eastAsia"/>
                <w:szCs w:val="21"/>
              </w:rPr>
              <w:t>基金管理人不得在基金合同约定之外的日期或者时间办理基金份额的申购或者赎回或者转换。投资人在基金合同约定之外的日期和时间提出申购、赎回或转换申请且登记机构确认接受的，其基金份额申购、赎回</w:t>
            </w:r>
            <w:r>
              <w:rPr>
                <w:rFonts w:ascii="宋体" w:eastAsia="宋体" w:hAnsi="宋体" w:cs="Times New Roman" w:hint="eastAsia"/>
                <w:b/>
                <w:bCs/>
                <w:szCs w:val="21"/>
                <w:u w:val="single"/>
              </w:rPr>
              <w:t>或转换</w:t>
            </w:r>
            <w:r>
              <w:rPr>
                <w:rFonts w:ascii="宋体" w:eastAsia="宋体" w:hAnsi="宋体" w:cs="Times New Roman" w:hint="eastAsia"/>
                <w:szCs w:val="21"/>
              </w:rPr>
              <w:t>价格为下一开放日各类基金份额申购、赎回</w:t>
            </w:r>
            <w:r>
              <w:rPr>
                <w:rFonts w:ascii="宋体" w:eastAsia="宋体" w:hAnsi="宋体" w:cs="Times New Roman" w:hint="eastAsia"/>
                <w:b/>
                <w:bCs/>
                <w:szCs w:val="21"/>
                <w:u w:val="single"/>
              </w:rPr>
              <w:t>或转换</w:t>
            </w:r>
            <w:r>
              <w:rPr>
                <w:rFonts w:ascii="宋体" w:eastAsia="宋体" w:hAnsi="宋体" w:cs="Times New Roman" w:hint="eastAsia"/>
                <w:szCs w:val="21"/>
              </w:rPr>
              <w:t>的价格。</w:t>
            </w:r>
          </w:p>
          <w:p w:rsidR="00973C8A" w:rsidRDefault="00940945">
            <w:pPr>
              <w:ind w:right="26"/>
              <w:rPr>
                <w:rFonts w:ascii="宋体" w:eastAsia="宋体" w:hAnsi="宋体" w:cs="Times New Roman"/>
                <w:szCs w:val="21"/>
              </w:rPr>
            </w:pPr>
            <w:r>
              <w:rPr>
                <w:rFonts w:ascii="宋体" w:eastAsia="宋体" w:hAnsi="宋体" w:cs="Times New Roman" w:hint="eastAsia"/>
                <w:szCs w:val="21"/>
              </w:rPr>
              <w:t>四、申购与赎回的程序</w:t>
            </w:r>
          </w:p>
          <w:p w:rsidR="00973C8A" w:rsidRDefault="00940945">
            <w:pPr>
              <w:ind w:right="26"/>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、申购和赎回申请的确认</w:t>
            </w:r>
          </w:p>
          <w:p w:rsidR="00973C8A" w:rsidRDefault="00940945">
            <w:pPr>
              <w:ind w:right="26"/>
              <w:rPr>
                <w:rFonts w:ascii="宋体" w:eastAsia="宋体" w:hAnsi="宋体" w:cs="Times New Roman"/>
                <w:szCs w:val="21"/>
              </w:rPr>
            </w:pPr>
            <w:r>
              <w:rPr>
                <w:rFonts w:ascii="宋体" w:eastAsia="宋体" w:hAnsi="宋体" w:cs="Times New Roman" w:hint="eastAsia"/>
                <w:szCs w:val="21"/>
              </w:rPr>
              <w:t>基金管理人应以交易时间结束前受理有效申购和赎回申请的当天作为申购或赎回申请日</w:t>
            </w:r>
            <w:r>
              <w:rPr>
                <w:rFonts w:ascii="宋体" w:eastAsia="宋体" w:hAnsi="宋体" w:cs="Times New Roman" w:hint="eastAsia"/>
                <w:szCs w:val="21"/>
              </w:rPr>
              <w:t>(T</w:t>
            </w:r>
            <w:r>
              <w:rPr>
                <w:rFonts w:ascii="宋体" w:eastAsia="宋体" w:hAnsi="宋体" w:cs="Times New Roman" w:hint="eastAsia"/>
                <w:szCs w:val="21"/>
              </w:rPr>
              <w:t>日</w:t>
            </w:r>
            <w:r>
              <w:rPr>
                <w:rFonts w:ascii="宋体" w:eastAsia="宋体" w:hAnsi="宋体" w:cs="Times New Roman" w:hint="eastAsia"/>
                <w:szCs w:val="21"/>
              </w:rPr>
              <w:t>)</w:t>
            </w:r>
            <w:r>
              <w:rPr>
                <w:rFonts w:ascii="宋体" w:eastAsia="宋体" w:hAnsi="宋体" w:cs="Times New Roman" w:hint="eastAsia"/>
                <w:szCs w:val="21"/>
              </w:rPr>
              <w:t>，在正常情况下，本基金登记机构在</w:t>
            </w:r>
            <w:r>
              <w:rPr>
                <w:rFonts w:ascii="宋体" w:eastAsia="宋体" w:hAnsi="宋体" w:cs="Times New Roman" w:hint="eastAsia"/>
                <w:szCs w:val="21"/>
              </w:rPr>
              <w:t>T+1</w:t>
            </w:r>
            <w:r>
              <w:rPr>
                <w:rFonts w:ascii="宋体" w:eastAsia="宋体" w:hAnsi="宋体" w:cs="Times New Roman" w:hint="eastAsia"/>
                <w:szCs w:val="21"/>
              </w:rPr>
              <w:t>日内</w:t>
            </w:r>
            <w:r>
              <w:rPr>
                <w:rFonts w:ascii="宋体" w:eastAsia="宋体" w:hAnsi="宋体" w:cs="Times New Roman" w:hint="eastAsia"/>
                <w:b/>
                <w:bCs/>
                <w:szCs w:val="21"/>
                <w:u w:val="single"/>
              </w:rPr>
              <w:t>(</w:t>
            </w:r>
            <w:r>
              <w:rPr>
                <w:rFonts w:ascii="宋体" w:eastAsia="宋体" w:hAnsi="宋体" w:cs="Times New Roman" w:hint="eastAsia"/>
                <w:b/>
                <w:bCs/>
                <w:szCs w:val="21"/>
                <w:u w:val="single"/>
              </w:rPr>
              <w:t>包括该日</w:t>
            </w:r>
            <w:r>
              <w:rPr>
                <w:rFonts w:ascii="宋体" w:eastAsia="宋体" w:hAnsi="宋体" w:cs="Times New Roman" w:hint="eastAsia"/>
                <w:b/>
                <w:bCs/>
                <w:szCs w:val="21"/>
                <w:u w:val="single"/>
              </w:rPr>
              <w:t>)</w:t>
            </w:r>
            <w:r>
              <w:rPr>
                <w:rFonts w:ascii="宋体" w:eastAsia="宋体" w:hAnsi="宋体" w:cs="Times New Roman" w:hint="eastAsia"/>
                <w:szCs w:val="21"/>
              </w:rPr>
              <w:t>对该交易的有效性进行确认。</w:t>
            </w:r>
            <w:r>
              <w:rPr>
                <w:rFonts w:ascii="宋体" w:eastAsia="宋体" w:hAnsi="宋体" w:cs="Times New Roman" w:hint="eastAsia"/>
                <w:szCs w:val="21"/>
              </w:rPr>
              <w:t>T</w:t>
            </w:r>
            <w:r>
              <w:rPr>
                <w:rFonts w:ascii="宋体" w:eastAsia="宋体" w:hAnsi="宋体" w:cs="Times New Roman" w:hint="eastAsia"/>
                <w:szCs w:val="21"/>
              </w:rPr>
              <w:t>日提交的有效申请，投资人可在</w:t>
            </w:r>
            <w:r>
              <w:rPr>
                <w:rFonts w:ascii="宋体" w:eastAsia="宋体" w:hAnsi="宋体" w:cs="Times New Roman" w:hint="eastAsia"/>
                <w:szCs w:val="21"/>
              </w:rPr>
              <w:t>T+2</w:t>
            </w:r>
            <w:r>
              <w:rPr>
                <w:rFonts w:ascii="宋体" w:eastAsia="宋体" w:hAnsi="宋体" w:cs="Times New Roman" w:hint="eastAsia"/>
                <w:szCs w:val="21"/>
              </w:rPr>
              <w:t>日后</w:t>
            </w:r>
            <w:r>
              <w:rPr>
                <w:rFonts w:ascii="宋体" w:eastAsia="宋体" w:hAnsi="宋体" w:cs="Times New Roman" w:hint="eastAsia"/>
                <w:szCs w:val="21"/>
              </w:rPr>
              <w:t>(</w:t>
            </w:r>
            <w:r>
              <w:rPr>
                <w:rFonts w:ascii="宋体" w:eastAsia="宋体" w:hAnsi="宋体" w:cs="Times New Roman" w:hint="eastAsia"/>
                <w:szCs w:val="21"/>
              </w:rPr>
              <w:t>包括该日</w:t>
            </w:r>
            <w:r>
              <w:rPr>
                <w:rFonts w:ascii="宋体" w:eastAsia="宋体" w:hAnsi="宋体" w:cs="Times New Roman" w:hint="eastAsia"/>
                <w:szCs w:val="21"/>
              </w:rPr>
              <w:t>)</w:t>
            </w:r>
            <w:r>
              <w:rPr>
                <w:rFonts w:ascii="宋体" w:eastAsia="宋体" w:hAnsi="宋体" w:cs="Times New Roman" w:hint="eastAsia"/>
                <w:szCs w:val="21"/>
              </w:rPr>
              <w:t>到销售网点柜台或以销售机构规定的其他方式查询申请的确认情况。若申购不成功，则申购款项退还给投资人。</w:t>
            </w:r>
          </w:p>
          <w:p w:rsidR="00973C8A" w:rsidRDefault="00940945">
            <w:pPr>
              <w:ind w:right="26"/>
              <w:rPr>
                <w:rFonts w:ascii="宋体" w:eastAsia="宋体" w:hAnsi="宋体" w:cs="Times New Roman"/>
                <w:bCs/>
                <w:szCs w:val="21"/>
              </w:rPr>
            </w:pPr>
            <w:r>
              <w:rPr>
                <w:rFonts w:ascii="宋体" w:eastAsia="宋体" w:hAnsi="宋体" w:cs="Times New Roman" w:hint="eastAsia"/>
                <w:bCs/>
                <w:szCs w:val="21"/>
              </w:rPr>
              <w:t>六、申购和赎回的价格、费用及其用途</w:t>
            </w:r>
          </w:p>
          <w:p w:rsidR="00973C8A" w:rsidRDefault="00940945">
            <w:pPr>
              <w:ind w:right="26"/>
              <w:rPr>
                <w:rFonts w:ascii="宋体" w:eastAsia="宋体" w:hAnsi="宋体" w:cs="Times New Roman"/>
                <w:bCs/>
                <w:szCs w:val="21"/>
              </w:rPr>
            </w:pPr>
            <w:r>
              <w:rPr>
                <w:rFonts w:ascii="宋体" w:eastAsia="宋体" w:hAnsi="宋体" w:cs="Times New Roman" w:hint="eastAsia"/>
                <w:bCs/>
                <w:szCs w:val="21"/>
              </w:rPr>
              <w:t>1</w:t>
            </w:r>
            <w:r>
              <w:rPr>
                <w:rFonts w:ascii="宋体" w:eastAsia="宋体" w:hAnsi="宋体" w:cs="Times New Roman" w:hint="eastAsia"/>
                <w:bCs/>
                <w:szCs w:val="21"/>
              </w:rPr>
              <w:t>、本基金</w:t>
            </w:r>
            <w:r>
              <w:rPr>
                <w:rFonts w:ascii="宋体" w:eastAsia="宋体" w:hAnsi="宋体" w:cs="Times New Roman" w:hint="eastAsia"/>
                <w:bCs/>
                <w:szCs w:val="21"/>
              </w:rPr>
              <w:t>A</w:t>
            </w:r>
            <w:r>
              <w:rPr>
                <w:rFonts w:ascii="宋体" w:eastAsia="宋体" w:hAnsi="宋体" w:cs="Times New Roman" w:hint="eastAsia"/>
                <w:bCs/>
                <w:szCs w:val="21"/>
              </w:rPr>
              <w:t>类基金份额</w:t>
            </w:r>
            <w:r>
              <w:rPr>
                <w:rFonts w:ascii="宋体" w:eastAsia="宋体" w:hAnsi="宋体" w:cs="Times New Roman" w:hint="eastAsia"/>
                <w:b/>
                <w:szCs w:val="21"/>
                <w:u w:val="single"/>
              </w:rPr>
              <w:t>、</w:t>
            </w:r>
            <w:r>
              <w:rPr>
                <w:rFonts w:ascii="宋体" w:eastAsia="宋体" w:hAnsi="宋体" w:cs="Times New Roman" w:hint="eastAsia"/>
                <w:b/>
                <w:strike/>
                <w:szCs w:val="21"/>
              </w:rPr>
              <w:t>和</w:t>
            </w:r>
            <w:r>
              <w:rPr>
                <w:rFonts w:ascii="宋体" w:eastAsia="宋体" w:hAnsi="宋体" w:cs="Times New Roman" w:hint="eastAsia"/>
                <w:bCs/>
                <w:szCs w:val="21"/>
              </w:rPr>
              <w:t>C</w:t>
            </w:r>
            <w:r>
              <w:rPr>
                <w:rFonts w:ascii="宋体" w:eastAsia="宋体" w:hAnsi="宋体" w:cs="Times New Roman" w:hint="eastAsia"/>
                <w:bCs/>
                <w:szCs w:val="21"/>
              </w:rPr>
              <w:t>类基金份额</w:t>
            </w:r>
            <w:r>
              <w:rPr>
                <w:rFonts w:ascii="宋体" w:eastAsia="宋体" w:hAnsi="宋体" w:cs="Times New Roman" w:hint="eastAsia"/>
                <w:b/>
                <w:szCs w:val="21"/>
                <w:u w:val="single"/>
              </w:rPr>
              <w:t>和</w:t>
            </w:r>
            <w:r>
              <w:rPr>
                <w:rFonts w:ascii="宋体" w:eastAsia="宋体" w:hAnsi="宋体" w:cs="Times New Roman" w:hint="eastAsia"/>
                <w:b/>
                <w:szCs w:val="21"/>
                <w:u w:val="single"/>
              </w:rPr>
              <w:t>D</w:t>
            </w:r>
            <w:r>
              <w:rPr>
                <w:rFonts w:ascii="宋体" w:eastAsia="宋体" w:hAnsi="宋体" w:cs="Times New Roman" w:hint="eastAsia"/>
                <w:b/>
                <w:szCs w:val="21"/>
                <w:u w:val="single"/>
              </w:rPr>
              <w:t>类基金份额</w:t>
            </w:r>
            <w:r>
              <w:rPr>
                <w:rFonts w:ascii="宋体" w:eastAsia="宋体" w:hAnsi="宋体" w:cs="Times New Roman" w:hint="eastAsia"/>
                <w:bCs/>
                <w:szCs w:val="21"/>
              </w:rPr>
              <w:t>将分别计算基金份额净值。本基金各类基金份额净值的计算，均保留到小数点后</w:t>
            </w:r>
            <w:r>
              <w:rPr>
                <w:rFonts w:ascii="宋体" w:eastAsia="宋体" w:hAnsi="宋体" w:cs="Times New Roman" w:hint="eastAsia"/>
                <w:bCs/>
                <w:szCs w:val="21"/>
              </w:rPr>
              <w:t>4</w:t>
            </w:r>
            <w:r>
              <w:rPr>
                <w:rFonts w:ascii="宋体" w:eastAsia="宋体" w:hAnsi="宋体" w:cs="Times New Roman" w:hint="eastAsia"/>
                <w:bCs/>
                <w:szCs w:val="21"/>
              </w:rPr>
              <w:t>位，小数点后第</w:t>
            </w:r>
            <w:r>
              <w:rPr>
                <w:rFonts w:ascii="宋体" w:eastAsia="宋体" w:hAnsi="宋体" w:cs="Times New Roman" w:hint="eastAsia"/>
                <w:bCs/>
                <w:szCs w:val="21"/>
              </w:rPr>
              <w:t>5</w:t>
            </w:r>
            <w:r>
              <w:rPr>
                <w:rFonts w:ascii="宋体" w:eastAsia="宋体" w:hAnsi="宋体" w:cs="Times New Roman" w:hint="eastAsia"/>
                <w:bCs/>
                <w:szCs w:val="21"/>
              </w:rPr>
              <w:t>位四舍五入，由此产生的收益或损失由基金财产承担。</w:t>
            </w:r>
            <w:r>
              <w:rPr>
                <w:rFonts w:ascii="宋体" w:eastAsia="宋体" w:hAnsi="宋体" w:cs="Times New Roman" w:hint="eastAsia"/>
                <w:bCs/>
                <w:szCs w:val="21"/>
              </w:rPr>
              <w:t>T</w:t>
            </w:r>
            <w:r>
              <w:rPr>
                <w:rFonts w:ascii="宋体" w:eastAsia="宋体" w:hAnsi="宋体" w:cs="Times New Roman" w:hint="eastAsia"/>
                <w:bCs/>
                <w:szCs w:val="21"/>
              </w:rPr>
              <w:t>日的各类基金份额净值在当天收市后计算，并在</w:t>
            </w:r>
            <w:r>
              <w:rPr>
                <w:rFonts w:ascii="宋体" w:eastAsia="宋体" w:hAnsi="宋体" w:cs="Times New Roman" w:hint="eastAsia"/>
                <w:bCs/>
                <w:szCs w:val="21"/>
              </w:rPr>
              <w:t>T+1</w:t>
            </w:r>
            <w:r>
              <w:rPr>
                <w:rFonts w:ascii="宋体" w:eastAsia="宋体" w:hAnsi="宋体" w:cs="Times New Roman" w:hint="eastAsia"/>
                <w:bCs/>
                <w:szCs w:val="21"/>
              </w:rPr>
              <w:t>日内公告。遇特殊情况，经中国证监会同意，可以适当延迟计算或公告。</w:t>
            </w:r>
          </w:p>
          <w:p w:rsidR="00973C8A" w:rsidRDefault="00940945">
            <w:pPr>
              <w:ind w:right="26"/>
              <w:rPr>
                <w:rFonts w:ascii="宋体" w:eastAsia="宋体" w:hAnsi="宋体" w:cs="Times New Roman"/>
                <w:bCs/>
                <w:szCs w:val="21"/>
              </w:rPr>
            </w:pPr>
            <w:r>
              <w:rPr>
                <w:rFonts w:ascii="宋体" w:eastAsia="宋体" w:hAnsi="宋体" w:cs="Times New Roman" w:hint="eastAsia"/>
                <w:bCs/>
                <w:szCs w:val="21"/>
              </w:rPr>
              <w:t>2</w:t>
            </w:r>
            <w:r>
              <w:rPr>
                <w:rFonts w:ascii="宋体" w:eastAsia="宋体" w:hAnsi="宋体" w:cs="Times New Roman" w:hint="eastAsia"/>
                <w:bCs/>
                <w:szCs w:val="21"/>
              </w:rPr>
              <w:t>、申购份额的计算及余额的处理方式：本基金申购份额的计算详见《招募说明书》。本基金</w:t>
            </w:r>
            <w:r>
              <w:rPr>
                <w:rFonts w:ascii="宋体" w:eastAsia="宋体" w:hAnsi="宋体" w:cs="Times New Roman" w:hint="eastAsia"/>
                <w:bCs/>
                <w:szCs w:val="21"/>
              </w:rPr>
              <w:t>A</w:t>
            </w:r>
            <w:r>
              <w:rPr>
                <w:rFonts w:ascii="宋体" w:eastAsia="宋体" w:hAnsi="宋体" w:cs="Times New Roman" w:hint="eastAsia"/>
                <w:bCs/>
                <w:szCs w:val="21"/>
              </w:rPr>
              <w:t>类基金份额</w:t>
            </w:r>
            <w:r>
              <w:rPr>
                <w:rFonts w:ascii="宋体" w:eastAsia="宋体" w:hAnsi="宋体" w:cs="Times New Roman" w:hint="eastAsia"/>
                <w:b/>
                <w:szCs w:val="21"/>
                <w:u w:val="single"/>
              </w:rPr>
              <w:t>和</w:t>
            </w:r>
            <w:r>
              <w:rPr>
                <w:rFonts w:ascii="宋体" w:eastAsia="宋体" w:hAnsi="宋体" w:cs="Times New Roman" w:hint="eastAsia"/>
                <w:b/>
                <w:szCs w:val="21"/>
                <w:u w:val="single"/>
              </w:rPr>
              <w:t>D</w:t>
            </w:r>
            <w:r>
              <w:rPr>
                <w:rFonts w:ascii="宋体" w:eastAsia="宋体" w:hAnsi="宋体" w:cs="Times New Roman" w:hint="eastAsia"/>
                <w:b/>
                <w:szCs w:val="21"/>
                <w:u w:val="single"/>
              </w:rPr>
              <w:t>类基金份额</w:t>
            </w:r>
            <w:r>
              <w:rPr>
                <w:rFonts w:ascii="宋体" w:eastAsia="宋体" w:hAnsi="宋体" w:cs="Times New Roman" w:hint="eastAsia"/>
                <w:bCs/>
                <w:szCs w:val="21"/>
              </w:rPr>
              <w:t>的申购费率由基金管理人决定，并在招募说明书中列示。申购的有效份额为净申购金额除以当日</w:t>
            </w:r>
            <w:r>
              <w:rPr>
                <w:rFonts w:ascii="宋体" w:eastAsia="宋体" w:hAnsi="宋体" w:cs="Times New Roman" w:hint="eastAsia"/>
                <w:b/>
                <w:strike/>
                <w:szCs w:val="21"/>
              </w:rPr>
              <w:t>的</w:t>
            </w:r>
            <w:r>
              <w:rPr>
                <w:rFonts w:ascii="宋体" w:eastAsia="宋体" w:hAnsi="宋体" w:cs="Times New Roman" w:hint="eastAsia"/>
                <w:bCs/>
                <w:szCs w:val="21"/>
              </w:rPr>
              <w:t>该类基金份额净值，有效份额单位为份，上述计算结果均按四舍五入方法，</w:t>
            </w:r>
            <w:r>
              <w:rPr>
                <w:rFonts w:ascii="宋体" w:eastAsia="宋体" w:hAnsi="宋体" w:cs="Times New Roman" w:hint="eastAsia"/>
                <w:bCs/>
                <w:szCs w:val="21"/>
              </w:rPr>
              <w:t>保留到小数点后</w:t>
            </w:r>
            <w:r>
              <w:rPr>
                <w:rFonts w:ascii="宋体" w:eastAsia="宋体" w:hAnsi="宋体" w:cs="Times New Roman" w:hint="eastAsia"/>
                <w:bCs/>
                <w:szCs w:val="21"/>
              </w:rPr>
              <w:t>2</w:t>
            </w:r>
            <w:r>
              <w:rPr>
                <w:rFonts w:ascii="宋体" w:eastAsia="宋体" w:hAnsi="宋体" w:cs="Times New Roman" w:hint="eastAsia"/>
                <w:bCs/>
                <w:szCs w:val="21"/>
              </w:rPr>
              <w:t>位，由此产生的收益或损失由基金财产承担。</w:t>
            </w:r>
          </w:p>
          <w:p w:rsidR="00973C8A" w:rsidRDefault="00940945">
            <w:pPr>
              <w:ind w:right="26"/>
              <w:rPr>
                <w:rFonts w:ascii="宋体" w:eastAsia="宋体" w:hAnsi="宋体" w:cs="Times New Roman"/>
                <w:bCs/>
                <w:szCs w:val="21"/>
              </w:rPr>
            </w:pPr>
            <w:r>
              <w:rPr>
                <w:rFonts w:ascii="宋体" w:eastAsia="宋体" w:hAnsi="宋体" w:cs="Times New Roman" w:hint="eastAsia"/>
                <w:bCs/>
                <w:szCs w:val="21"/>
              </w:rPr>
              <w:t>3</w:t>
            </w:r>
            <w:r>
              <w:rPr>
                <w:rFonts w:ascii="宋体" w:eastAsia="宋体" w:hAnsi="宋体" w:cs="Times New Roman" w:hint="eastAsia"/>
                <w:bCs/>
                <w:szCs w:val="21"/>
              </w:rPr>
              <w:t>、赎回金额的计算及处理方式：本基金赎回金额的计算详见《招募说明书》，赎回金额单位为元。本基金的赎回费率由基金管理人决定，并在招募说明书中列示。赎回金额为按实际确认的有效赎回份额乘以当日该类基金份额净值并扣除相应的费用，赎回金额单位为元。上述计算结果均按四舍五入方法，保留到小数点后</w:t>
            </w:r>
            <w:r>
              <w:rPr>
                <w:rFonts w:ascii="宋体" w:eastAsia="宋体" w:hAnsi="宋体" w:cs="Times New Roman" w:hint="eastAsia"/>
                <w:bCs/>
                <w:szCs w:val="21"/>
              </w:rPr>
              <w:t>2</w:t>
            </w:r>
            <w:r>
              <w:rPr>
                <w:rFonts w:ascii="宋体" w:eastAsia="宋体" w:hAnsi="宋体" w:cs="Times New Roman" w:hint="eastAsia"/>
                <w:bCs/>
                <w:szCs w:val="21"/>
              </w:rPr>
              <w:t>位，由此产生的收益或损失由基金财产承担。</w:t>
            </w:r>
          </w:p>
          <w:p w:rsidR="00973C8A" w:rsidRDefault="00940945">
            <w:pPr>
              <w:ind w:right="26"/>
              <w:rPr>
                <w:rFonts w:ascii="宋体" w:eastAsia="宋体" w:hAnsi="宋体" w:cs="Times New Roman"/>
                <w:bCs/>
                <w:szCs w:val="21"/>
              </w:rPr>
            </w:pPr>
            <w:r>
              <w:rPr>
                <w:rFonts w:ascii="宋体" w:eastAsia="宋体" w:hAnsi="宋体" w:cs="Times New Roman" w:hint="eastAsia"/>
                <w:bCs/>
                <w:szCs w:val="21"/>
              </w:rPr>
              <w:t>4</w:t>
            </w:r>
            <w:r>
              <w:rPr>
                <w:rFonts w:ascii="宋体" w:eastAsia="宋体" w:hAnsi="宋体" w:cs="Times New Roman" w:hint="eastAsia"/>
                <w:bCs/>
                <w:szCs w:val="21"/>
              </w:rPr>
              <w:t>、本基金</w:t>
            </w:r>
            <w:r>
              <w:rPr>
                <w:rFonts w:ascii="宋体" w:eastAsia="宋体" w:hAnsi="宋体" w:cs="Times New Roman" w:hint="eastAsia"/>
                <w:bCs/>
                <w:szCs w:val="21"/>
              </w:rPr>
              <w:t>A</w:t>
            </w:r>
            <w:r>
              <w:rPr>
                <w:rFonts w:ascii="宋体" w:eastAsia="宋体" w:hAnsi="宋体" w:cs="Times New Roman" w:hint="eastAsia"/>
                <w:bCs/>
                <w:szCs w:val="21"/>
              </w:rPr>
              <w:t>类基金份额</w:t>
            </w:r>
            <w:r>
              <w:rPr>
                <w:rFonts w:ascii="宋体" w:eastAsia="宋体" w:hAnsi="宋体" w:cs="Times New Roman" w:hint="eastAsia"/>
                <w:b/>
                <w:szCs w:val="21"/>
                <w:u w:val="single"/>
              </w:rPr>
              <w:t>和</w:t>
            </w:r>
            <w:r>
              <w:rPr>
                <w:rFonts w:ascii="宋体" w:eastAsia="宋体" w:hAnsi="宋体" w:cs="Times New Roman" w:hint="eastAsia"/>
                <w:b/>
                <w:szCs w:val="21"/>
                <w:u w:val="single"/>
              </w:rPr>
              <w:t>D</w:t>
            </w:r>
            <w:r>
              <w:rPr>
                <w:rFonts w:ascii="宋体" w:eastAsia="宋体" w:hAnsi="宋体" w:cs="Times New Roman" w:hint="eastAsia"/>
                <w:b/>
                <w:szCs w:val="21"/>
                <w:u w:val="single"/>
              </w:rPr>
              <w:t>类基金份额</w:t>
            </w:r>
            <w:r>
              <w:rPr>
                <w:rFonts w:ascii="宋体" w:eastAsia="宋体" w:hAnsi="宋体" w:cs="Times New Roman" w:hint="eastAsia"/>
                <w:bCs/>
                <w:szCs w:val="21"/>
              </w:rPr>
              <w:t>的申购费用由申购</w:t>
            </w:r>
            <w:r>
              <w:rPr>
                <w:rFonts w:ascii="宋体" w:eastAsia="宋体" w:hAnsi="宋体" w:cs="Times New Roman" w:hint="eastAsia"/>
                <w:b/>
                <w:szCs w:val="21"/>
                <w:u w:val="single"/>
              </w:rPr>
              <w:t>该</w:t>
            </w:r>
            <w:r>
              <w:rPr>
                <w:rFonts w:ascii="宋体" w:eastAsia="宋体" w:hAnsi="宋体" w:cs="Times New Roman" w:hint="eastAsia"/>
                <w:b/>
                <w:strike/>
                <w:szCs w:val="21"/>
              </w:rPr>
              <w:t>A</w:t>
            </w:r>
            <w:r>
              <w:rPr>
                <w:rFonts w:ascii="宋体" w:eastAsia="宋体" w:hAnsi="宋体" w:cs="Times New Roman" w:hint="eastAsia"/>
                <w:bCs/>
                <w:szCs w:val="21"/>
              </w:rPr>
              <w:t>类基金份额的投资人承担，不列入基金财产。</w:t>
            </w:r>
            <w:r>
              <w:rPr>
                <w:rFonts w:ascii="宋体" w:eastAsia="宋体" w:hAnsi="宋体" w:cs="Times New Roman" w:hint="eastAsia"/>
                <w:bCs/>
                <w:szCs w:val="21"/>
              </w:rPr>
              <w:t>C</w:t>
            </w:r>
            <w:r>
              <w:rPr>
                <w:rFonts w:ascii="宋体" w:eastAsia="宋体" w:hAnsi="宋体" w:cs="Times New Roman" w:hint="eastAsia"/>
                <w:bCs/>
                <w:szCs w:val="21"/>
              </w:rPr>
              <w:t>类基金份额不收取申购费用。</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lang w:val="zh-CN"/>
              </w:rPr>
            </w:pPr>
            <w:r>
              <w:rPr>
                <w:rFonts w:ascii="宋体" w:eastAsia="宋体" w:hAnsi="宋体" w:cs="Times New Roman" w:hint="eastAsia"/>
                <w:b/>
                <w:szCs w:val="21"/>
                <w:lang w:val="zh-CN"/>
              </w:rPr>
              <w:t>第七部分</w:t>
            </w:r>
            <w:r>
              <w:rPr>
                <w:rFonts w:ascii="宋体" w:eastAsia="宋体" w:hAnsi="宋体" w:cs="Times New Roman" w:hint="eastAsia"/>
                <w:b/>
                <w:szCs w:val="21"/>
                <w:lang w:val="zh-CN"/>
              </w:rPr>
              <w:t xml:space="preserve">  </w:t>
            </w:r>
            <w:r>
              <w:rPr>
                <w:rFonts w:ascii="宋体" w:eastAsia="宋体" w:hAnsi="宋体" w:cs="Times New Roman" w:hint="eastAsia"/>
                <w:b/>
                <w:szCs w:val="21"/>
                <w:lang w:val="zh-CN"/>
              </w:rPr>
              <w:t>基金合同当事人及权利义务</w:t>
            </w: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二、基金托管人</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（一）</w:t>
            </w:r>
            <w:r>
              <w:rPr>
                <w:rFonts w:ascii="宋体" w:eastAsia="宋体" w:hAnsi="宋体" w:cs="Times New Roman" w:hint="eastAsia"/>
                <w:szCs w:val="21"/>
              </w:rPr>
              <w:tab/>
            </w:r>
            <w:r>
              <w:rPr>
                <w:rFonts w:ascii="宋体" w:eastAsia="宋体" w:hAnsi="宋体" w:cs="Times New Roman" w:hint="eastAsia"/>
                <w:szCs w:val="21"/>
              </w:rPr>
              <w:t>基金托管人简况</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法定代表人：陈四清</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二、基金托管人</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（一）</w:t>
            </w:r>
            <w:r>
              <w:rPr>
                <w:rFonts w:ascii="宋体" w:eastAsia="宋体" w:hAnsi="宋体" w:cs="Times New Roman" w:hint="eastAsia"/>
                <w:szCs w:val="21"/>
              </w:rPr>
              <w:tab/>
            </w:r>
            <w:r>
              <w:rPr>
                <w:rFonts w:ascii="宋体" w:eastAsia="宋体" w:hAnsi="宋体" w:cs="Times New Roman" w:hint="eastAsia"/>
                <w:szCs w:val="21"/>
              </w:rPr>
              <w:t>基金托管人简况</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法定代表人：</w:t>
            </w:r>
            <w:r>
              <w:rPr>
                <w:rFonts w:ascii="宋体" w:eastAsia="宋体" w:hAnsi="宋体" w:cs="Times New Roman" w:hint="eastAsia"/>
                <w:b/>
                <w:szCs w:val="21"/>
                <w:u w:val="single"/>
              </w:rPr>
              <w:t>廖林</w:t>
            </w:r>
            <w:r>
              <w:rPr>
                <w:rFonts w:ascii="宋体" w:eastAsia="宋体" w:hAnsi="宋体" w:cs="Times New Roman" w:hint="eastAsia"/>
                <w:b/>
                <w:strike/>
                <w:szCs w:val="21"/>
              </w:rPr>
              <w:t>陈四清</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lang w:val="zh-CN"/>
              </w:rPr>
            </w:pPr>
            <w:bookmarkStart w:id="1" w:name="_Toc79392583"/>
            <w:bookmarkStart w:id="2" w:name="_Toc123102455"/>
            <w:bookmarkStart w:id="3" w:name="_Toc3771"/>
            <w:bookmarkStart w:id="4" w:name="_Toc7058"/>
            <w:bookmarkStart w:id="5" w:name="_Toc10650"/>
            <w:bookmarkStart w:id="6" w:name="_Toc123051454"/>
            <w:bookmarkStart w:id="7" w:name="_Toc18567"/>
            <w:bookmarkStart w:id="8" w:name="_Toc11030"/>
            <w:bookmarkStart w:id="9" w:name="_Toc3321"/>
            <w:bookmarkStart w:id="10" w:name="_Toc141703888"/>
            <w:bookmarkStart w:id="11" w:name="_Toc6447"/>
            <w:bookmarkStart w:id="12" w:name="_Toc139991738"/>
            <w:bookmarkStart w:id="13" w:name="_Toc25783"/>
            <w:bookmarkStart w:id="14" w:name="_Toc123112236"/>
            <w:bookmarkStart w:id="15" w:name="_Toc9706"/>
            <w:bookmarkStart w:id="16" w:name="_Toc498013598"/>
            <w:bookmarkStart w:id="17" w:name="_Toc98560354"/>
            <w:bookmarkStart w:id="18" w:name="_Toc4559"/>
            <w:r>
              <w:rPr>
                <w:rFonts w:ascii="宋体" w:eastAsia="宋体" w:hAnsi="宋体" w:cs="Times New Roman" w:hint="eastAsia"/>
                <w:b/>
                <w:szCs w:val="21"/>
                <w:lang w:val="zh-CN"/>
              </w:rPr>
              <w:t>第八部分</w:t>
            </w:r>
            <w:r>
              <w:rPr>
                <w:rFonts w:ascii="宋体" w:eastAsia="宋体" w:hAnsi="宋体" w:cs="Times New Roman" w:hint="eastAsia"/>
                <w:b/>
                <w:szCs w:val="21"/>
                <w:lang w:val="zh-CN"/>
              </w:rPr>
              <w:t xml:space="preserve">  </w:t>
            </w:r>
            <w:r>
              <w:rPr>
                <w:rFonts w:ascii="宋体" w:eastAsia="宋体" w:hAnsi="宋体" w:cs="Times New Roman" w:hint="eastAsia"/>
                <w:b/>
                <w:szCs w:val="21"/>
                <w:lang w:val="zh-CN"/>
              </w:rPr>
              <w:t>基金份额持有人大会</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c>
        <w:tc>
          <w:tcPr>
            <w:tcW w:w="3781"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基金份额持有人大会由基金份额持有人组成，基金份额持有人的合法授权代表有权代表基金份额持有人出席会议并表决。基金份额持有人持有的每一基金份额拥有平等的投票权。</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基金份额持有人大会由基金份额持有人组成，基金份额持有人的合法授权代表有权代表基金份额持有人出席会议并表决。基金份额持有人持有的</w:t>
            </w:r>
            <w:bookmarkStart w:id="19" w:name="_Hlk50055842"/>
            <w:r>
              <w:rPr>
                <w:rFonts w:ascii="宋体" w:eastAsia="宋体" w:hAnsi="宋体" w:cs="Times New Roman" w:hint="eastAsia"/>
                <w:b/>
                <w:bCs/>
                <w:szCs w:val="21"/>
                <w:u w:val="single"/>
              </w:rPr>
              <w:t>同一类别</w:t>
            </w:r>
            <w:bookmarkEnd w:id="19"/>
            <w:r>
              <w:rPr>
                <w:rFonts w:ascii="宋体" w:eastAsia="宋体" w:hAnsi="宋体" w:cs="Times New Roman" w:hint="eastAsia"/>
                <w:b/>
                <w:bCs/>
                <w:szCs w:val="21"/>
                <w:u w:val="single"/>
              </w:rPr>
              <w:t>的</w:t>
            </w:r>
            <w:r>
              <w:rPr>
                <w:rFonts w:ascii="宋体" w:eastAsia="宋体" w:hAnsi="宋体" w:cs="Times New Roman" w:hint="eastAsia"/>
                <w:szCs w:val="21"/>
              </w:rPr>
              <w:t>每一基金份额拥有平等的投票权。</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rPr>
            </w:pPr>
            <w:r>
              <w:rPr>
                <w:rFonts w:ascii="宋体" w:eastAsia="宋体" w:hAnsi="宋体" w:cs="Times New Roman" w:hint="eastAsia"/>
                <w:b/>
                <w:szCs w:val="21"/>
                <w:lang w:val="zh-CN"/>
              </w:rPr>
              <w:t>第</w:t>
            </w:r>
            <w:r>
              <w:rPr>
                <w:rFonts w:ascii="宋体" w:eastAsia="宋体" w:hAnsi="宋体" w:cs="Times New Roman" w:hint="eastAsia"/>
                <w:b/>
                <w:szCs w:val="21"/>
              </w:rPr>
              <w:t>十四</w:t>
            </w:r>
            <w:r>
              <w:rPr>
                <w:rFonts w:ascii="宋体" w:eastAsia="宋体" w:hAnsi="宋体" w:cs="Times New Roman" w:hint="eastAsia"/>
                <w:b/>
                <w:szCs w:val="21"/>
                <w:lang w:val="zh-CN"/>
              </w:rPr>
              <w:t>部分</w:t>
            </w:r>
            <w:r>
              <w:rPr>
                <w:rFonts w:ascii="宋体" w:eastAsia="宋体" w:hAnsi="宋体" w:cs="Times New Roman" w:hint="eastAsia"/>
                <w:b/>
                <w:szCs w:val="21"/>
                <w:lang w:val="zh-CN"/>
              </w:rPr>
              <w:t xml:space="preserve">  </w:t>
            </w:r>
            <w:r>
              <w:rPr>
                <w:rFonts w:ascii="宋体" w:eastAsia="宋体" w:hAnsi="宋体" w:cs="Times New Roman" w:hint="eastAsia"/>
                <w:b/>
                <w:szCs w:val="21"/>
                <w:lang w:val="zh-CN"/>
              </w:rPr>
              <w:t>基金</w:t>
            </w:r>
            <w:r>
              <w:rPr>
                <w:rFonts w:ascii="宋体" w:eastAsia="宋体" w:hAnsi="宋体" w:cs="Times New Roman" w:hint="eastAsia"/>
                <w:b/>
                <w:szCs w:val="21"/>
              </w:rPr>
              <w:t>资产估值</w:t>
            </w:r>
          </w:p>
          <w:p w:rsidR="00973C8A" w:rsidRDefault="00973C8A">
            <w:pPr>
              <w:jc w:val="left"/>
              <w:rPr>
                <w:rFonts w:ascii="宋体" w:eastAsia="宋体" w:hAnsi="宋体" w:cs="Times New Roman"/>
                <w:b/>
                <w:szCs w:val="21"/>
                <w:lang w:val="zh-CN"/>
              </w:rPr>
            </w:pP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五、估值程序</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、各类基金份额净值是按照每个工作日闭市后，该类基金资产净值除以当日该类基金份额的余额数量计算，精确到</w:t>
            </w:r>
            <w:r>
              <w:rPr>
                <w:rFonts w:ascii="宋体" w:eastAsia="宋体" w:hAnsi="宋体" w:cs="Times New Roman" w:hint="eastAsia"/>
                <w:szCs w:val="21"/>
              </w:rPr>
              <w:t>0.0001</w:t>
            </w:r>
            <w:r>
              <w:rPr>
                <w:rFonts w:ascii="宋体" w:eastAsia="宋体" w:hAnsi="宋体" w:cs="Times New Roman" w:hint="eastAsia"/>
                <w:szCs w:val="21"/>
              </w:rPr>
              <w:t>元，小数点后第</w:t>
            </w:r>
            <w:r>
              <w:rPr>
                <w:rFonts w:ascii="宋体" w:eastAsia="宋体" w:hAnsi="宋体" w:cs="Times New Roman" w:hint="eastAsia"/>
                <w:szCs w:val="21"/>
              </w:rPr>
              <w:t>5</w:t>
            </w:r>
            <w:r>
              <w:rPr>
                <w:rFonts w:ascii="宋体" w:eastAsia="宋体" w:hAnsi="宋体" w:cs="Times New Roman" w:hint="eastAsia"/>
                <w:szCs w:val="21"/>
              </w:rPr>
              <w:t>位四舍五入。国家另有规定的，从其规定。</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每个工作日计算基金资产净值及各类基金份额净值，并按规定公告。</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六、估值错误的处理</w:t>
            </w:r>
          </w:p>
          <w:p w:rsidR="00973C8A" w:rsidRDefault="00940945">
            <w:pPr>
              <w:adjustRightInd w:val="0"/>
              <w:snapToGrid w:val="0"/>
              <w:rPr>
                <w:rFonts w:ascii="宋体" w:eastAsia="宋体" w:hAnsi="宋体" w:cs="Times New Roman"/>
                <w:b/>
                <w:bCs/>
                <w:szCs w:val="21"/>
              </w:rPr>
            </w:pPr>
            <w:r>
              <w:rPr>
                <w:rFonts w:ascii="宋体" w:eastAsia="宋体" w:hAnsi="宋体" w:cs="Times New Roman" w:hint="eastAsia"/>
                <w:szCs w:val="21"/>
              </w:rPr>
              <w:t>4</w:t>
            </w:r>
            <w:r>
              <w:rPr>
                <w:rFonts w:ascii="宋体" w:eastAsia="宋体" w:hAnsi="宋体" w:cs="Times New Roman" w:hint="eastAsia"/>
                <w:szCs w:val="21"/>
              </w:rPr>
              <w:t>、基金份额净值估值错误处理的方法如下：</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五、估值程序</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1</w:t>
            </w:r>
            <w:r>
              <w:rPr>
                <w:rFonts w:ascii="宋体" w:eastAsia="宋体" w:hAnsi="宋体" w:cs="Times New Roman" w:hint="eastAsia"/>
                <w:szCs w:val="21"/>
              </w:rPr>
              <w:t>、各类基金份额净值是按照每个工作日闭市后，该类基金资产净值除以当日该类基金份额的余额数量计算，精确到</w:t>
            </w:r>
            <w:r>
              <w:rPr>
                <w:rFonts w:ascii="宋体" w:eastAsia="宋体" w:hAnsi="宋体" w:cs="Times New Roman" w:hint="eastAsia"/>
                <w:szCs w:val="21"/>
              </w:rPr>
              <w:t>0.0001</w:t>
            </w:r>
            <w:r>
              <w:rPr>
                <w:rFonts w:ascii="宋体" w:eastAsia="宋体" w:hAnsi="宋体" w:cs="Times New Roman" w:hint="eastAsia"/>
                <w:szCs w:val="21"/>
              </w:rPr>
              <w:t>元，小数点后第</w:t>
            </w:r>
            <w:r>
              <w:rPr>
                <w:rFonts w:ascii="宋体" w:eastAsia="宋体" w:hAnsi="宋体" w:cs="Times New Roman" w:hint="eastAsia"/>
                <w:szCs w:val="21"/>
              </w:rPr>
              <w:t>5</w:t>
            </w:r>
            <w:r>
              <w:rPr>
                <w:rFonts w:ascii="宋体" w:eastAsia="宋体" w:hAnsi="宋体" w:cs="Times New Roman" w:hint="eastAsia"/>
                <w:szCs w:val="21"/>
              </w:rPr>
              <w:t>位四舍五入。国家另有规定的，从其规定。</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每个工作日计算</w:t>
            </w:r>
            <w:r>
              <w:rPr>
                <w:rFonts w:ascii="宋体" w:eastAsia="宋体" w:hAnsi="宋体" w:cs="Times New Roman" w:hint="eastAsia"/>
                <w:b/>
                <w:bCs/>
                <w:szCs w:val="21"/>
                <w:u w:val="single"/>
              </w:rPr>
              <w:t>各类</w:t>
            </w:r>
            <w:r>
              <w:rPr>
                <w:rFonts w:ascii="宋体" w:eastAsia="宋体" w:hAnsi="宋体" w:cs="Times New Roman" w:hint="eastAsia"/>
                <w:szCs w:val="21"/>
              </w:rPr>
              <w:t>基金资产净值及各类基金份额净值，并按规定公告。</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六、估值错误的处理</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hint="eastAsia"/>
                <w:szCs w:val="21"/>
              </w:rPr>
              <w:t>、</w:t>
            </w:r>
            <w:r>
              <w:rPr>
                <w:rFonts w:ascii="宋体" w:eastAsia="宋体" w:hAnsi="宋体" w:cs="Times New Roman" w:hint="eastAsia"/>
                <w:b/>
                <w:bCs/>
                <w:szCs w:val="21"/>
                <w:u w:val="single"/>
              </w:rPr>
              <w:t>各类</w:t>
            </w:r>
            <w:r>
              <w:rPr>
                <w:rFonts w:ascii="宋体" w:eastAsia="宋体" w:hAnsi="宋体" w:cs="Times New Roman" w:hint="eastAsia"/>
                <w:szCs w:val="21"/>
              </w:rPr>
              <w:t>基金份额净值估值错误处理的方法如下：</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lang w:val="zh-CN"/>
              </w:rPr>
            </w:pPr>
            <w:r>
              <w:rPr>
                <w:rFonts w:ascii="宋体" w:eastAsia="宋体" w:hAnsi="宋体" w:cs="Times New Roman" w:hint="eastAsia"/>
                <w:b/>
                <w:szCs w:val="21"/>
                <w:lang w:val="zh-CN"/>
              </w:rPr>
              <w:t>第十五部分</w:t>
            </w:r>
            <w:r>
              <w:rPr>
                <w:rFonts w:ascii="宋体" w:eastAsia="宋体" w:hAnsi="宋体" w:cs="Times New Roman" w:hint="eastAsia"/>
                <w:b/>
                <w:szCs w:val="21"/>
                <w:lang w:val="zh-CN"/>
              </w:rPr>
              <w:t xml:space="preserve">  </w:t>
            </w:r>
            <w:r>
              <w:rPr>
                <w:rFonts w:ascii="宋体" w:eastAsia="宋体" w:hAnsi="宋体" w:cs="Times New Roman" w:hint="eastAsia"/>
                <w:b/>
                <w:szCs w:val="21"/>
                <w:lang w:val="zh-CN"/>
              </w:rPr>
              <w:t>基金费用与税收</w:t>
            </w:r>
          </w:p>
        </w:tc>
        <w:tc>
          <w:tcPr>
            <w:tcW w:w="3781" w:type="dxa"/>
            <w:tcBorders>
              <w:top w:val="single" w:sz="4" w:space="0" w:color="auto"/>
              <w:left w:val="single" w:sz="4" w:space="0" w:color="auto"/>
              <w:bottom w:val="single" w:sz="4" w:space="0" w:color="auto"/>
              <w:right w:val="single" w:sz="4" w:space="0" w:color="auto"/>
            </w:tcBorders>
            <w:vAlign w:val="center"/>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二、基金费用计提方法、计提标准和支付方式</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、销售服务费</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本基金</w:t>
            </w:r>
            <w:r>
              <w:rPr>
                <w:rFonts w:ascii="宋体" w:eastAsia="宋体" w:hAnsi="宋体" w:cs="Times New Roman" w:hint="eastAsia"/>
                <w:szCs w:val="21"/>
              </w:rPr>
              <w:t>A</w:t>
            </w:r>
            <w:r>
              <w:rPr>
                <w:rFonts w:ascii="宋体" w:eastAsia="宋体" w:hAnsi="宋体" w:cs="Times New Roman" w:hint="eastAsia"/>
                <w:szCs w:val="21"/>
              </w:rPr>
              <w:t>类基金份额不收取销售服务费，</w:t>
            </w:r>
            <w:r>
              <w:rPr>
                <w:rFonts w:ascii="宋体" w:eastAsia="宋体" w:hAnsi="宋体" w:cs="Times New Roman" w:hint="eastAsia"/>
                <w:szCs w:val="21"/>
              </w:rPr>
              <w:t>C</w:t>
            </w:r>
            <w:r>
              <w:rPr>
                <w:rFonts w:ascii="宋体" w:eastAsia="宋体" w:hAnsi="宋体" w:cs="Times New Roman" w:hint="eastAsia"/>
                <w:szCs w:val="21"/>
              </w:rPr>
              <w:t>类基金份额的销售服务费年费率为</w:t>
            </w:r>
            <w:r>
              <w:rPr>
                <w:rFonts w:ascii="宋体" w:eastAsia="宋体" w:hAnsi="宋体" w:cs="Times New Roman" w:hint="eastAsia"/>
                <w:szCs w:val="21"/>
              </w:rPr>
              <w:t>0.40%</w:t>
            </w:r>
            <w:r>
              <w:rPr>
                <w:rFonts w:ascii="宋体" w:eastAsia="宋体" w:hAnsi="宋体" w:cs="Times New Roman" w:hint="eastAsia"/>
                <w:szCs w:val="21"/>
              </w:rPr>
              <w:t>，销售服务费按前一日</w:t>
            </w:r>
            <w:r>
              <w:rPr>
                <w:rFonts w:ascii="宋体" w:eastAsia="宋体" w:hAnsi="宋体" w:cs="Times New Roman" w:hint="eastAsia"/>
                <w:szCs w:val="21"/>
              </w:rPr>
              <w:t>C</w:t>
            </w:r>
            <w:r>
              <w:rPr>
                <w:rFonts w:ascii="宋体" w:eastAsia="宋体" w:hAnsi="宋体" w:cs="Times New Roman" w:hint="eastAsia"/>
                <w:szCs w:val="21"/>
              </w:rPr>
              <w:t>类基金份额的基金资产</w:t>
            </w:r>
            <w:r>
              <w:rPr>
                <w:rFonts w:ascii="宋体" w:eastAsia="宋体" w:hAnsi="宋体" w:cs="Times New Roman" w:hint="eastAsia"/>
                <w:szCs w:val="21"/>
              </w:rPr>
              <w:t>净值的</w:t>
            </w:r>
            <w:r>
              <w:rPr>
                <w:rFonts w:ascii="宋体" w:eastAsia="宋体" w:hAnsi="宋体" w:cs="Times New Roman" w:hint="eastAsia"/>
                <w:szCs w:val="21"/>
              </w:rPr>
              <w:t>0.40%</w:t>
            </w:r>
            <w:r>
              <w:rPr>
                <w:rFonts w:ascii="宋体" w:eastAsia="宋体" w:hAnsi="宋体" w:cs="Times New Roman" w:hint="eastAsia"/>
                <w:szCs w:val="21"/>
              </w:rPr>
              <w:t>年费率计提。计算方法如下：</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二、基金费用计提方法、计提标准和支付方式</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3</w:t>
            </w:r>
            <w:r>
              <w:rPr>
                <w:rFonts w:ascii="宋体" w:eastAsia="宋体" w:hAnsi="宋体" w:cs="Times New Roman" w:hint="eastAsia"/>
                <w:szCs w:val="21"/>
              </w:rPr>
              <w:t>、销售服务费</w:t>
            </w:r>
          </w:p>
          <w:p w:rsidR="00973C8A" w:rsidRDefault="00940945">
            <w:pPr>
              <w:adjustRightInd w:val="0"/>
              <w:snapToGrid w:val="0"/>
              <w:rPr>
                <w:rFonts w:ascii="宋体" w:eastAsia="宋体" w:hAnsi="宋体" w:cs="Times New Roman"/>
                <w:b/>
                <w:bCs/>
                <w:szCs w:val="21"/>
                <w:u w:val="single"/>
              </w:rPr>
            </w:pPr>
            <w:r>
              <w:rPr>
                <w:rFonts w:ascii="宋体" w:eastAsia="宋体" w:hAnsi="宋体" w:cs="Times New Roman" w:hint="eastAsia"/>
                <w:szCs w:val="21"/>
              </w:rPr>
              <w:t>本基金</w:t>
            </w:r>
            <w:r>
              <w:rPr>
                <w:rFonts w:ascii="宋体" w:eastAsia="宋体" w:hAnsi="宋体" w:cs="Times New Roman" w:hint="eastAsia"/>
                <w:szCs w:val="21"/>
              </w:rPr>
              <w:t>A</w:t>
            </w:r>
            <w:r>
              <w:rPr>
                <w:rFonts w:ascii="宋体" w:eastAsia="宋体" w:hAnsi="宋体" w:cs="Times New Roman" w:hint="eastAsia"/>
                <w:szCs w:val="21"/>
              </w:rPr>
              <w:t>类基金份额</w:t>
            </w:r>
            <w:r>
              <w:rPr>
                <w:rFonts w:ascii="宋体" w:eastAsia="宋体" w:hAnsi="宋体" w:cs="Times New Roman" w:hint="eastAsia"/>
                <w:b/>
                <w:szCs w:val="21"/>
                <w:u w:val="single"/>
              </w:rPr>
              <w:t>和</w:t>
            </w:r>
            <w:r>
              <w:rPr>
                <w:rFonts w:ascii="宋体" w:eastAsia="宋体" w:hAnsi="宋体" w:cs="Times New Roman" w:hint="eastAsia"/>
                <w:b/>
                <w:szCs w:val="21"/>
                <w:u w:val="single"/>
              </w:rPr>
              <w:t>D</w:t>
            </w:r>
            <w:r>
              <w:rPr>
                <w:rFonts w:ascii="宋体" w:eastAsia="宋体" w:hAnsi="宋体" w:cs="Times New Roman" w:hint="eastAsia"/>
                <w:b/>
                <w:szCs w:val="21"/>
                <w:u w:val="single"/>
              </w:rPr>
              <w:t>类基金份额</w:t>
            </w:r>
            <w:r>
              <w:rPr>
                <w:rFonts w:ascii="宋体" w:eastAsia="宋体" w:hAnsi="宋体" w:cs="Times New Roman" w:hint="eastAsia"/>
                <w:szCs w:val="21"/>
              </w:rPr>
              <w:t>不收取销售服务费，</w:t>
            </w:r>
            <w:r>
              <w:rPr>
                <w:rFonts w:ascii="宋体" w:eastAsia="宋体" w:hAnsi="宋体" w:cs="Times New Roman" w:hint="eastAsia"/>
                <w:szCs w:val="21"/>
              </w:rPr>
              <w:t>C</w:t>
            </w:r>
            <w:r>
              <w:rPr>
                <w:rFonts w:ascii="宋体" w:eastAsia="宋体" w:hAnsi="宋体" w:cs="Times New Roman" w:hint="eastAsia"/>
                <w:szCs w:val="21"/>
              </w:rPr>
              <w:t>类基金份额的销售服务费年费率为</w:t>
            </w:r>
            <w:r>
              <w:rPr>
                <w:rFonts w:ascii="宋体" w:eastAsia="宋体" w:hAnsi="宋体" w:cs="Times New Roman" w:hint="eastAsia"/>
                <w:szCs w:val="21"/>
              </w:rPr>
              <w:t>0.40%</w:t>
            </w:r>
            <w:r>
              <w:rPr>
                <w:rFonts w:ascii="宋体" w:eastAsia="宋体" w:hAnsi="宋体" w:cs="Times New Roman" w:hint="eastAsia"/>
                <w:szCs w:val="21"/>
              </w:rPr>
              <w:t>，销售服务费按前一日</w:t>
            </w:r>
            <w:r>
              <w:rPr>
                <w:rFonts w:ascii="宋体" w:eastAsia="宋体" w:hAnsi="宋体" w:cs="Times New Roman" w:hint="eastAsia"/>
                <w:szCs w:val="21"/>
              </w:rPr>
              <w:t>C</w:t>
            </w:r>
            <w:r>
              <w:rPr>
                <w:rFonts w:ascii="宋体" w:eastAsia="宋体" w:hAnsi="宋体" w:cs="Times New Roman" w:hint="eastAsia"/>
                <w:szCs w:val="21"/>
              </w:rPr>
              <w:t>类基金份额的基金资产净值的</w:t>
            </w:r>
            <w:r>
              <w:rPr>
                <w:rFonts w:ascii="宋体" w:eastAsia="宋体" w:hAnsi="宋体" w:cs="Times New Roman" w:hint="eastAsia"/>
                <w:szCs w:val="21"/>
              </w:rPr>
              <w:t>0.40%</w:t>
            </w:r>
            <w:r>
              <w:rPr>
                <w:rFonts w:ascii="宋体" w:eastAsia="宋体" w:hAnsi="宋体" w:cs="Times New Roman" w:hint="eastAsia"/>
                <w:szCs w:val="21"/>
              </w:rPr>
              <w:t>年费率计提。计算方法如下：</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rPr>
            </w:pPr>
            <w:r>
              <w:rPr>
                <w:rFonts w:ascii="宋体" w:eastAsia="宋体" w:hAnsi="宋体" w:cs="Times New Roman" w:hint="eastAsia"/>
                <w:b/>
                <w:szCs w:val="21"/>
                <w:lang w:val="zh-CN"/>
              </w:rPr>
              <w:t>第十六部分</w:t>
            </w:r>
            <w:r>
              <w:rPr>
                <w:rFonts w:ascii="宋体" w:eastAsia="宋体" w:hAnsi="宋体" w:cs="Times New Roman" w:hint="eastAsia"/>
                <w:b/>
                <w:szCs w:val="21"/>
              </w:rPr>
              <w:t xml:space="preserve">  </w:t>
            </w:r>
            <w:r>
              <w:rPr>
                <w:rFonts w:ascii="宋体" w:eastAsia="宋体" w:hAnsi="宋体" w:cs="Times New Roman" w:hint="eastAsia"/>
                <w:b/>
                <w:szCs w:val="21"/>
                <w:lang w:val="zh-CN"/>
              </w:rPr>
              <w:t>基金的收益与分配</w:t>
            </w: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三、基金收益分配原则</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、本基金收益分配方式分两种：现金分红与红利再投资，投资者可选择现金红利或将现金红利自动转为相应类别的基金份额进行再投资；投资者可对</w:t>
            </w:r>
            <w:r>
              <w:rPr>
                <w:rFonts w:ascii="宋体" w:eastAsia="宋体" w:hAnsi="宋体" w:cs="Times New Roman" w:hint="eastAsia"/>
                <w:szCs w:val="21"/>
              </w:rPr>
              <w:t>A</w:t>
            </w:r>
            <w:r>
              <w:rPr>
                <w:rFonts w:ascii="宋体" w:eastAsia="宋体" w:hAnsi="宋体" w:cs="Times New Roman" w:hint="eastAsia"/>
                <w:szCs w:val="21"/>
              </w:rPr>
              <w:t>类基金份额</w:t>
            </w:r>
            <w:r>
              <w:rPr>
                <w:rFonts w:ascii="宋体" w:eastAsia="宋体" w:hAnsi="宋体" w:cs="Times New Roman" w:hint="eastAsia"/>
                <w:szCs w:val="21"/>
              </w:rPr>
              <w:t>和</w:t>
            </w:r>
            <w:r>
              <w:rPr>
                <w:rFonts w:ascii="宋体" w:eastAsia="宋体" w:hAnsi="宋体" w:cs="Times New Roman" w:hint="eastAsia"/>
                <w:szCs w:val="21"/>
              </w:rPr>
              <w:t>C</w:t>
            </w:r>
            <w:r>
              <w:rPr>
                <w:rFonts w:ascii="宋体" w:eastAsia="宋体" w:hAnsi="宋体" w:cs="Times New Roman" w:hint="eastAsia"/>
                <w:szCs w:val="21"/>
              </w:rPr>
              <w:t>类基金份额分别选择不同的收益分配方式；若投资者不选择，基金默认的收益分配方式是现金分红；</w:t>
            </w:r>
          </w:p>
          <w:p w:rsidR="00973C8A" w:rsidRDefault="00973C8A">
            <w:pPr>
              <w:adjustRightInd w:val="0"/>
              <w:snapToGrid w:val="0"/>
              <w:rPr>
                <w:rFonts w:ascii="宋体" w:eastAsia="宋体" w:hAnsi="宋体" w:cs="Times New Roman"/>
                <w:szCs w:val="21"/>
              </w:rPr>
            </w:pP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hint="eastAsia"/>
                <w:szCs w:val="21"/>
              </w:rPr>
              <w:t>、由于本基金</w:t>
            </w:r>
            <w:r>
              <w:rPr>
                <w:rFonts w:ascii="宋体" w:eastAsia="宋体" w:hAnsi="宋体" w:cs="Times New Roman" w:hint="eastAsia"/>
                <w:szCs w:val="21"/>
              </w:rPr>
              <w:t>A</w:t>
            </w:r>
            <w:r>
              <w:rPr>
                <w:rFonts w:ascii="宋体" w:eastAsia="宋体" w:hAnsi="宋体" w:cs="Times New Roman" w:hint="eastAsia"/>
                <w:szCs w:val="21"/>
              </w:rPr>
              <w:t>类基金份额不收取销售服务费，而</w:t>
            </w:r>
            <w:r>
              <w:rPr>
                <w:rFonts w:ascii="宋体" w:eastAsia="宋体" w:hAnsi="宋体" w:cs="Times New Roman" w:hint="eastAsia"/>
                <w:szCs w:val="21"/>
              </w:rPr>
              <w:t>C</w:t>
            </w:r>
            <w:r>
              <w:rPr>
                <w:rFonts w:ascii="宋体" w:eastAsia="宋体" w:hAnsi="宋体" w:cs="Times New Roman" w:hint="eastAsia"/>
                <w:szCs w:val="21"/>
              </w:rPr>
              <w:t>类基金份额收取销售服务费，各基金份额类别对应的可分配收益将有所不同，具体收益分配安排详见基金管理人届时公告。本基金同一类别的每一基金份额享有同等分配权；</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三、基金收益分配原则</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、本基金收益分配方式分两种：现金分红与红利再投资，投资者可选择现金红利或将现金红利自动转为相应类别的基金份额进行再投资；投资者可对</w:t>
            </w:r>
            <w:r>
              <w:rPr>
                <w:rFonts w:ascii="宋体" w:eastAsia="宋体" w:hAnsi="宋体" w:cs="Times New Roman" w:hint="eastAsia"/>
                <w:szCs w:val="21"/>
              </w:rPr>
              <w:t>A</w:t>
            </w:r>
            <w:r>
              <w:rPr>
                <w:rFonts w:ascii="宋体" w:eastAsia="宋体" w:hAnsi="宋体" w:cs="Times New Roman" w:hint="eastAsia"/>
                <w:szCs w:val="21"/>
              </w:rPr>
              <w:t>类基金份额</w:t>
            </w:r>
            <w:r>
              <w:rPr>
                <w:rFonts w:ascii="宋体" w:eastAsia="宋体" w:hAnsi="宋体" w:cs="Times New Roman" w:hint="eastAsia"/>
                <w:b/>
                <w:bCs/>
                <w:szCs w:val="21"/>
                <w:u w:val="single"/>
              </w:rPr>
              <w:t>、</w:t>
            </w:r>
            <w:r>
              <w:rPr>
                <w:rFonts w:ascii="宋体" w:eastAsia="宋体" w:hAnsi="宋体" w:cs="Times New Roman" w:hint="eastAsia"/>
                <w:b/>
                <w:bCs/>
                <w:strike/>
                <w:szCs w:val="21"/>
              </w:rPr>
              <w:t>和</w:t>
            </w:r>
            <w:r>
              <w:rPr>
                <w:rFonts w:ascii="宋体" w:eastAsia="宋体" w:hAnsi="宋体" w:cs="Times New Roman" w:hint="eastAsia"/>
                <w:szCs w:val="21"/>
              </w:rPr>
              <w:t>C</w:t>
            </w:r>
            <w:r>
              <w:rPr>
                <w:rFonts w:ascii="宋体" w:eastAsia="宋体" w:hAnsi="宋体" w:cs="Times New Roman" w:hint="eastAsia"/>
                <w:szCs w:val="21"/>
              </w:rPr>
              <w:t>类基金份额</w:t>
            </w:r>
            <w:r>
              <w:rPr>
                <w:rFonts w:ascii="宋体" w:eastAsia="宋体" w:hAnsi="宋体" w:cs="Times New Roman" w:hint="eastAsia"/>
                <w:b/>
                <w:bCs/>
                <w:szCs w:val="21"/>
                <w:u w:val="single"/>
              </w:rPr>
              <w:t>和</w:t>
            </w:r>
            <w:r>
              <w:rPr>
                <w:rFonts w:ascii="宋体" w:eastAsia="宋体" w:hAnsi="宋体" w:cs="Times New Roman" w:hint="eastAsia"/>
                <w:b/>
                <w:bCs/>
                <w:szCs w:val="21"/>
                <w:u w:val="single"/>
              </w:rPr>
              <w:t>D</w:t>
            </w:r>
            <w:r>
              <w:rPr>
                <w:rFonts w:ascii="宋体" w:eastAsia="宋体" w:hAnsi="宋体" w:cs="Times New Roman" w:hint="eastAsia"/>
                <w:b/>
                <w:bCs/>
                <w:szCs w:val="21"/>
                <w:u w:val="single"/>
              </w:rPr>
              <w:t>类基金份额</w:t>
            </w:r>
            <w:r>
              <w:rPr>
                <w:rFonts w:ascii="宋体" w:eastAsia="宋体" w:hAnsi="宋体" w:cs="Times New Roman" w:hint="eastAsia"/>
                <w:szCs w:val="21"/>
              </w:rPr>
              <w:t>分别选择不同的收益分</w:t>
            </w:r>
            <w:r>
              <w:rPr>
                <w:rFonts w:ascii="宋体" w:eastAsia="宋体" w:hAnsi="宋体" w:cs="Times New Roman" w:hint="eastAsia"/>
                <w:szCs w:val="21"/>
              </w:rPr>
              <w:t>配方式；若投资者不选择，基金默认的收益分配方式是现金分红；</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hint="eastAsia"/>
                <w:szCs w:val="21"/>
              </w:rPr>
              <w:t>、由于本基金</w:t>
            </w:r>
            <w:r>
              <w:rPr>
                <w:rFonts w:ascii="宋体" w:eastAsia="宋体" w:hAnsi="宋体" w:cs="Times New Roman" w:hint="eastAsia"/>
                <w:szCs w:val="21"/>
              </w:rPr>
              <w:t>A</w:t>
            </w:r>
            <w:r>
              <w:rPr>
                <w:rFonts w:ascii="宋体" w:eastAsia="宋体" w:hAnsi="宋体" w:cs="Times New Roman" w:hint="eastAsia"/>
                <w:szCs w:val="21"/>
              </w:rPr>
              <w:t>类基金份额</w:t>
            </w:r>
            <w:r>
              <w:rPr>
                <w:rFonts w:ascii="宋体" w:eastAsia="宋体" w:hAnsi="宋体" w:cs="Times New Roman" w:hint="eastAsia"/>
                <w:b/>
                <w:bCs/>
                <w:szCs w:val="21"/>
                <w:u w:val="single"/>
              </w:rPr>
              <w:t>和</w:t>
            </w:r>
            <w:r>
              <w:rPr>
                <w:rFonts w:ascii="宋体" w:eastAsia="宋体" w:hAnsi="宋体" w:cs="Times New Roman" w:hint="eastAsia"/>
                <w:b/>
                <w:bCs/>
                <w:szCs w:val="21"/>
                <w:u w:val="single"/>
              </w:rPr>
              <w:t>D</w:t>
            </w:r>
            <w:r>
              <w:rPr>
                <w:rFonts w:ascii="宋体" w:eastAsia="宋体" w:hAnsi="宋体" w:cs="Times New Roman" w:hint="eastAsia"/>
                <w:b/>
                <w:bCs/>
                <w:szCs w:val="21"/>
                <w:u w:val="single"/>
              </w:rPr>
              <w:t>类基金份额</w:t>
            </w:r>
            <w:r>
              <w:rPr>
                <w:rFonts w:ascii="宋体" w:eastAsia="宋体" w:hAnsi="宋体" w:cs="Times New Roman" w:hint="eastAsia"/>
                <w:szCs w:val="21"/>
              </w:rPr>
              <w:t>不收取销售服务费，而</w:t>
            </w:r>
            <w:r>
              <w:rPr>
                <w:rFonts w:ascii="宋体" w:eastAsia="宋体" w:hAnsi="宋体" w:cs="Times New Roman" w:hint="eastAsia"/>
                <w:szCs w:val="21"/>
              </w:rPr>
              <w:t>C</w:t>
            </w:r>
            <w:r>
              <w:rPr>
                <w:rFonts w:ascii="宋体" w:eastAsia="宋体" w:hAnsi="宋体" w:cs="Times New Roman" w:hint="eastAsia"/>
                <w:szCs w:val="21"/>
              </w:rPr>
              <w:t>类基金份额收取销售服务费，各基金份额类别对应的可分配收益将有所不同，具体收益分配安排详见基金管理人届时公告。本基金同一类别的每一基金份额享有同等分配权；</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jc w:val="left"/>
              <w:rPr>
                <w:rFonts w:ascii="宋体" w:eastAsia="宋体" w:hAnsi="宋体" w:cs="Times New Roman"/>
                <w:b/>
                <w:szCs w:val="21"/>
              </w:rPr>
            </w:pPr>
            <w:r>
              <w:rPr>
                <w:rFonts w:ascii="宋体" w:eastAsia="宋体" w:hAnsi="宋体" w:cs="Times New Roman" w:hint="eastAsia"/>
                <w:b/>
                <w:szCs w:val="21"/>
              </w:rPr>
              <w:t>第十八部分</w:t>
            </w:r>
            <w:r>
              <w:rPr>
                <w:rFonts w:ascii="宋体" w:eastAsia="宋体" w:hAnsi="宋体" w:cs="Times New Roman" w:hint="eastAsia"/>
                <w:b/>
                <w:szCs w:val="21"/>
              </w:rPr>
              <w:t xml:space="preserve"> </w:t>
            </w:r>
            <w:r>
              <w:rPr>
                <w:rFonts w:ascii="宋体" w:eastAsia="宋体" w:hAnsi="宋体" w:cs="Times New Roman" w:hint="eastAsia"/>
                <w:b/>
                <w:szCs w:val="21"/>
              </w:rPr>
              <w:t>基金的信息披露</w:t>
            </w:r>
          </w:p>
        </w:tc>
        <w:tc>
          <w:tcPr>
            <w:tcW w:w="3781"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六、信息披露事务管理</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基金托管人应当按照相关法律法规、中国证监会的规定和《基金合同》的约定，对基金管理人编制的基金资产净值、各类基金份额净值、各类基金份额申购赎回价格、基金定期报告、更新的招募说明书、基金产品资料概要、基金清算报告等公开披露的相关基金信息进行复核、审查，并向基金管理人进行书面或电子确认。</w:t>
            </w:r>
          </w:p>
        </w:tc>
        <w:tc>
          <w:tcPr>
            <w:tcW w:w="373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六、信息披露事务管理</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基金托管人应当按照相关法律法规、中国证监会的规定和《基金合同》的约定，对基金管理人编制的基金资产净值、各类基金份额净值、</w:t>
            </w:r>
            <w:r>
              <w:rPr>
                <w:rFonts w:ascii="宋体" w:eastAsia="宋体" w:hAnsi="宋体" w:cs="Times New Roman" w:hint="eastAsia"/>
                <w:b/>
                <w:bCs/>
                <w:szCs w:val="21"/>
                <w:u w:val="single"/>
              </w:rPr>
              <w:t>各类基金份额累计净值、</w:t>
            </w:r>
            <w:r>
              <w:rPr>
                <w:rFonts w:ascii="宋体" w:eastAsia="宋体" w:hAnsi="宋体" w:cs="Times New Roman" w:hint="eastAsia"/>
                <w:szCs w:val="21"/>
              </w:rPr>
              <w:t>各类基金份额申购赎回价格、基金定期报告、更新的招募说明书、基金产</w:t>
            </w:r>
            <w:r>
              <w:rPr>
                <w:rFonts w:ascii="宋体" w:eastAsia="宋体" w:hAnsi="宋体" w:cs="Times New Roman" w:hint="eastAsia"/>
                <w:szCs w:val="21"/>
              </w:rPr>
              <w:t>品资料概要、基金清算报告等公开披露的相关基金信息进行复核、审查，并向基金管理人进行书面或电子确认。</w:t>
            </w:r>
          </w:p>
        </w:tc>
      </w:tr>
    </w:tbl>
    <w:p w:rsidR="00973C8A" w:rsidRDefault="00940945">
      <w:pPr>
        <w:spacing w:line="360" w:lineRule="auto"/>
        <w:rPr>
          <w:rFonts w:ascii="Times New Roman" w:hAnsi="Times New Roman" w:cs="Times New Roman"/>
          <w:szCs w:val="21"/>
        </w:rPr>
      </w:pPr>
      <w:r>
        <w:rPr>
          <w:rFonts w:ascii="宋体" w:eastAsia="宋体" w:hAnsi="宋体" w:cs="Times New Roman" w:hint="eastAsia"/>
          <w:szCs w:val="21"/>
        </w:rPr>
        <w:t>注：“第二十四部分</w:t>
      </w:r>
      <w:r>
        <w:rPr>
          <w:rFonts w:ascii="宋体" w:eastAsia="宋体" w:hAnsi="宋体" w:cs="Times New Roman" w:hint="eastAsia"/>
          <w:szCs w:val="21"/>
        </w:rPr>
        <w:t xml:space="preserve"> </w:t>
      </w:r>
      <w:r>
        <w:rPr>
          <w:rFonts w:ascii="宋体" w:eastAsia="宋体" w:hAnsi="宋体" w:cs="Times New Roman" w:hint="eastAsia"/>
          <w:szCs w:val="21"/>
        </w:rPr>
        <w:t>基金合同摘要”涉及</w:t>
      </w:r>
      <w:r>
        <w:rPr>
          <w:rFonts w:ascii="宋体" w:eastAsia="宋体" w:hAnsi="宋体" w:cs="Times New Roman" w:hint="eastAsia"/>
          <w:szCs w:val="21"/>
        </w:rPr>
        <w:t>的</w:t>
      </w:r>
      <w:r>
        <w:rPr>
          <w:rFonts w:ascii="宋体" w:eastAsia="宋体" w:hAnsi="宋体" w:cs="Times New Roman" w:hint="eastAsia"/>
          <w:szCs w:val="21"/>
        </w:rPr>
        <w:t>前述内容同步修改。</w:t>
      </w:r>
    </w:p>
    <w:p w:rsidR="00973C8A" w:rsidRDefault="00940945">
      <w:pPr>
        <w:spacing w:line="360" w:lineRule="auto"/>
        <w:rPr>
          <w:rFonts w:ascii="Times New Roman" w:hAnsi="Times New Roman" w:cs="Times New Roman"/>
          <w:szCs w:val="21"/>
        </w:rPr>
      </w:pPr>
      <w:r>
        <w:rPr>
          <w:rFonts w:ascii="Times New Roman" w:cs="Times New Roman" w:hint="eastAsia"/>
          <w:szCs w:val="21"/>
        </w:rPr>
        <w:t>（二）</w:t>
      </w:r>
      <w:r>
        <w:rPr>
          <w:rFonts w:ascii="Times New Roman" w:cs="Times New Roman" w:hint="eastAsia"/>
        </w:rPr>
        <w:t>诺安利鑫灵活配置混合型证券投资基金</w:t>
      </w:r>
      <w:r>
        <w:rPr>
          <w:rFonts w:ascii="Times New Roman" w:cs="Times New Roman" w:hint="eastAsia"/>
          <w:szCs w:val="21"/>
        </w:rPr>
        <w:t>托管协议修订要点前后文对照表</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5"/>
        <w:gridCol w:w="3683"/>
        <w:gridCol w:w="3682"/>
      </w:tblGrid>
      <w:tr w:rsidR="00973C8A">
        <w:tc>
          <w:tcPr>
            <w:tcW w:w="1335" w:type="dxa"/>
            <w:vMerge w:val="restart"/>
            <w:tcBorders>
              <w:top w:val="single" w:sz="4" w:space="0" w:color="auto"/>
              <w:left w:val="single" w:sz="4" w:space="0" w:color="auto"/>
              <w:bottom w:val="single" w:sz="4" w:space="0" w:color="auto"/>
              <w:right w:val="single" w:sz="4" w:space="0" w:color="auto"/>
            </w:tcBorders>
            <w:vAlign w:val="center"/>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章节</w:t>
            </w:r>
          </w:p>
        </w:tc>
        <w:tc>
          <w:tcPr>
            <w:tcW w:w="3683" w:type="dxa"/>
            <w:tcBorders>
              <w:top w:val="single" w:sz="4" w:space="0" w:color="auto"/>
              <w:left w:val="single" w:sz="4" w:space="0" w:color="auto"/>
              <w:bottom w:val="single" w:sz="4" w:space="0" w:color="auto"/>
              <w:right w:val="single" w:sz="4" w:space="0" w:color="auto"/>
            </w:tcBorders>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原文条款</w:t>
            </w:r>
          </w:p>
        </w:tc>
        <w:tc>
          <w:tcPr>
            <w:tcW w:w="3682" w:type="dxa"/>
            <w:tcBorders>
              <w:top w:val="single" w:sz="4" w:space="0" w:color="auto"/>
              <w:left w:val="single" w:sz="4" w:space="0" w:color="auto"/>
              <w:bottom w:val="single" w:sz="4" w:space="0" w:color="auto"/>
              <w:right w:val="single" w:sz="4" w:space="0" w:color="auto"/>
            </w:tcBorders>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修改后条款</w:t>
            </w:r>
          </w:p>
        </w:tc>
      </w:tr>
      <w:tr w:rsidR="00973C8A">
        <w:tc>
          <w:tcPr>
            <w:tcW w:w="1335" w:type="dxa"/>
            <w:vMerge/>
            <w:tcBorders>
              <w:top w:val="single" w:sz="4" w:space="0" w:color="auto"/>
              <w:left w:val="single" w:sz="4" w:space="0" w:color="auto"/>
              <w:bottom w:val="single" w:sz="4" w:space="0" w:color="auto"/>
              <w:right w:val="single" w:sz="4" w:space="0" w:color="auto"/>
            </w:tcBorders>
            <w:vAlign w:val="center"/>
          </w:tcPr>
          <w:p w:rsidR="00973C8A" w:rsidRDefault="00973C8A">
            <w:pPr>
              <w:widowControl/>
              <w:jc w:val="left"/>
              <w:rPr>
                <w:rFonts w:ascii="宋体" w:eastAsia="宋体" w:hAnsi="宋体" w:cs="Times New Roman"/>
                <w:b/>
                <w:szCs w:val="21"/>
              </w:rPr>
            </w:pPr>
          </w:p>
        </w:tc>
        <w:tc>
          <w:tcPr>
            <w:tcW w:w="3683" w:type="dxa"/>
            <w:tcBorders>
              <w:top w:val="single" w:sz="4" w:space="0" w:color="auto"/>
              <w:left w:val="single" w:sz="4" w:space="0" w:color="auto"/>
              <w:bottom w:val="single" w:sz="4" w:space="0" w:color="auto"/>
              <w:right w:val="single" w:sz="4" w:space="0" w:color="auto"/>
            </w:tcBorders>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内容</w:t>
            </w:r>
          </w:p>
        </w:tc>
        <w:tc>
          <w:tcPr>
            <w:tcW w:w="3682" w:type="dxa"/>
            <w:tcBorders>
              <w:top w:val="single" w:sz="4" w:space="0" w:color="auto"/>
              <w:left w:val="single" w:sz="4" w:space="0" w:color="auto"/>
              <w:bottom w:val="single" w:sz="4" w:space="0" w:color="auto"/>
              <w:right w:val="single" w:sz="4" w:space="0" w:color="auto"/>
            </w:tcBorders>
          </w:tcPr>
          <w:p w:rsidR="00973C8A" w:rsidRDefault="00940945">
            <w:pPr>
              <w:jc w:val="center"/>
              <w:rPr>
                <w:rFonts w:ascii="宋体" w:eastAsia="宋体" w:hAnsi="宋体" w:cs="Times New Roman"/>
                <w:b/>
                <w:szCs w:val="21"/>
              </w:rPr>
            </w:pPr>
            <w:r>
              <w:rPr>
                <w:rFonts w:ascii="宋体" w:eastAsia="宋体" w:hAnsi="宋体" w:cs="Times New Roman" w:hint="eastAsia"/>
                <w:b/>
                <w:szCs w:val="21"/>
              </w:rPr>
              <w:t>内容</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rPr>
                <w:rFonts w:ascii="宋体" w:eastAsia="宋体" w:hAnsi="宋体" w:cs="Times New Roman"/>
                <w:b/>
                <w:szCs w:val="21"/>
                <w:lang w:val="zh-CN"/>
              </w:rPr>
            </w:pPr>
            <w:r>
              <w:rPr>
                <w:rFonts w:ascii="宋体" w:eastAsia="宋体" w:hAnsi="宋体" w:cs="Times New Roman" w:hint="eastAsia"/>
                <w:b/>
                <w:szCs w:val="21"/>
                <w:lang w:val="zh-CN"/>
              </w:rPr>
              <w:t>一、基金托管协议当事人</w:t>
            </w:r>
          </w:p>
        </w:tc>
        <w:tc>
          <w:tcPr>
            <w:tcW w:w="3683"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（二）基金托管人</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法定代表人：陈四清</w:t>
            </w:r>
          </w:p>
          <w:p w:rsidR="00973C8A" w:rsidRDefault="00973C8A">
            <w:pPr>
              <w:adjustRightInd w:val="0"/>
              <w:snapToGrid w:val="0"/>
              <w:rPr>
                <w:rFonts w:ascii="宋体" w:eastAsia="宋体" w:hAnsi="宋体" w:cs="Times New Roman"/>
                <w:szCs w:val="21"/>
              </w:rPr>
            </w:pPr>
          </w:p>
        </w:tc>
        <w:tc>
          <w:tcPr>
            <w:tcW w:w="368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bCs/>
                <w:szCs w:val="21"/>
              </w:rPr>
            </w:pPr>
            <w:r>
              <w:rPr>
                <w:rFonts w:ascii="宋体" w:eastAsia="宋体" w:hAnsi="宋体" w:cs="Times New Roman" w:hint="eastAsia"/>
                <w:bCs/>
                <w:szCs w:val="21"/>
              </w:rPr>
              <w:t>（二）基金托管人</w:t>
            </w:r>
          </w:p>
          <w:p w:rsidR="00973C8A" w:rsidRDefault="00940945">
            <w:pPr>
              <w:adjustRightInd w:val="0"/>
              <w:snapToGrid w:val="0"/>
              <w:rPr>
                <w:rFonts w:ascii="宋体" w:eastAsia="宋体" w:hAnsi="宋体" w:cs="Times New Roman"/>
                <w:bCs/>
                <w:szCs w:val="21"/>
              </w:rPr>
            </w:pPr>
            <w:r>
              <w:rPr>
                <w:rFonts w:ascii="宋体" w:eastAsia="宋体" w:hAnsi="宋体" w:cs="Times New Roman" w:hint="eastAsia"/>
                <w:bCs/>
                <w:szCs w:val="21"/>
              </w:rPr>
              <w:t>法定代表人：</w:t>
            </w:r>
            <w:r>
              <w:rPr>
                <w:rFonts w:ascii="宋体" w:eastAsia="宋体" w:hAnsi="宋体" w:cs="Times New Roman" w:hint="eastAsia"/>
                <w:b/>
                <w:bCs/>
                <w:szCs w:val="21"/>
                <w:u w:val="single"/>
              </w:rPr>
              <w:t>廖林</w:t>
            </w:r>
            <w:r>
              <w:rPr>
                <w:rFonts w:ascii="宋体" w:eastAsia="宋体" w:hAnsi="宋体" w:cs="Times New Roman" w:hint="eastAsia"/>
                <w:b/>
                <w:bCs/>
                <w:strike/>
                <w:szCs w:val="21"/>
              </w:rPr>
              <w:t>陈四清</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rPr>
                <w:rFonts w:ascii="宋体" w:eastAsia="宋体" w:hAnsi="宋体" w:cs="Times New Roman"/>
                <w:b/>
                <w:szCs w:val="21"/>
              </w:rPr>
            </w:pPr>
            <w:bookmarkStart w:id="20" w:name="_Toc123705448"/>
            <w:bookmarkStart w:id="21" w:name="_Toc125361076"/>
            <w:bookmarkStart w:id="22" w:name="_Toc498679756"/>
            <w:bookmarkStart w:id="23" w:name="_Toc124749228"/>
            <w:bookmarkStart w:id="24" w:name="_Toc124749939"/>
            <w:r>
              <w:rPr>
                <w:rFonts w:ascii="宋体" w:eastAsia="宋体" w:hAnsi="宋体" w:cs="Times New Roman" w:hint="eastAsia"/>
                <w:b/>
                <w:szCs w:val="21"/>
              </w:rPr>
              <w:t>四、基金管理人对基金托管人的业务核查</w:t>
            </w:r>
            <w:bookmarkEnd w:id="20"/>
            <w:bookmarkEnd w:id="21"/>
            <w:bookmarkEnd w:id="22"/>
            <w:bookmarkEnd w:id="23"/>
            <w:bookmarkEnd w:id="24"/>
          </w:p>
        </w:tc>
        <w:tc>
          <w:tcPr>
            <w:tcW w:w="3683"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基金管理人对基金托管人履行托管职责情况进行核查，核查事项包括但不限于基金托管人安全保管基金财产、开设基金财产的资金账户和证券账户、复核基金管理人计算的基金资产净值、各类基金份额净值和各类基金份额累计净值</w:t>
            </w:r>
            <w:r>
              <w:rPr>
                <w:rFonts w:ascii="宋体" w:eastAsia="宋体" w:hAnsi="宋体" w:cs="Times New Roman" w:hint="eastAsia"/>
                <w:szCs w:val="21"/>
              </w:rPr>
              <w:t>，</w:t>
            </w:r>
            <w:r>
              <w:rPr>
                <w:rFonts w:ascii="宋体" w:eastAsia="宋体" w:hAnsi="宋体" w:cs="Times New Roman" w:hint="eastAsia"/>
                <w:szCs w:val="21"/>
              </w:rPr>
              <w:t>根据管理人指令办理清算交收、相关信息披露和监督基金投资运作等行为。</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基金管理人对基金托管人履行托管职责情况进行核查，核查事项包括但不限于基金托管人安全保管基金财产、开设基金财产的资金账户和证券账户、复核基金管理人计算的基金资产净值、各类基金份额净值和各类基金份额累计净值</w:t>
            </w:r>
            <w:r>
              <w:rPr>
                <w:rFonts w:ascii="宋体" w:eastAsia="宋体" w:hAnsi="宋体" w:cs="Times New Roman" w:hint="eastAsia"/>
                <w:b/>
                <w:bCs/>
                <w:szCs w:val="21"/>
                <w:u w:val="single"/>
              </w:rPr>
              <w:t>、各类基金份额申购、赎回价格</w:t>
            </w:r>
            <w:r>
              <w:rPr>
                <w:rFonts w:ascii="宋体" w:eastAsia="宋体" w:hAnsi="宋体" w:cs="Times New Roman" w:hint="eastAsia"/>
                <w:szCs w:val="21"/>
              </w:rPr>
              <w:t>，</w:t>
            </w:r>
            <w:r>
              <w:rPr>
                <w:rFonts w:ascii="宋体" w:eastAsia="宋体" w:hAnsi="宋体" w:cs="Times New Roman" w:hint="eastAsia"/>
                <w:szCs w:val="21"/>
              </w:rPr>
              <w:t>根据管理</w:t>
            </w:r>
            <w:r>
              <w:rPr>
                <w:rFonts w:ascii="宋体" w:eastAsia="宋体" w:hAnsi="宋体" w:cs="Times New Roman" w:hint="eastAsia"/>
                <w:szCs w:val="21"/>
              </w:rPr>
              <w:t>人指令办理清算交收、相关信息披露和监督基金投资运作等行为。</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rPr>
                <w:rFonts w:ascii="宋体" w:eastAsia="宋体" w:hAnsi="宋体" w:cs="Times New Roman"/>
                <w:b/>
                <w:szCs w:val="21"/>
              </w:rPr>
            </w:pPr>
            <w:r>
              <w:rPr>
                <w:rFonts w:ascii="宋体" w:eastAsia="宋体" w:hAnsi="宋体" w:cs="Times New Roman" w:hint="eastAsia"/>
                <w:b/>
                <w:szCs w:val="21"/>
              </w:rPr>
              <w:t>八、</w:t>
            </w:r>
            <w:bookmarkStart w:id="25" w:name="_Toc125361080"/>
            <w:bookmarkStart w:id="26" w:name="_Toc498679760"/>
            <w:r>
              <w:rPr>
                <w:rFonts w:ascii="宋体" w:eastAsia="宋体" w:hAnsi="宋体" w:cs="Times New Roman" w:hint="eastAsia"/>
                <w:b/>
                <w:szCs w:val="21"/>
              </w:rPr>
              <w:t>基金资产净值计算和会计核算</w:t>
            </w:r>
            <w:bookmarkEnd w:id="25"/>
            <w:bookmarkEnd w:id="26"/>
          </w:p>
        </w:tc>
        <w:tc>
          <w:tcPr>
            <w:tcW w:w="3683"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bookmarkStart w:id="27" w:name="_Toc22454458"/>
            <w:r>
              <w:rPr>
                <w:rFonts w:ascii="宋体" w:eastAsia="宋体" w:hAnsi="宋体" w:cs="Times New Roman" w:hint="eastAsia"/>
                <w:szCs w:val="21"/>
              </w:rPr>
              <w:t>（三）估值差错处理</w:t>
            </w:r>
            <w:bookmarkEnd w:id="27"/>
          </w:p>
          <w:p w:rsidR="00973C8A" w:rsidRDefault="00940945">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因基金估值错误给投资者造成损失的应先由基金管理人承担，基金管理人对不应由其承担的责任，有权向过错人追偿。</w:t>
            </w:r>
          </w:p>
          <w:p w:rsidR="00973C8A" w:rsidRDefault="00940945">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973C8A" w:rsidRDefault="00940945">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（三）估值差错处理</w:t>
            </w:r>
          </w:p>
          <w:p w:rsidR="00973C8A" w:rsidRDefault="00940945">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因基金估值错误给投资者造成损失的应先由基金管理人承担，基金管理人对不应由其承担的责任，有权向过错人追偿。</w:t>
            </w:r>
          </w:p>
          <w:p w:rsidR="00973C8A" w:rsidRDefault="00940945">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当基金管理人计算的基金资产净值、</w:t>
            </w:r>
            <w:r>
              <w:rPr>
                <w:rFonts w:ascii="宋体" w:eastAsia="宋体" w:hAnsi="宋体" w:cs="Times New Roman" w:hint="eastAsia"/>
                <w:b/>
                <w:bCs/>
                <w:szCs w:val="21"/>
                <w:u w:val="single"/>
              </w:rPr>
              <w:t>各类</w:t>
            </w:r>
            <w:r>
              <w:rPr>
                <w:rFonts w:ascii="宋体" w:eastAsia="宋体" w:hAnsi="宋体" w:cs="Times New Roman" w:hint="eastAsia"/>
                <w:szCs w:val="21"/>
              </w:rPr>
              <w:t>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rsidR="00973C8A" w:rsidRDefault="00940945">
            <w:pPr>
              <w:adjustRightInd w:val="0"/>
              <w:snapToGrid w:val="0"/>
              <w:ind w:firstLineChars="200" w:firstLine="420"/>
              <w:rPr>
                <w:rFonts w:ascii="宋体" w:eastAsia="宋体" w:hAnsi="宋体" w:cs="Times New Roman"/>
                <w:szCs w:val="21"/>
              </w:rPr>
            </w:pPr>
            <w:r>
              <w:rPr>
                <w:rFonts w:ascii="宋体" w:eastAsia="宋体" w:hAnsi="宋体" w:cs="Times New Roman" w:hint="eastAsia"/>
                <w:szCs w:val="21"/>
              </w:rPr>
              <w:t>由于一方当事人提供的信息错误，另一方当事人在采取了必要合理的措施后仍不能发现该错误，进而导致基金资产净值、</w:t>
            </w:r>
            <w:r>
              <w:rPr>
                <w:rFonts w:ascii="宋体" w:eastAsia="宋体" w:hAnsi="宋体" w:cs="Times New Roman" w:hint="eastAsia"/>
                <w:b/>
                <w:bCs/>
                <w:szCs w:val="21"/>
                <w:u w:val="single"/>
              </w:rPr>
              <w:t>各类</w:t>
            </w:r>
            <w:r>
              <w:rPr>
                <w:rFonts w:ascii="宋体" w:eastAsia="宋体" w:hAnsi="宋体" w:cs="Times New Roman" w:hint="eastAsia"/>
                <w:szCs w:val="21"/>
              </w:rPr>
              <w:t>基金份额净值计算错误造成投资者或基金的损失，以及由此造成以后交易日基金资产净值、</w:t>
            </w:r>
            <w:r>
              <w:rPr>
                <w:rFonts w:ascii="宋体" w:eastAsia="宋体" w:hAnsi="宋体" w:cs="Times New Roman" w:hint="eastAsia"/>
                <w:b/>
                <w:bCs/>
                <w:szCs w:val="21"/>
                <w:u w:val="single"/>
              </w:rPr>
              <w:t>各类</w:t>
            </w:r>
            <w:r>
              <w:rPr>
                <w:rFonts w:ascii="宋体" w:eastAsia="宋体" w:hAnsi="宋体" w:cs="Times New Roman" w:hint="eastAsia"/>
                <w:szCs w:val="21"/>
              </w:rPr>
              <w:t>基金份额净值计算顺延错误而引起的投资者或基金的损失，由提供错误信息的当事人一方负责赔偿。</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rPr>
                <w:rFonts w:ascii="宋体" w:eastAsia="宋体" w:hAnsi="宋体" w:cs="Times New Roman"/>
                <w:b/>
                <w:szCs w:val="21"/>
                <w:lang w:val="zh-CN"/>
              </w:rPr>
            </w:pPr>
            <w:r>
              <w:rPr>
                <w:rFonts w:ascii="宋体" w:eastAsia="宋体" w:hAnsi="宋体" w:cs="Times New Roman" w:hint="eastAsia"/>
                <w:b/>
                <w:szCs w:val="21"/>
                <w:lang w:val="zh-CN"/>
              </w:rPr>
              <w:t>九、基金收益分配</w:t>
            </w:r>
          </w:p>
        </w:tc>
        <w:tc>
          <w:tcPr>
            <w:tcW w:w="3683"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一</w:t>
            </w:r>
            <w:r>
              <w:rPr>
                <w:rFonts w:ascii="宋体" w:eastAsia="宋体" w:hAnsi="宋体" w:cs="Times New Roman" w:hint="eastAsia"/>
                <w:szCs w:val="21"/>
              </w:rPr>
              <w:t>）</w:t>
            </w:r>
            <w:r>
              <w:rPr>
                <w:rFonts w:ascii="宋体" w:eastAsia="宋体" w:hAnsi="宋体" w:cs="Times New Roman" w:hint="eastAsia"/>
                <w:szCs w:val="21"/>
              </w:rPr>
              <w:t>基金收益分配原则</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、本基金收益分配方式分两种：现金分红与红利再投资，投资者可选择现金红利或将现金红利自动转为相应类别的基金份额进行再投资；投资者可对</w:t>
            </w:r>
            <w:r>
              <w:rPr>
                <w:rFonts w:ascii="宋体" w:eastAsia="宋体" w:hAnsi="宋体" w:cs="Times New Roman" w:hint="eastAsia"/>
                <w:szCs w:val="21"/>
              </w:rPr>
              <w:t>A</w:t>
            </w:r>
            <w:r>
              <w:rPr>
                <w:rFonts w:ascii="宋体" w:eastAsia="宋体" w:hAnsi="宋体" w:cs="Times New Roman" w:hint="eastAsia"/>
                <w:szCs w:val="21"/>
              </w:rPr>
              <w:t>类基金份额</w:t>
            </w:r>
            <w:r>
              <w:rPr>
                <w:rFonts w:ascii="宋体" w:eastAsia="宋体" w:hAnsi="宋体" w:cs="Times New Roman" w:hint="eastAsia"/>
                <w:szCs w:val="21"/>
              </w:rPr>
              <w:t>和</w:t>
            </w:r>
            <w:r>
              <w:rPr>
                <w:rFonts w:ascii="宋体" w:eastAsia="宋体" w:hAnsi="宋体" w:cs="Times New Roman" w:hint="eastAsia"/>
                <w:szCs w:val="21"/>
              </w:rPr>
              <w:t>C</w:t>
            </w:r>
            <w:r>
              <w:rPr>
                <w:rFonts w:ascii="宋体" w:eastAsia="宋体" w:hAnsi="宋体" w:cs="Times New Roman" w:hint="eastAsia"/>
                <w:szCs w:val="21"/>
              </w:rPr>
              <w:t>类基金份额分别选择不同的收益分配方式；若投资者不选择，基金默认的收益分配方式是现金分红；</w:t>
            </w:r>
          </w:p>
          <w:p w:rsidR="00973C8A" w:rsidRDefault="00973C8A">
            <w:pPr>
              <w:adjustRightInd w:val="0"/>
              <w:snapToGrid w:val="0"/>
              <w:rPr>
                <w:rFonts w:ascii="宋体" w:eastAsia="宋体" w:hAnsi="宋体" w:cs="Times New Roman"/>
                <w:szCs w:val="21"/>
              </w:rPr>
            </w:pP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hint="eastAsia"/>
                <w:szCs w:val="21"/>
              </w:rPr>
              <w:t>、由于本基金</w:t>
            </w:r>
            <w:r>
              <w:rPr>
                <w:rFonts w:ascii="宋体" w:eastAsia="宋体" w:hAnsi="宋体" w:cs="Times New Roman" w:hint="eastAsia"/>
                <w:szCs w:val="21"/>
              </w:rPr>
              <w:t>A</w:t>
            </w:r>
            <w:r>
              <w:rPr>
                <w:rFonts w:ascii="宋体" w:eastAsia="宋体" w:hAnsi="宋体" w:cs="Times New Roman" w:hint="eastAsia"/>
                <w:szCs w:val="21"/>
              </w:rPr>
              <w:t>类基金份额不收取销售服务费，而</w:t>
            </w:r>
            <w:r>
              <w:rPr>
                <w:rFonts w:ascii="宋体" w:eastAsia="宋体" w:hAnsi="宋体" w:cs="Times New Roman" w:hint="eastAsia"/>
                <w:szCs w:val="21"/>
              </w:rPr>
              <w:t>C</w:t>
            </w:r>
            <w:r>
              <w:rPr>
                <w:rFonts w:ascii="宋体" w:eastAsia="宋体" w:hAnsi="宋体" w:cs="Times New Roman" w:hint="eastAsia"/>
                <w:szCs w:val="21"/>
              </w:rPr>
              <w:t>类基金份额收取销售服务费，各基金份额类别对应的可分配收益将有所不同，具体收益分配安排详见基金管理人届时公告。本基金同一类别的每一基金份额享有同等分配权；</w:t>
            </w:r>
          </w:p>
        </w:tc>
        <w:tc>
          <w:tcPr>
            <w:tcW w:w="368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w:t>
            </w:r>
            <w:r>
              <w:rPr>
                <w:rFonts w:ascii="宋体" w:eastAsia="宋体" w:hAnsi="宋体" w:cs="Times New Roman" w:hint="eastAsia"/>
                <w:szCs w:val="21"/>
              </w:rPr>
              <w:t>一</w:t>
            </w:r>
            <w:r>
              <w:rPr>
                <w:rFonts w:ascii="宋体" w:eastAsia="宋体" w:hAnsi="宋体" w:cs="Times New Roman" w:hint="eastAsia"/>
                <w:szCs w:val="21"/>
              </w:rPr>
              <w:t>）</w:t>
            </w:r>
            <w:r>
              <w:rPr>
                <w:rFonts w:ascii="宋体" w:eastAsia="宋体" w:hAnsi="宋体" w:cs="Times New Roman" w:hint="eastAsia"/>
                <w:szCs w:val="21"/>
              </w:rPr>
              <w:t>基金收益分配原则</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2</w:t>
            </w:r>
            <w:r>
              <w:rPr>
                <w:rFonts w:ascii="宋体" w:eastAsia="宋体" w:hAnsi="宋体" w:cs="Times New Roman" w:hint="eastAsia"/>
                <w:szCs w:val="21"/>
              </w:rPr>
              <w:t>、本基金收益分配方式分两种：现金分红与红利再投资，投资者可选择现金红利或将现金红利自动转为相应类别的基金份额进行再投资；投资者可对</w:t>
            </w:r>
            <w:r>
              <w:rPr>
                <w:rFonts w:ascii="宋体" w:eastAsia="宋体" w:hAnsi="宋体" w:cs="Times New Roman" w:hint="eastAsia"/>
                <w:szCs w:val="21"/>
              </w:rPr>
              <w:t>A</w:t>
            </w:r>
            <w:r>
              <w:rPr>
                <w:rFonts w:ascii="宋体" w:eastAsia="宋体" w:hAnsi="宋体" w:cs="Times New Roman" w:hint="eastAsia"/>
                <w:szCs w:val="21"/>
              </w:rPr>
              <w:t>类基金份额</w:t>
            </w:r>
            <w:r>
              <w:rPr>
                <w:rFonts w:ascii="宋体" w:eastAsia="宋体" w:hAnsi="宋体" w:cs="Times New Roman" w:hint="eastAsia"/>
                <w:b/>
                <w:bCs/>
                <w:szCs w:val="21"/>
                <w:u w:val="single"/>
              </w:rPr>
              <w:t>、</w:t>
            </w:r>
            <w:r>
              <w:rPr>
                <w:rFonts w:ascii="宋体" w:eastAsia="宋体" w:hAnsi="宋体" w:cs="Times New Roman" w:hint="eastAsia"/>
                <w:b/>
                <w:bCs/>
                <w:strike/>
                <w:szCs w:val="21"/>
              </w:rPr>
              <w:t>和</w:t>
            </w:r>
            <w:r>
              <w:rPr>
                <w:rFonts w:ascii="宋体" w:eastAsia="宋体" w:hAnsi="宋体" w:cs="Times New Roman" w:hint="eastAsia"/>
                <w:szCs w:val="21"/>
              </w:rPr>
              <w:t>C</w:t>
            </w:r>
            <w:r>
              <w:rPr>
                <w:rFonts w:ascii="宋体" w:eastAsia="宋体" w:hAnsi="宋体" w:cs="Times New Roman" w:hint="eastAsia"/>
                <w:szCs w:val="21"/>
              </w:rPr>
              <w:t>类基金份额</w:t>
            </w:r>
            <w:r>
              <w:rPr>
                <w:rFonts w:ascii="宋体" w:eastAsia="宋体" w:hAnsi="宋体" w:cs="Times New Roman" w:hint="eastAsia"/>
                <w:b/>
                <w:bCs/>
                <w:szCs w:val="21"/>
                <w:u w:val="single"/>
              </w:rPr>
              <w:t>和</w:t>
            </w:r>
            <w:r>
              <w:rPr>
                <w:rFonts w:ascii="宋体" w:eastAsia="宋体" w:hAnsi="宋体" w:cs="Times New Roman" w:hint="eastAsia"/>
                <w:b/>
                <w:bCs/>
                <w:szCs w:val="21"/>
                <w:u w:val="single"/>
              </w:rPr>
              <w:t>D</w:t>
            </w:r>
            <w:r>
              <w:rPr>
                <w:rFonts w:ascii="宋体" w:eastAsia="宋体" w:hAnsi="宋体" w:cs="Times New Roman" w:hint="eastAsia"/>
                <w:b/>
                <w:bCs/>
                <w:szCs w:val="21"/>
                <w:u w:val="single"/>
              </w:rPr>
              <w:t>类基金份额</w:t>
            </w:r>
            <w:r>
              <w:rPr>
                <w:rFonts w:ascii="宋体" w:eastAsia="宋体" w:hAnsi="宋体" w:cs="Times New Roman" w:hint="eastAsia"/>
                <w:szCs w:val="21"/>
              </w:rPr>
              <w:t>分别选择不同的收益分配方式；若投资者不选择，基金默认的收益分配方式是现金分红；</w:t>
            </w:r>
          </w:p>
          <w:p w:rsidR="00973C8A" w:rsidRDefault="00940945">
            <w:pPr>
              <w:adjustRightInd w:val="0"/>
              <w:snapToGrid w:val="0"/>
              <w:rPr>
                <w:rFonts w:ascii="宋体" w:eastAsia="宋体" w:hAnsi="宋体" w:cs="Times New Roman"/>
                <w:bCs/>
                <w:szCs w:val="21"/>
              </w:rPr>
            </w:pPr>
            <w:r>
              <w:rPr>
                <w:rFonts w:ascii="宋体" w:eastAsia="宋体" w:hAnsi="宋体" w:cs="Times New Roman" w:hint="eastAsia"/>
                <w:szCs w:val="21"/>
              </w:rPr>
              <w:t>4</w:t>
            </w:r>
            <w:r>
              <w:rPr>
                <w:rFonts w:ascii="宋体" w:eastAsia="宋体" w:hAnsi="宋体" w:cs="Times New Roman" w:hint="eastAsia"/>
                <w:szCs w:val="21"/>
              </w:rPr>
              <w:t>、由于本基金</w:t>
            </w:r>
            <w:r>
              <w:rPr>
                <w:rFonts w:ascii="宋体" w:eastAsia="宋体" w:hAnsi="宋体" w:cs="Times New Roman" w:hint="eastAsia"/>
                <w:szCs w:val="21"/>
              </w:rPr>
              <w:t>A</w:t>
            </w:r>
            <w:r>
              <w:rPr>
                <w:rFonts w:ascii="宋体" w:eastAsia="宋体" w:hAnsi="宋体" w:cs="Times New Roman" w:hint="eastAsia"/>
                <w:szCs w:val="21"/>
              </w:rPr>
              <w:t>类基金份额</w:t>
            </w:r>
            <w:r>
              <w:rPr>
                <w:rFonts w:ascii="宋体" w:eastAsia="宋体" w:hAnsi="宋体" w:cs="Times New Roman" w:hint="eastAsia"/>
                <w:b/>
                <w:bCs/>
                <w:szCs w:val="21"/>
                <w:u w:val="single"/>
              </w:rPr>
              <w:t>和</w:t>
            </w:r>
            <w:r>
              <w:rPr>
                <w:rFonts w:ascii="宋体" w:eastAsia="宋体" w:hAnsi="宋体" w:cs="Times New Roman" w:hint="eastAsia"/>
                <w:b/>
                <w:bCs/>
                <w:szCs w:val="21"/>
                <w:u w:val="single"/>
              </w:rPr>
              <w:t>D</w:t>
            </w:r>
            <w:r>
              <w:rPr>
                <w:rFonts w:ascii="宋体" w:eastAsia="宋体" w:hAnsi="宋体" w:cs="Times New Roman" w:hint="eastAsia"/>
                <w:b/>
                <w:bCs/>
                <w:szCs w:val="21"/>
                <w:u w:val="single"/>
              </w:rPr>
              <w:t>类基金份额</w:t>
            </w:r>
            <w:r>
              <w:rPr>
                <w:rFonts w:ascii="宋体" w:eastAsia="宋体" w:hAnsi="宋体" w:cs="Times New Roman" w:hint="eastAsia"/>
                <w:szCs w:val="21"/>
              </w:rPr>
              <w:t>不收取销售服务费，而</w:t>
            </w:r>
            <w:r>
              <w:rPr>
                <w:rFonts w:ascii="宋体" w:eastAsia="宋体" w:hAnsi="宋体" w:cs="Times New Roman" w:hint="eastAsia"/>
                <w:szCs w:val="21"/>
              </w:rPr>
              <w:t>C</w:t>
            </w:r>
            <w:r>
              <w:rPr>
                <w:rFonts w:ascii="宋体" w:eastAsia="宋体" w:hAnsi="宋体" w:cs="Times New Roman" w:hint="eastAsia"/>
                <w:szCs w:val="21"/>
              </w:rPr>
              <w:t>类基金份额收取销售服务费，各基金份额类别对应的可分配收益将有所不同，具体收益分配安排详见基金管理人届时公告。本基金同一类别的每一基金份额享有同等分配权；</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rPr>
                <w:rFonts w:ascii="宋体" w:eastAsia="宋体" w:hAnsi="宋体" w:cs="Times New Roman"/>
                <w:b/>
                <w:szCs w:val="21"/>
              </w:rPr>
            </w:pPr>
            <w:r>
              <w:rPr>
                <w:rFonts w:ascii="宋体" w:eastAsia="宋体" w:hAnsi="宋体" w:cs="Times New Roman" w:hint="eastAsia"/>
                <w:b/>
                <w:szCs w:val="21"/>
              </w:rPr>
              <w:t>十、信息披露</w:t>
            </w:r>
          </w:p>
        </w:tc>
        <w:tc>
          <w:tcPr>
            <w:tcW w:w="3683"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bookmarkStart w:id="28" w:name="_Toc22454467"/>
            <w:bookmarkStart w:id="29" w:name="_Toc48703918"/>
            <w:r>
              <w:rPr>
                <w:rFonts w:ascii="宋体" w:eastAsia="宋体" w:hAnsi="宋体" w:cs="Times New Roman" w:hint="eastAsia"/>
                <w:szCs w:val="21"/>
              </w:rPr>
              <w:t>（二）基金管理人和基金托管人在信息披露中的职责和信息披露程序</w:t>
            </w:r>
            <w:bookmarkEnd w:id="28"/>
            <w:bookmarkEnd w:id="29"/>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基金托管人应当按照相关法律法规、中国证监会的规定和《基金合同》的约定，对基金管理人编制的基金资产净值、各类基金份额净值、各类基金份额申购赎回价格、基金定期报告、更新的招募说明书、基金产品资料概要、基金清算报告等公开披露的相关基金信息进行复核、审查，并向基金管理人进行书面或电子确认。</w:t>
            </w:r>
          </w:p>
        </w:tc>
        <w:tc>
          <w:tcPr>
            <w:tcW w:w="368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（二）基金管理人和基金托管人在信息披露中的职责和信息披露程序</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基金托管人应当按照相关法律法规、中国证监会的规定和《基金合同》的约定，对基金管理人编制的基金资产净值、各</w:t>
            </w:r>
            <w:r>
              <w:rPr>
                <w:rFonts w:ascii="宋体" w:eastAsia="宋体" w:hAnsi="宋体" w:cs="Times New Roman" w:hint="eastAsia"/>
                <w:szCs w:val="21"/>
              </w:rPr>
              <w:t>类基金份额净值、</w:t>
            </w:r>
            <w:r>
              <w:rPr>
                <w:rFonts w:ascii="宋体" w:eastAsia="宋体" w:hAnsi="宋体" w:cs="Times New Roman" w:hint="eastAsia"/>
                <w:b/>
                <w:bCs/>
                <w:szCs w:val="21"/>
                <w:u w:val="single"/>
              </w:rPr>
              <w:t>各类基金份额累计净值、</w:t>
            </w:r>
            <w:r>
              <w:rPr>
                <w:rFonts w:ascii="宋体" w:eastAsia="宋体" w:hAnsi="宋体" w:cs="Times New Roman" w:hint="eastAsia"/>
                <w:szCs w:val="21"/>
              </w:rPr>
              <w:t>各类基金份额申购赎回价格、基金定期报告、更新的招募说明书、基金产品资料概要、基金清算报告等公开披露的相关基金信息进行复核、审查，并向基金管理人进行书面或电子确认。</w:t>
            </w:r>
          </w:p>
        </w:tc>
      </w:tr>
      <w:tr w:rsidR="00973C8A">
        <w:tc>
          <w:tcPr>
            <w:tcW w:w="1335" w:type="dxa"/>
            <w:tcBorders>
              <w:top w:val="single" w:sz="4" w:space="0" w:color="auto"/>
              <w:left w:val="single" w:sz="4" w:space="0" w:color="auto"/>
              <w:bottom w:val="single" w:sz="4" w:space="0" w:color="auto"/>
              <w:right w:val="single" w:sz="4" w:space="0" w:color="auto"/>
            </w:tcBorders>
            <w:vAlign w:val="center"/>
          </w:tcPr>
          <w:p w:rsidR="00973C8A" w:rsidRDefault="00940945">
            <w:pPr>
              <w:rPr>
                <w:rFonts w:ascii="宋体" w:eastAsia="宋体" w:hAnsi="宋体" w:cs="Times New Roman"/>
                <w:b/>
                <w:szCs w:val="21"/>
                <w:lang w:val="zh-CN"/>
              </w:rPr>
            </w:pPr>
            <w:r>
              <w:rPr>
                <w:rFonts w:ascii="宋体" w:eastAsia="宋体" w:hAnsi="宋体" w:cs="Times New Roman" w:hint="eastAsia"/>
                <w:b/>
                <w:szCs w:val="21"/>
                <w:lang w:val="zh-CN"/>
              </w:rPr>
              <w:t>十一、基金费用</w:t>
            </w:r>
          </w:p>
        </w:tc>
        <w:tc>
          <w:tcPr>
            <w:tcW w:w="3683" w:type="dxa"/>
            <w:tcBorders>
              <w:top w:val="single" w:sz="4" w:space="0" w:color="auto"/>
              <w:left w:val="single" w:sz="4" w:space="0" w:color="auto"/>
              <w:bottom w:val="single" w:sz="4" w:space="0" w:color="auto"/>
              <w:right w:val="single" w:sz="4" w:space="0" w:color="auto"/>
            </w:tcBorders>
            <w:vAlign w:val="center"/>
          </w:tcPr>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（三）基金销售服务费的计提比例和计提方法</w:t>
            </w:r>
          </w:p>
          <w:p w:rsidR="00973C8A" w:rsidRDefault="00940945">
            <w:pPr>
              <w:adjustRightInd w:val="0"/>
              <w:snapToGrid w:val="0"/>
              <w:rPr>
                <w:rFonts w:ascii="宋体" w:eastAsia="宋体" w:hAnsi="宋体" w:cs="Times New Roman"/>
                <w:szCs w:val="21"/>
              </w:rPr>
            </w:pPr>
            <w:r>
              <w:rPr>
                <w:rFonts w:ascii="宋体" w:eastAsia="宋体" w:hAnsi="宋体" w:cs="Times New Roman" w:hint="eastAsia"/>
                <w:szCs w:val="21"/>
              </w:rPr>
              <w:t>本基金</w:t>
            </w:r>
            <w:r>
              <w:rPr>
                <w:rFonts w:ascii="宋体" w:eastAsia="宋体" w:hAnsi="宋体" w:cs="Times New Roman" w:hint="eastAsia"/>
                <w:szCs w:val="21"/>
              </w:rPr>
              <w:t>A</w:t>
            </w:r>
            <w:r>
              <w:rPr>
                <w:rFonts w:ascii="宋体" w:eastAsia="宋体" w:hAnsi="宋体" w:cs="Times New Roman" w:hint="eastAsia"/>
                <w:szCs w:val="21"/>
              </w:rPr>
              <w:t>类基金份额不收取销售服务费，</w:t>
            </w:r>
            <w:r>
              <w:rPr>
                <w:rFonts w:ascii="宋体" w:eastAsia="宋体" w:hAnsi="宋体" w:cs="Times New Roman" w:hint="eastAsia"/>
                <w:szCs w:val="21"/>
              </w:rPr>
              <w:t>C</w:t>
            </w:r>
            <w:r>
              <w:rPr>
                <w:rFonts w:ascii="宋体" w:eastAsia="宋体" w:hAnsi="宋体" w:cs="Times New Roman" w:hint="eastAsia"/>
                <w:szCs w:val="21"/>
              </w:rPr>
              <w:t>类基金份额的销售服务费年费率为</w:t>
            </w:r>
            <w:r>
              <w:rPr>
                <w:rFonts w:ascii="宋体" w:eastAsia="宋体" w:hAnsi="宋体" w:cs="Times New Roman" w:hint="eastAsia"/>
                <w:szCs w:val="21"/>
              </w:rPr>
              <w:t>0.40%</w:t>
            </w:r>
            <w:r>
              <w:rPr>
                <w:rFonts w:ascii="宋体" w:eastAsia="宋体" w:hAnsi="宋体" w:cs="Times New Roman" w:hint="eastAsia"/>
                <w:szCs w:val="21"/>
              </w:rPr>
              <w:t>，销售服务费按前一日</w:t>
            </w:r>
            <w:r>
              <w:rPr>
                <w:rFonts w:ascii="宋体" w:eastAsia="宋体" w:hAnsi="宋体" w:cs="Times New Roman" w:hint="eastAsia"/>
                <w:szCs w:val="21"/>
              </w:rPr>
              <w:t>C</w:t>
            </w:r>
            <w:r>
              <w:rPr>
                <w:rFonts w:ascii="宋体" w:eastAsia="宋体" w:hAnsi="宋体" w:cs="Times New Roman" w:hint="eastAsia"/>
                <w:szCs w:val="21"/>
              </w:rPr>
              <w:t>类基金份额的基金资产净值的</w:t>
            </w:r>
            <w:r>
              <w:rPr>
                <w:rFonts w:ascii="宋体" w:eastAsia="宋体" w:hAnsi="宋体" w:cs="Times New Roman" w:hint="eastAsia"/>
                <w:szCs w:val="21"/>
              </w:rPr>
              <w:t>0.40%</w:t>
            </w:r>
            <w:r>
              <w:rPr>
                <w:rFonts w:ascii="宋体" w:eastAsia="宋体" w:hAnsi="宋体" w:cs="Times New Roman" w:hint="eastAsia"/>
                <w:szCs w:val="21"/>
              </w:rPr>
              <w:t>年费率计提。计算方法如下：</w:t>
            </w:r>
          </w:p>
        </w:tc>
        <w:tc>
          <w:tcPr>
            <w:tcW w:w="3682" w:type="dxa"/>
            <w:tcBorders>
              <w:top w:val="single" w:sz="4" w:space="0" w:color="auto"/>
              <w:left w:val="single" w:sz="4" w:space="0" w:color="auto"/>
              <w:bottom w:val="single" w:sz="4" w:space="0" w:color="auto"/>
              <w:right w:val="single" w:sz="4" w:space="0" w:color="auto"/>
            </w:tcBorders>
          </w:tcPr>
          <w:p w:rsidR="00973C8A" w:rsidRDefault="00940945">
            <w:pPr>
              <w:adjustRightInd w:val="0"/>
              <w:snapToGrid w:val="0"/>
              <w:rPr>
                <w:rFonts w:ascii="宋体" w:eastAsia="宋体" w:hAnsi="宋体" w:cs="Times New Roman"/>
                <w:bCs/>
                <w:szCs w:val="21"/>
              </w:rPr>
            </w:pPr>
            <w:r>
              <w:rPr>
                <w:rFonts w:ascii="宋体" w:eastAsia="宋体" w:hAnsi="宋体" w:cs="Times New Roman" w:hint="eastAsia"/>
                <w:bCs/>
                <w:szCs w:val="21"/>
              </w:rPr>
              <w:t>（三）基金销售服务费的计提比例和计提方法</w:t>
            </w:r>
          </w:p>
          <w:p w:rsidR="00973C8A" w:rsidRDefault="00940945">
            <w:pPr>
              <w:rPr>
                <w:rFonts w:ascii="宋体" w:hAnsi="宋体"/>
                <w:color w:val="000000"/>
                <w:sz w:val="24"/>
              </w:rPr>
            </w:pPr>
            <w:r>
              <w:rPr>
                <w:rFonts w:ascii="宋体" w:eastAsia="宋体" w:hAnsi="宋体" w:cs="Times New Roman" w:hint="eastAsia"/>
                <w:bCs/>
                <w:szCs w:val="21"/>
              </w:rPr>
              <w:t>本基金</w:t>
            </w:r>
            <w:r>
              <w:rPr>
                <w:rFonts w:ascii="宋体" w:eastAsia="宋体" w:hAnsi="宋体" w:cs="Times New Roman" w:hint="eastAsia"/>
                <w:bCs/>
                <w:szCs w:val="21"/>
              </w:rPr>
              <w:t>A</w:t>
            </w:r>
            <w:r>
              <w:rPr>
                <w:rFonts w:ascii="宋体" w:eastAsia="宋体" w:hAnsi="宋体" w:cs="Times New Roman" w:hint="eastAsia"/>
                <w:bCs/>
                <w:szCs w:val="21"/>
              </w:rPr>
              <w:t>类基金份额</w:t>
            </w:r>
            <w:r>
              <w:rPr>
                <w:rFonts w:ascii="宋体" w:eastAsia="宋体" w:hAnsi="宋体" w:cs="Times New Roman" w:hint="eastAsia"/>
                <w:b/>
                <w:bCs/>
                <w:szCs w:val="21"/>
                <w:u w:val="single"/>
              </w:rPr>
              <w:t>和</w:t>
            </w:r>
            <w:r>
              <w:rPr>
                <w:rFonts w:ascii="宋体" w:eastAsia="宋体" w:hAnsi="宋体" w:cs="Times New Roman" w:hint="eastAsia"/>
                <w:b/>
                <w:bCs/>
                <w:szCs w:val="21"/>
                <w:u w:val="single"/>
              </w:rPr>
              <w:t>D</w:t>
            </w:r>
            <w:r>
              <w:rPr>
                <w:rFonts w:ascii="宋体" w:eastAsia="宋体" w:hAnsi="宋体" w:cs="Times New Roman" w:hint="eastAsia"/>
                <w:b/>
                <w:bCs/>
                <w:szCs w:val="21"/>
                <w:u w:val="single"/>
              </w:rPr>
              <w:t>类基金份额</w:t>
            </w:r>
            <w:r>
              <w:rPr>
                <w:rFonts w:ascii="宋体" w:eastAsia="宋体" w:hAnsi="宋体" w:cs="Times New Roman" w:hint="eastAsia"/>
                <w:bCs/>
                <w:szCs w:val="21"/>
              </w:rPr>
              <w:t>不收取销售服务费，</w:t>
            </w:r>
            <w:r>
              <w:rPr>
                <w:rFonts w:ascii="宋体" w:eastAsia="宋体" w:hAnsi="宋体" w:cs="Times New Roman" w:hint="eastAsia"/>
                <w:szCs w:val="21"/>
              </w:rPr>
              <w:t>C</w:t>
            </w:r>
            <w:r>
              <w:rPr>
                <w:rFonts w:ascii="宋体" w:eastAsia="宋体" w:hAnsi="宋体" w:cs="Times New Roman" w:hint="eastAsia"/>
                <w:szCs w:val="21"/>
              </w:rPr>
              <w:t>类基金份额的销售服务费年费率为</w:t>
            </w:r>
            <w:r>
              <w:rPr>
                <w:rFonts w:ascii="宋体" w:eastAsia="宋体" w:hAnsi="宋体" w:cs="Times New Roman" w:hint="eastAsia"/>
                <w:szCs w:val="21"/>
              </w:rPr>
              <w:t>0.40%</w:t>
            </w:r>
            <w:r>
              <w:rPr>
                <w:rFonts w:ascii="宋体" w:eastAsia="宋体" w:hAnsi="宋体" w:cs="Times New Roman" w:hint="eastAsia"/>
                <w:szCs w:val="21"/>
              </w:rPr>
              <w:t>，销售服务费按前一日</w:t>
            </w:r>
            <w:r>
              <w:rPr>
                <w:rFonts w:ascii="宋体" w:eastAsia="宋体" w:hAnsi="宋体" w:cs="Times New Roman" w:hint="eastAsia"/>
                <w:szCs w:val="21"/>
              </w:rPr>
              <w:t>C</w:t>
            </w:r>
            <w:r>
              <w:rPr>
                <w:rFonts w:ascii="宋体" w:eastAsia="宋体" w:hAnsi="宋体" w:cs="Times New Roman" w:hint="eastAsia"/>
                <w:szCs w:val="21"/>
              </w:rPr>
              <w:t>类基金份额的基金资产净值的</w:t>
            </w:r>
            <w:r>
              <w:rPr>
                <w:rFonts w:ascii="宋体" w:eastAsia="宋体" w:hAnsi="宋体" w:cs="Times New Roman" w:hint="eastAsia"/>
                <w:szCs w:val="21"/>
              </w:rPr>
              <w:t>0.40%</w:t>
            </w:r>
            <w:r>
              <w:rPr>
                <w:rFonts w:ascii="宋体" w:eastAsia="宋体" w:hAnsi="宋体" w:cs="Times New Roman" w:hint="eastAsia"/>
                <w:szCs w:val="21"/>
              </w:rPr>
              <w:t>年费率计提。计算方法如下：</w:t>
            </w:r>
          </w:p>
        </w:tc>
      </w:tr>
    </w:tbl>
    <w:p w:rsidR="00973C8A" w:rsidRDefault="00940945">
      <w:pPr>
        <w:spacing w:line="360" w:lineRule="auto"/>
        <w:ind w:firstLineChars="202" w:firstLine="424"/>
        <w:rPr>
          <w:rFonts w:ascii="Times New Roman" w:cs="Times New Roman"/>
          <w:szCs w:val="21"/>
        </w:rPr>
      </w:pPr>
      <w:r>
        <w:rPr>
          <w:rFonts w:ascii="Times New Roman" w:cs="Times New Roman" w:hint="eastAsia"/>
          <w:szCs w:val="21"/>
        </w:rPr>
        <w:t>（三）根据本次增设</w:t>
      </w:r>
      <w:r>
        <w:rPr>
          <w:rFonts w:ascii="Times New Roman" w:cs="Times New Roman"/>
          <w:szCs w:val="21"/>
        </w:rPr>
        <w:t>D</w:t>
      </w:r>
      <w:r>
        <w:rPr>
          <w:rFonts w:ascii="Times New Roman" w:cs="Times New Roman"/>
          <w:szCs w:val="21"/>
        </w:rPr>
        <w:t>类</w:t>
      </w:r>
      <w:r>
        <w:rPr>
          <w:rFonts w:ascii="Times New Roman" w:cs="Times New Roman" w:hint="eastAsia"/>
          <w:szCs w:val="21"/>
        </w:rPr>
        <w:t>基金份额需要</w:t>
      </w:r>
      <w:r>
        <w:rPr>
          <w:rFonts w:ascii="Times New Roman" w:cs="Times New Roman" w:hint="eastAsia"/>
          <w:szCs w:val="21"/>
        </w:rPr>
        <w:t>、</w:t>
      </w:r>
      <w:r>
        <w:rPr>
          <w:rFonts w:ascii="Times New Roman" w:cs="Times New Roman" w:hint="eastAsia"/>
          <w:szCs w:val="21"/>
        </w:rPr>
        <w:t>法规更新、完善表述而对基金合同、托管协议作出的其他必要修改。</w:t>
      </w:r>
      <w:r>
        <w:rPr>
          <w:rFonts w:ascii="Times New Roman" w:cs="Times New Roman" w:hint="eastAsia"/>
          <w:szCs w:val="21"/>
        </w:rPr>
        <w:t xml:space="preserve"> </w:t>
      </w:r>
    </w:p>
    <w:sectPr w:rsidR="00973C8A" w:rsidSect="00973C8A">
      <w:headerReference w:type="default" r:id="rId8"/>
      <w:footerReference w:type="default" r:id="rId9"/>
      <w:pgSz w:w="11906" w:h="16838"/>
      <w:pgMar w:top="1440" w:right="1800" w:bottom="1440" w:left="1800" w:header="73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C8A" w:rsidRDefault="00973C8A" w:rsidP="00973C8A">
      <w:r>
        <w:separator/>
      </w:r>
    </w:p>
  </w:endnote>
  <w:endnote w:type="continuationSeparator" w:id="0">
    <w:p w:rsidR="00973C8A" w:rsidRDefault="00973C8A" w:rsidP="00973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637962"/>
    </w:sdtPr>
    <w:sdtContent>
      <w:sdt>
        <w:sdtPr>
          <w:id w:val="1728636285"/>
        </w:sdtPr>
        <w:sdtContent>
          <w:p w:rsidR="00973C8A" w:rsidRDefault="00973C8A">
            <w:pPr>
              <w:pStyle w:val="a5"/>
              <w:jc w:val="center"/>
            </w:pPr>
            <w:r>
              <w:rPr>
                <w:b/>
                <w:bCs/>
                <w:sz w:val="24"/>
                <w:szCs w:val="24"/>
              </w:rPr>
              <w:fldChar w:fldCharType="begin"/>
            </w:r>
            <w:r w:rsidR="00940945">
              <w:rPr>
                <w:b/>
                <w:bCs/>
              </w:rPr>
              <w:instrText>PAGE</w:instrText>
            </w:r>
            <w:r>
              <w:rPr>
                <w:b/>
                <w:bCs/>
                <w:sz w:val="24"/>
                <w:szCs w:val="24"/>
              </w:rPr>
              <w:fldChar w:fldCharType="separate"/>
            </w:r>
            <w:r w:rsidR="00940945">
              <w:rPr>
                <w:b/>
                <w:bCs/>
                <w:noProof/>
              </w:rPr>
              <w:t>1</w:t>
            </w:r>
            <w:r>
              <w:rPr>
                <w:b/>
                <w:bCs/>
                <w:sz w:val="24"/>
                <w:szCs w:val="24"/>
              </w:rPr>
              <w:fldChar w:fldCharType="end"/>
            </w:r>
            <w:r w:rsidR="00940945">
              <w:rPr>
                <w:lang w:val="zh-CN"/>
              </w:rPr>
              <w:t xml:space="preserve"> / </w:t>
            </w:r>
            <w:r>
              <w:rPr>
                <w:b/>
                <w:bCs/>
                <w:sz w:val="24"/>
                <w:szCs w:val="24"/>
              </w:rPr>
              <w:fldChar w:fldCharType="begin"/>
            </w:r>
            <w:r w:rsidR="00940945">
              <w:rPr>
                <w:b/>
                <w:bCs/>
              </w:rPr>
              <w:instrText>NUMPAGES</w:instrText>
            </w:r>
            <w:r>
              <w:rPr>
                <w:b/>
                <w:bCs/>
                <w:sz w:val="24"/>
                <w:szCs w:val="24"/>
              </w:rPr>
              <w:fldChar w:fldCharType="separate"/>
            </w:r>
            <w:r w:rsidR="00940945">
              <w:rPr>
                <w:b/>
                <w:bCs/>
                <w:noProof/>
              </w:rPr>
              <w:t>3</w:t>
            </w:r>
            <w:r>
              <w:rPr>
                <w:b/>
                <w:bCs/>
                <w:sz w:val="24"/>
                <w:szCs w:val="24"/>
              </w:rPr>
              <w:fldChar w:fldCharType="end"/>
            </w:r>
          </w:p>
        </w:sdtContent>
      </w:sdt>
    </w:sdtContent>
  </w:sdt>
  <w:p w:rsidR="00973C8A" w:rsidRDefault="00973C8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C8A" w:rsidRDefault="00973C8A" w:rsidP="00973C8A">
      <w:r>
        <w:separator/>
      </w:r>
    </w:p>
  </w:footnote>
  <w:footnote w:type="continuationSeparator" w:id="0">
    <w:p w:rsidR="00973C8A" w:rsidRDefault="00973C8A" w:rsidP="00973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C8A" w:rsidRDefault="00940945">
    <w:pPr>
      <w:pStyle w:val="a6"/>
      <w:jc w:val="left"/>
    </w:pPr>
    <w:r>
      <w:rPr>
        <w:noProof/>
      </w:rPr>
      <w:drawing>
        <wp:inline distT="0" distB="0" distL="0" distR="0">
          <wp:extent cx="1724025" cy="220345"/>
          <wp:effectExtent l="19050" t="0" r="9525" b="0"/>
          <wp:docPr id="2" name="图片 1" descr="C:\Users\nazxx\Desktop\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nazxx\Desktop\10.png"/>
                  <pic:cNvPicPr>
                    <a:picLocks noChangeAspect="1" noChangeArrowheads="1"/>
                  </pic:cNvPicPr>
                </pic:nvPicPr>
                <pic:blipFill>
                  <a:blip r:embed="rId1"/>
                  <a:srcRect/>
                  <a:stretch>
                    <a:fillRect/>
                  </a:stretch>
                </pic:blipFill>
                <pic:spPr>
                  <a:xfrm>
                    <a:off x="0" y="0"/>
                    <a:ext cx="1724025" cy="22091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rsids>
    <w:rsidRoot w:val="00F11980"/>
    <w:rsid w:val="00003F4D"/>
    <w:rsid w:val="00005D49"/>
    <w:rsid w:val="0000617B"/>
    <w:rsid w:val="000064DE"/>
    <w:rsid w:val="00006E33"/>
    <w:rsid w:val="00012C69"/>
    <w:rsid w:val="000139C7"/>
    <w:rsid w:val="00013C0F"/>
    <w:rsid w:val="00020298"/>
    <w:rsid w:val="00020D0F"/>
    <w:rsid w:val="00022107"/>
    <w:rsid w:val="00026661"/>
    <w:rsid w:val="00026F19"/>
    <w:rsid w:val="00027029"/>
    <w:rsid w:val="00033E6B"/>
    <w:rsid w:val="00033E7C"/>
    <w:rsid w:val="000344BD"/>
    <w:rsid w:val="00035E72"/>
    <w:rsid w:val="000364D6"/>
    <w:rsid w:val="000366DE"/>
    <w:rsid w:val="0003693B"/>
    <w:rsid w:val="000401BD"/>
    <w:rsid w:val="00042E67"/>
    <w:rsid w:val="00051B44"/>
    <w:rsid w:val="00053E6E"/>
    <w:rsid w:val="00054C2F"/>
    <w:rsid w:val="000579EA"/>
    <w:rsid w:val="0006238E"/>
    <w:rsid w:val="00062C26"/>
    <w:rsid w:val="00067EE5"/>
    <w:rsid w:val="000727D4"/>
    <w:rsid w:val="00072E43"/>
    <w:rsid w:val="00073136"/>
    <w:rsid w:val="00075448"/>
    <w:rsid w:val="000768DB"/>
    <w:rsid w:val="000817C6"/>
    <w:rsid w:val="00084B10"/>
    <w:rsid w:val="00085214"/>
    <w:rsid w:val="00086B7B"/>
    <w:rsid w:val="00090BF7"/>
    <w:rsid w:val="00093F53"/>
    <w:rsid w:val="00095E12"/>
    <w:rsid w:val="000A0FF8"/>
    <w:rsid w:val="000A5EF6"/>
    <w:rsid w:val="000A6948"/>
    <w:rsid w:val="000A74AA"/>
    <w:rsid w:val="000B0A94"/>
    <w:rsid w:val="000B2389"/>
    <w:rsid w:val="000B37BC"/>
    <w:rsid w:val="000B6005"/>
    <w:rsid w:val="000C1327"/>
    <w:rsid w:val="000C444D"/>
    <w:rsid w:val="000C5CD5"/>
    <w:rsid w:val="000C60A8"/>
    <w:rsid w:val="000C6A46"/>
    <w:rsid w:val="000D32AF"/>
    <w:rsid w:val="000D3990"/>
    <w:rsid w:val="000D3BAC"/>
    <w:rsid w:val="000D3C6C"/>
    <w:rsid w:val="000D3FF2"/>
    <w:rsid w:val="000D48AC"/>
    <w:rsid w:val="000D4FF1"/>
    <w:rsid w:val="000D7F80"/>
    <w:rsid w:val="000E033F"/>
    <w:rsid w:val="000E0500"/>
    <w:rsid w:val="000E0A2E"/>
    <w:rsid w:val="000E163A"/>
    <w:rsid w:val="000E165B"/>
    <w:rsid w:val="000E18CD"/>
    <w:rsid w:val="000E2DEB"/>
    <w:rsid w:val="000E688C"/>
    <w:rsid w:val="000F1E20"/>
    <w:rsid w:val="000F51A5"/>
    <w:rsid w:val="000F68DB"/>
    <w:rsid w:val="00104AEB"/>
    <w:rsid w:val="001072C4"/>
    <w:rsid w:val="001123FA"/>
    <w:rsid w:val="00115447"/>
    <w:rsid w:val="00116C29"/>
    <w:rsid w:val="0012126A"/>
    <w:rsid w:val="00130061"/>
    <w:rsid w:val="001305F9"/>
    <w:rsid w:val="00132BE6"/>
    <w:rsid w:val="001334F4"/>
    <w:rsid w:val="00133723"/>
    <w:rsid w:val="001344CA"/>
    <w:rsid w:val="00136FFD"/>
    <w:rsid w:val="0014392C"/>
    <w:rsid w:val="00145C85"/>
    <w:rsid w:val="00146665"/>
    <w:rsid w:val="00153737"/>
    <w:rsid w:val="0015393C"/>
    <w:rsid w:val="00154073"/>
    <w:rsid w:val="00160717"/>
    <w:rsid w:val="00163976"/>
    <w:rsid w:val="0016408D"/>
    <w:rsid w:val="00164464"/>
    <w:rsid w:val="00166774"/>
    <w:rsid w:val="001667CE"/>
    <w:rsid w:val="001709D9"/>
    <w:rsid w:val="00171EA5"/>
    <w:rsid w:val="001728CE"/>
    <w:rsid w:val="00172939"/>
    <w:rsid w:val="00173AB5"/>
    <w:rsid w:val="00174BF0"/>
    <w:rsid w:val="00174E90"/>
    <w:rsid w:val="00175131"/>
    <w:rsid w:val="0018291B"/>
    <w:rsid w:val="001858B4"/>
    <w:rsid w:val="00186132"/>
    <w:rsid w:val="0019568D"/>
    <w:rsid w:val="00195830"/>
    <w:rsid w:val="001A0A52"/>
    <w:rsid w:val="001A11C4"/>
    <w:rsid w:val="001A2256"/>
    <w:rsid w:val="001A24A4"/>
    <w:rsid w:val="001A3904"/>
    <w:rsid w:val="001A4974"/>
    <w:rsid w:val="001A4DFE"/>
    <w:rsid w:val="001A539C"/>
    <w:rsid w:val="001A70FB"/>
    <w:rsid w:val="001B0224"/>
    <w:rsid w:val="001B0AD8"/>
    <w:rsid w:val="001B170E"/>
    <w:rsid w:val="001B240A"/>
    <w:rsid w:val="001B299C"/>
    <w:rsid w:val="001B2DC5"/>
    <w:rsid w:val="001B2F03"/>
    <w:rsid w:val="001B3ED7"/>
    <w:rsid w:val="001B4688"/>
    <w:rsid w:val="001B556E"/>
    <w:rsid w:val="001C05BC"/>
    <w:rsid w:val="001C1255"/>
    <w:rsid w:val="001C1D19"/>
    <w:rsid w:val="001C2963"/>
    <w:rsid w:val="001C6C47"/>
    <w:rsid w:val="001D3478"/>
    <w:rsid w:val="001D3E4A"/>
    <w:rsid w:val="001E4029"/>
    <w:rsid w:val="001E7E63"/>
    <w:rsid w:val="001F1B0D"/>
    <w:rsid w:val="001F6136"/>
    <w:rsid w:val="001F6BD5"/>
    <w:rsid w:val="002007B5"/>
    <w:rsid w:val="00201207"/>
    <w:rsid w:val="00202409"/>
    <w:rsid w:val="0020461D"/>
    <w:rsid w:val="00204855"/>
    <w:rsid w:val="00205F83"/>
    <w:rsid w:val="00211A34"/>
    <w:rsid w:val="00212207"/>
    <w:rsid w:val="002132BE"/>
    <w:rsid w:val="00220689"/>
    <w:rsid w:val="002208A1"/>
    <w:rsid w:val="00222D35"/>
    <w:rsid w:val="00223827"/>
    <w:rsid w:val="00224ED3"/>
    <w:rsid w:val="00225D15"/>
    <w:rsid w:val="00227800"/>
    <w:rsid w:val="00232116"/>
    <w:rsid w:val="00233BFC"/>
    <w:rsid w:val="00234031"/>
    <w:rsid w:val="0023411F"/>
    <w:rsid w:val="002347E1"/>
    <w:rsid w:val="00235EFD"/>
    <w:rsid w:val="00240C53"/>
    <w:rsid w:val="00244AF9"/>
    <w:rsid w:val="00245B91"/>
    <w:rsid w:val="002472BD"/>
    <w:rsid w:val="002473A2"/>
    <w:rsid w:val="00247434"/>
    <w:rsid w:val="00250A85"/>
    <w:rsid w:val="00260B61"/>
    <w:rsid w:val="00261F55"/>
    <w:rsid w:val="00263E6E"/>
    <w:rsid w:val="00267F92"/>
    <w:rsid w:val="00273DDD"/>
    <w:rsid w:val="002806A4"/>
    <w:rsid w:val="00280FDC"/>
    <w:rsid w:val="002811A8"/>
    <w:rsid w:val="002826A7"/>
    <w:rsid w:val="00282CEA"/>
    <w:rsid w:val="00283255"/>
    <w:rsid w:val="00283568"/>
    <w:rsid w:val="00291A83"/>
    <w:rsid w:val="00291ABE"/>
    <w:rsid w:val="00292346"/>
    <w:rsid w:val="0029321D"/>
    <w:rsid w:val="00294261"/>
    <w:rsid w:val="00295DB6"/>
    <w:rsid w:val="00297797"/>
    <w:rsid w:val="002A0F47"/>
    <w:rsid w:val="002A2394"/>
    <w:rsid w:val="002A45DF"/>
    <w:rsid w:val="002A62A0"/>
    <w:rsid w:val="002A7F8C"/>
    <w:rsid w:val="002B3C8A"/>
    <w:rsid w:val="002B5DE7"/>
    <w:rsid w:val="002C0A5D"/>
    <w:rsid w:val="002C1292"/>
    <w:rsid w:val="002C1F41"/>
    <w:rsid w:val="002C2C86"/>
    <w:rsid w:val="002C5690"/>
    <w:rsid w:val="002C5FDA"/>
    <w:rsid w:val="002D34C8"/>
    <w:rsid w:val="002D4C8A"/>
    <w:rsid w:val="002D63F4"/>
    <w:rsid w:val="002E0549"/>
    <w:rsid w:val="002E0BE6"/>
    <w:rsid w:val="002E0C3E"/>
    <w:rsid w:val="002E119D"/>
    <w:rsid w:val="002E5066"/>
    <w:rsid w:val="002E6DFE"/>
    <w:rsid w:val="002E7DD1"/>
    <w:rsid w:val="002F1ABC"/>
    <w:rsid w:val="002F2C06"/>
    <w:rsid w:val="002F33A7"/>
    <w:rsid w:val="00301EEE"/>
    <w:rsid w:val="003027E5"/>
    <w:rsid w:val="00302800"/>
    <w:rsid w:val="00302BBC"/>
    <w:rsid w:val="00304FF0"/>
    <w:rsid w:val="0030610D"/>
    <w:rsid w:val="003079E4"/>
    <w:rsid w:val="00313615"/>
    <w:rsid w:val="00313D8C"/>
    <w:rsid w:val="00313FF2"/>
    <w:rsid w:val="00314506"/>
    <w:rsid w:val="00317022"/>
    <w:rsid w:val="0032063D"/>
    <w:rsid w:val="00321126"/>
    <w:rsid w:val="0032250E"/>
    <w:rsid w:val="00322A47"/>
    <w:rsid w:val="003239BD"/>
    <w:rsid w:val="0032417E"/>
    <w:rsid w:val="003262BA"/>
    <w:rsid w:val="003265EE"/>
    <w:rsid w:val="00326B74"/>
    <w:rsid w:val="00327862"/>
    <w:rsid w:val="003322E9"/>
    <w:rsid w:val="003330B5"/>
    <w:rsid w:val="00334402"/>
    <w:rsid w:val="003346C3"/>
    <w:rsid w:val="00334FC8"/>
    <w:rsid w:val="00335035"/>
    <w:rsid w:val="003375E9"/>
    <w:rsid w:val="00342445"/>
    <w:rsid w:val="00346372"/>
    <w:rsid w:val="00346F80"/>
    <w:rsid w:val="00347103"/>
    <w:rsid w:val="0035179B"/>
    <w:rsid w:val="00352412"/>
    <w:rsid w:val="00353DA7"/>
    <w:rsid w:val="00355F0D"/>
    <w:rsid w:val="0035782E"/>
    <w:rsid w:val="003605CE"/>
    <w:rsid w:val="00363F41"/>
    <w:rsid w:val="0036648B"/>
    <w:rsid w:val="00366821"/>
    <w:rsid w:val="00371780"/>
    <w:rsid w:val="00375637"/>
    <w:rsid w:val="00377BCC"/>
    <w:rsid w:val="003803A6"/>
    <w:rsid w:val="0038053A"/>
    <w:rsid w:val="00381AD8"/>
    <w:rsid w:val="003838A8"/>
    <w:rsid w:val="00384E11"/>
    <w:rsid w:val="00386E8D"/>
    <w:rsid w:val="00387744"/>
    <w:rsid w:val="0039384F"/>
    <w:rsid w:val="003A2371"/>
    <w:rsid w:val="003A3722"/>
    <w:rsid w:val="003A3B4C"/>
    <w:rsid w:val="003A469F"/>
    <w:rsid w:val="003A72EA"/>
    <w:rsid w:val="003A7367"/>
    <w:rsid w:val="003A7D83"/>
    <w:rsid w:val="003B0476"/>
    <w:rsid w:val="003B11B6"/>
    <w:rsid w:val="003B21FE"/>
    <w:rsid w:val="003B3AF0"/>
    <w:rsid w:val="003B5BF4"/>
    <w:rsid w:val="003B5D9C"/>
    <w:rsid w:val="003B5F96"/>
    <w:rsid w:val="003C0519"/>
    <w:rsid w:val="003C095D"/>
    <w:rsid w:val="003C0F03"/>
    <w:rsid w:val="003C6AA8"/>
    <w:rsid w:val="003C79AC"/>
    <w:rsid w:val="003D22D5"/>
    <w:rsid w:val="003D23AA"/>
    <w:rsid w:val="003D4C25"/>
    <w:rsid w:val="003D55EE"/>
    <w:rsid w:val="003D5E53"/>
    <w:rsid w:val="003D6A02"/>
    <w:rsid w:val="003D7B2E"/>
    <w:rsid w:val="003E058F"/>
    <w:rsid w:val="003E2FB8"/>
    <w:rsid w:val="003E389B"/>
    <w:rsid w:val="003E5F9E"/>
    <w:rsid w:val="003E7CDC"/>
    <w:rsid w:val="003F5D8E"/>
    <w:rsid w:val="003F5D90"/>
    <w:rsid w:val="003F74BA"/>
    <w:rsid w:val="003F7E99"/>
    <w:rsid w:val="00400554"/>
    <w:rsid w:val="00406309"/>
    <w:rsid w:val="00411CC5"/>
    <w:rsid w:val="004144A3"/>
    <w:rsid w:val="00414898"/>
    <w:rsid w:val="004148E5"/>
    <w:rsid w:val="00417649"/>
    <w:rsid w:val="00417703"/>
    <w:rsid w:val="00421B28"/>
    <w:rsid w:val="00422C3C"/>
    <w:rsid w:val="004239DA"/>
    <w:rsid w:val="00424129"/>
    <w:rsid w:val="004244BC"/>
    <w:rsid w:val="00426D97"/>
    <w:rsid w:val="004301F6"/>
    <w:rsid w:val="004317A6"/>
    <w:rsid w:val="00434003"/>
    <w:rsid w:val="004349D4"/>
    <w:rsid w:val="00435A8F"/>
    <w:rsid w:val="00436E0F"/>
    <w:rsid w:val="00445417"/>
    <w:rsid w:val="0044666C"/>
    <w:rsid w:val="00447464"/>
    <w:rsid w:val="00447918"/>
    <w:rsid w:val="00457E05"/>
    <w:rsid w:val="00460317"/>
    <w:rsid w:val="00460E2C"/>
    <w:rsid w:val="00464F50"/>
    <w:rsid w:val="00466700"/>
    <w:rsid w:val="00466FCB"/>
    <w:rsid w:val="00471EAC"/>
    <w:rsid w:val="0047230F"/>
    <w:rsid w:val="00475DA1"/>
    <w:rsid w:val="004839EA"/>
    <w:rsid w:val="00484003"/>
    <w:rsid w:val="00484CCA"/>
    <w:rsid w:val="00486A63"/>
    <w:rsid w:val="004875AE"/>
    <w:rsid w:val="00493036"/>
    <w:rsid w:val="00496D1F"/>
    <w:rsid w:val="004A2A65"/>
    <w:rsid w:val="004A3183"/>
    <w:rsid w:val="004A36E4"/>
    <w:rsid w:val="004A478D"/>
    <w:rsid w:val="004A56CE"/>
    <w:rsid w:val="004A5A37"/>
    <w:rsid w:val="004A757D"/>
    <w:rsid w:val="004B1E51"/>
    <w:rsid w:val="004B6B77"/>
    <w:rsid w:val="004C00CF"/>
    <w:rsid w:val="004C0C2E"/>
    <w:rsid w:val="004C7E1C"/>
    <w:rsid w:val="004D3167"/>
    <w:rsid w:val="004D319F"/>
    <w:rsid w:val="004D3F31"/>
    <w:rsid w:val="004E0C6B"/>
    <w:rsid w:val="004E22C4"/>
    <w:rsid w:val="004E3FFF"/>
    <w:rsid w:val="004E4A75"/>
    <w:rsid w:val="004F25DC"/>
    <w:rsid w:val="004F3679"/>
    <w:rsid w:val="004F38EC"/>
    <w:rsid w:val="004F3C2D"/>
    <w:rsid w:val="004F6C68"/>
    <w:rsid w:val="004F7330"/>
    <w:rsid w:val="00500F74"/>
    <w:rsid w:val="00503BE6"/>
    <w:rsid w:val="00505772"/>
    <w:rsid w:val="00505B77"/>
    <w:rsid w:val="00506FBF"/>
    <w:rsid w:val="00510968"/>
    <w:rsid w:val="00512F55"/>
    <w:rsid w:val="005201EC"/>
    <w:rsid w:val="00521B15"/>
    <w:rsid w:val="0052276F"/>
    <w:rsid w:val="00530848"/>
    <w:rsid w:val="00530C03"/>
    <w:rsid w:val="005313C8"/>
    <w:rsid w:val="00531899"/>
    <w:rsid w:val="00532336"/>
    <w:rsid w:val="0054057F"/>
    <w:rsid w:val="005425AD"/>
    <w:rsid w:val="00545E35"/>
    <w:rsid w:val="00547CF2"/>
    <w:rsid w:val="005558CE"/>
    <w:rsid w:val="00555C54"/>
    <w:rsid w:val="005618AD"/>
    <w:rsid w:val="00561D56"/>
    <w:rsid w:val="0056218E"/>
    <w:rsid w:val="005640BE"/>
    <w:rsid w:val="0056649D"/>
    <w:rsid w:val="005678AD"/>
    <w:rsid w:val="00570250"/>
    <w:rsid w:val="005724A8"/>
    <w:rsid w:val="00574BB7"/>
    <w:rsid w:val="00577062"/>
    <w:rsid w:val="00582E6F"/>
    <w:rsid w:val="00586065"/>
    <w:rsid w:val="00586139"/>
    <w:rsid w:val="00587BF9"/>
    <w:rsid w:val="0059071D"/>
    <w:rsid w:val="00592CA8"/>
    <w:rsid w:val="00593AD0"/>
    <w:rsid w:val="00596419"/>
    <w:rsid w:val="005A4FD2"/>
    <w:rsid w:val="005A4FF4"/>
    <w:rsid w:val="005A5399"/>
    <w:rsid w:val="005A5FCF"/>
    <w:rsid w:val="005A64D1"/>
    <w:rsid w:val="005A6C6E"/>
    <w:rsid w:val="005C1C97"/>
    <w:rsid w:val="005C518A"/>
    <w:rsid w:val="005C69C2"/>
    <w:rsid w:val="005D0C1C"/>
    <w:rsid w:val="005D1233"/>
    <w:rsid w:val="005D20F7"/>
    <w:rsid w:val="005D5D28"/>
    <w:rsid w:val="005D797F"/>
    <w:rsid w:val="005E5D7F"/>
    <w:rsid w:val="005F0F43"/>
    <w:rsid w:val="005F2C96"/>
    <w:rsid w:val="005F32BF"/>
    <w:rsid w:val="005F3F51"/>
    <w:rsid w:val="005F52E5"/>
    <w:rsid w:val="005F5455"/>
    <w:rsid w:val="005F6005"/>
    <w:rsid w:val="005F73F8"/>
    <w:rsid w:val="005F7F8D"/>
    <w:rsid w:val="00612EE5"/>
    <w:rsid w:val="006145F4"/>
    <w:rsid w:val="00614845"/>
    <w:rsid w:val="0061591B"/>
    <w:rsid w:val="00617897"/>
    <w:rsid w:val="00621E00"/>
    <w:rsid w:val="0062658F"/>
    <w:rsid w:val="0063094C"/>
    <w:rsid w:val="00630FF5"/>
    <w:rsid w:val="0063166A"/>
    <w:rsid w:val="00631DCC"/>
    <w:rsid w:val="00633283"/>
    <w:rsid w:val="00633526"/>
    <w:rsid w:val="006339D2"/>
    <w:rsid w:val="00633BD8"/>
    <w:rsid w:val="00635C65"/>
    <w:rsid w:val="00636568"/>
    <w:rsid w:val="00636FAD"/>
    <w:rsid w:val="0063716F"/>
    <w:rsid w:val="00641BAC"/>
    <w:rsid w:val="0064568F"/>
    <w:rsid w:val="00651A31"/>
    <w:rsid w:val="006524DF"/>
    <w:rsid w:val="006526DD"/>
    <w:rsid w:val="00653BFC"/>
    <w:rsid w:val="00654E1B"/>
    <w:rsid w:val="00657E69"/>
    <w:rsid w:val="006610F3"/>
    <w:rsid w:val="006640B1"/>
    <w:rsid w:val="00670B8A"/>
    <w:rsid w:val="00672D0B"/>
    <w:rsid w:val="00680318"/>
    <w:rsid w:val="00690E9E"/>
    <w:rsid w:val="00694DA6"/>
    <w:rsid w:val="006956B1"/>
    <w:rsid w:val="00696772"/>
    <w:rsid w:val="006972A8"/>
    <w:rsid w:val="006A16F2"/>
    <w:rsid w:val="006A1E51"/>
    <w:rsid w:val="006A3850"/>
    <w:rsid w:val="006A3E70"/>
    <w:rsid w:val="006A4474"/>
    <w:rsid w:val="006A5CD0"/>
    <w:rsid w:val="006A6324"/>
    <w:rsid w:val="006A74FA"/>
    <w:rsid w:val="006B25EA"/>
    <w:rsid w:val="006B59DA"/>
    <w:rsid w:val="006C1FEF"/>
    <w:rsid w:val="006C2529"/>
    <w:rsid w:val="006C262C"/>
    <w:rsid w:val="006C2AA2"/>
    <w:rsid w:val="006C311B"/>
    <w:rsid w:val="006C3ADD"/>
    <w:rsid w:val="006C626D"/>
    <w:rsid w:val="006C688B"/>
    <w:rsid w:val="006C7CAB"/>
    <w:rsid w:val="006D1055"/>
    <w:rsid w:val="006D138F"/>
    <w:rsid w:val="006D2201"/>
    <w:rsid w:val="006D2C26"/>
    <w:rsid w:val="006D4D54"/>
    <w:rsid w:val="006D51E9"/>
    <w:rsid w:val="006D7C98"/>
    <w:rsid w:val="006E3C17"/>
    <w:rsid w:val="006F3101"/>
    <w:rsid w:val="006F3B05"/>
    <w:rsid w:val="006F4578"/>
    <w:rsid w:val="006F4F7B"/>
    <w:rsid w:val="006F51DB"/>
    <w:rsid w:val="006F5663"/>
    <w:rsid w:val="00700C86"/>
    <w:rsid w:val="0070315A"/>
    <w:rsid w:val="00705069"/>
    <w:rsid w:val="00706F35"/>
    <w:rsid w:val="00710E5B"/>
    <w:rsid w:val="00711185"/>
    <w:rsid w:val="00717BD9"/>
    <w:rsid w:val="00720512"/>
    <w:rsid w:val="0072239A"/>
    <w:rsid w:val="00723324"/>
    <w:rsid w:val="00727384"/>
    <w:rsid w:val="0072770D"/>
    <w:rsid w:val="00727BF9"/>
    <w:rsid w:val="007347D2"/>
    <w:rsid w:val="0073782B"/>
    <w:rsid w:val="00737F30"/>
    <w:rsid w:val="00741028"/>
    <w:rsid w:val="00741899"/>
    <w:rsid w:val="007427D0"/>
    <w:rsid w:val="007452FD"/>
    <w:rsid w:val="00745A8B"/>
    <w:rsid w:val="0075707E"/>
    <w:rsid w:val="00762100"/>
    <w:rsid w:val="007633C7"/>
    <w:rsid w:val="00767151"/>
    <w:rsid w:val="00771911"/>
    <w:rsid w:val="00777EE4"/>
    <w:rsid w:val="00780211"/>
    <w:rsid w:val="00780F26"/>
    <w:rsid w:val="00784063"/>
    <w:rsid w:val="007850C2"/>
    <w:rsid w:val="00790D8C"/>
    <w:rsid w:val="00792AD8"/>
    <w:rsid w:val="00795216"/>
    <w:rsid w:val="007957C1"/>
    <w:rsid w:val="00795C96"/>
    <w:rsid w:val="00795D62"/>
    <w:rsid w:val="00796060"/>
    <w:rsid w:val="007977FD"/>
    <w:rsid w:val="007A2472"/>
    <w:rsid w:val="007A39CA"/>
    <w:rsid w:val="007A6999"/>
    <w:rsid w:val="007B0149"/>
    <w:rsid w:val="007B7F03"/>
    <w:rsid w:val="007C22B5"/>
    <w:rsid w:val="007C24E4"/>
    <w:rsid w:val="007C3A4C"/>
    <w:rsid w:val="007C3AC3"/>
    <w:rsid w:val="007C4845"/>
    <w:rsid w:val="007C4B1A"/>
    <w:rsid w:val="007C645D"/>
    <w:rsid w:val="007C73E0"/>
    <w:rsid w:val="007C7442"/>
    <w:rsid w:val="007D006D"/>
    <w:rsid w:val="007D02FC"/>
    <w:rsid w:val="007E0B14"/>
    <w:rsid w:val="007E1A02"/>
    <w:rsid w:val="007E59A3"/>
    <w:rsid w:val="007E69A8"/>
    <w:rsid w:val="007F0C66"/>
    <w:rsid w:val="007F1132"/>
    <w:rsid w:val="007F20D6"/>
    <w:rsid w:val="007F273E"/>
    <w:rsid w:val="007F39C2"/>
    <w:rsid w:val="007F456B"/>
    <w:rsid w:val="007F496E"/>
    <w:rsid w:val="007F6338"/>
    <w:rsid w:val="00801B1E"/>
    <w:rsid w:val="00803071"/>
    <w:rsid w:val="00804643"/>
    <w:rsid w:val="00811442"/>
    <w:rsid w:val="00816AF8"/>
    <w:rsid w:val="0082405B"/>
    <w:rsid w:val="00824934"/>
    <w:rsid w:val="00826057"/>
    <w:rsid w:val="0082776C"/>
    <w:rsid w:val="00833931"/>
    <w:rsid w:val="0083471E"/>
    <w:rsid w:val="00840136"/>
    <w:rsid w:val="008408F9"/>
    <w:rsid w:val="00845A11"/>
    <w:rsid w:val="00846792"/>
    <w:rsid w:val="008512F7"/>
    <w:rsid w:val="00851F6C"/>
    <w:rsid w:val="00853011"/>
    <w:rsid w:val="00853734"/>
    <w:rsid w:val="008541AF"/>
    <w:rsid w:val="00855B2F"/>
    <w:rsid w:val="00860C60"/>
    <w:rsid w:val="00861BB1"/>
    <w:rsid w:val="00862B46"/>
    <w:rsid w:val="00862DE0"/>
    <w:rsid w:val="008633ED"/>
    <w:rsid w:val="008637EA"/>
    <w:rsid w:val="00864071"/>
    <w:rsid w:val="00864BEF"/>
    <w:rsid w:val="00864DCF"/>
    <w:rsid w:val="0086513D"/>
    <w:rsid w:val="0086544C"/>
    <w:rsid w:val="008667CA"/>
    <w:rsid w:val="00870116"/>
    <w:rsid w:val="008704CB"/>
    <w:rsid w:val="008736AE"/>
    <w:rsid w:val="00876D96"/>
    <w:rsid w:val="00882144"/>
    <w:rsid w:val="00882B4E"/>
    <w:rsid w:val="00884643"/>
    <w:rsid w:val="00891721"/>
    <w:rsid w:val="00893FEF"/>
    <w:rsid w:val="00895094"/>
    <w:rsid w:val="008A149F"/>
    <w:rsid w:val="008A3204"/>
    <w:rsid w:val="008A4806"/>
    <w:rsid w:val="008A6BE3"/>
    <w:rsid w:val="008B16CF"/>
    <w:rsid w:val="008B22DD"/>
    <w:rsid w:val="008B41CF"/>
    <w:rsid w:val="008B479F"/>
    <w:rsid w:val="008B4DDB"/>
    <w:rsid w:val="008B5C09"/>
    <w:rsid w:val="008B7213"/>
    <w:rsid w:val="008C2B3B"/>
    <w:rsid w:val="008C2EE2"/>
    <w:rsid w:val="008C3F25"/>
    <w:rsid w:val="008C54BD"/>
    <w:rsid w:val="008D05B5"/>
    <w:rsid w:val="008D225C"/>
    <w:rsid w:val="008D48C1"/>
    <w:rsid w:val="008D74DF"/>
    <w:rsid w:val="008E000D"/>
    <w:rsid w:val="008E009A"/>
    <w:rsid w:val="008E1505"/>
    <w:rsid w:val="008E35F6"/>
    <w:rsid w:val="008E36BE"/>
    <w:rsid w:val="008E6CAC"/>
    <w:rsid w:val="008F229D"/>
    <w:rsid w:val="008F52E8"/>
    <w:rsid w:val="008F5AB9"/>
    <w:rsid w:val="008F5DAA"/>
    <w:rsid w:val="009000D2"/>
    <w:rsid w:val="00917E17"/>
    <w:rsid w:val="009224F7"/>
    <w:rsid w:val="00922A6E"/>
    <w:rsid w:val="00930794"/>
    <w:rsid w:val="00934696"/>
    <w:rsid w:val="009348A8"/>
    <w:rsid w:val="00934F06"/>
    <w:rsid w:val="00935539"/>
    <w:rsid w:val="00940945"/>
    <w:rsid w:val="009411AC"/>
    <w:rsid w:val="00944033"/>
    <w:rsid w:val="00944121"/>
    <w:rsid w:val="0094640B"/>
    <w:rsid w:val="00951774"/>
    <w:rsid w:val="009528AD"/>
    <w:rsid w:val="00952D74"/>
    <w:rsid w:val="009542C4"/>
    <w:rsid w:val="00954E74"/>
    <w:rsid w:val="00956C87"/>
    <w:rsid w:val="00962404"/>
    <w:rsid w:val="009646A9"/>
    <w:rsid w:val="00964E73"/>
    <w:rsid w:val="009666B7"/>
    <w:rsid w:val="0096672F"/>
    <w:rsid w:val="009715E6"/>
    <w:rsid w:val="009718C0"/>
    <w:rsid w:val="00973C8A"/>
    <w:rsid w:val="0097472E"/>
    <w:rsid w:val="00975AFF"/>
    <w:rsid w:val="00976A0E"/>
    <w:rsid w:val="009773B0"/>
    <w:rsid w:val="00977B14"/>
    <w:rsid w:val="00981B9D"/>
    <w:rsid w:val="00983322"/>
    <w:rsid w:val="00984090"/>
    <w:rsid w:val="00990154"/>
    <w:rsid w:val="009924B7"/>
    <w:rsid w:val="00993C9D"/>
    <w:rsid w:val="0099535F"/>
    <w:rsid w:val="00996831"/>
    <w:rsid w:val="009A52F6"/>
    <w:rsid w:val="009A5847"/>
    <w:rsid w:val="009A629E"/>
    <w:rsid w:val="009B0F31"/>
    <w:rsid w:val="009B24B1"/>
    <w:rsid w:val="009B34B9"/>
    <w:rsid w:val="009B5956"/>
    <w:rsid w:val="009B66D9"/>
    <w:rsid w:val="009B721B"/>
    <w:rsid w:val="009C0A13"/>
    <w:rsid w:val="009C1F0D"/>
    <w:rsid w:val="009C2F99"/>
    <w:rsid w:val="009C4AC8"/>
    <w:rsid w:val="009C4C08"/>
    <w:rsid w:val="009C4EF7"/>
    <w:rsid w:val="009C750A"/>
    <w:rsid w:val="009D11A8"/>
    <w:rsid w:val="009D1AC9"/>
    <w:rsid w:val="009D35C4"/>
    <w:rsid w:val="009D420A"/>
    <w:rsid w:val="009E092C"/>
    <w:rsid w:val="009E1FBB"/>
    <w:rsid w:val="009E4AC9"/>
    <w:rsid w:val="009E5822"/>
    <w:rsid w:val="009F01B2"/>
    <w:rsid w:val="009F2B66"/>
    <w:rsid w:val="009F3FB8"/>
    <w:rsid w:val="009F6E69"/>
    <w:rsid w:val="009F7CD0"/>
    <w:rsid w:val="00A033B0"/>
    <w:rsid w:val="00A037E4"/>
    <w:rsid w:val="00A04F34"/>
    <w:rsid w:val="00A06024"/>
    <w:rsid w:val="00A065FD"/>
    <w:rsid w:val="00A06F20"/>
    <w:rsid w:val="00A10319"/>
    <w:rsid w:val="00A10C07"/>
    <w:rsid w:val="00A13698"/>
    <w:rsid w:val="00A13BDD"/>
    <w:rsid w:val="00A14AD4"/>
    <w:rsid w:val="00A17C2D"/>
    <w:rsid w:val="00A17E2B"/>
    <w:rsid w:val="00A243D7"/>
    <w:rsid w:val="00A27EC7"/>
    <w:rsid w:val="00A32091"/>
    <w:rsid w:val="00A3346A"/>
    <w:rsid w:val="00A361F1"/>
    <w:rsid w:val="00A36388"/>
    <w:rsid w:val="00A437FD"/>
    <w:rsid w:val="00A43DE5"/>
    <w:rsid w:val="00A44324"/>
    <w:rsid w:val="00A44D05"/>
    <w:rsid w:val="00A44EC9"/>
    <w:rsid w:val="00A45094"/>
    <w:rsid w:val="00A47A6C"/>
    <w:rsid w:val="00A5305A"/>
    <w:rsid w:val="00A547A2"/>
    <w:rsid w:val="00A55596"/>
    <w:rsid w:val="00A57BD2"/>
    <w:rsid w:val="00A60D22"/>
    <w:rsid w:val="00A62765"/>
    <w:rsid w:val="00A628EC"/>
    <w:rsid w:val="00A6398B"/>
    <w:rsid w:val="00A650D2"/>
    <w:rsid w:val="00A666D6"/>
    <w:rsid w:val="00A66F97"/>
    <w:rsid w:val="00A71A46"/>
    <w:rsid w:val="00A73091"/>
    <w:rsid w:val="00A763C7"/>
    <w:rsid w:val="00A77B86"/>
    <w:rsid w:val="00A82B69"/>
    <w:rsid w:val="00A82D42"/>
    <w:rsid w:val="00A85871"/>
    <w:rsid w:val="00A900FA"/>
    <w:rsid w:val="00A91D0A"/>
    <w:rsid w:val="00A9382B"/>
    <w:rsid w:val="00A94EA0"/>
    <w:rsid w:val="00A95616"/>
    <w:rsid w:val="00A97377"/>
    <w:rsid w:val="00A97C36"/>
    <w:rsid w:val="00AA43EE"/>
    <w:rsid w:val="00AA563F"/>
    <w:rsid w:val="00AA6C2F"/>
    <w:rsid w:val="00AA7FFC"/>
    <w:rsid w:val="00AB4B05"/>
    <w:rsid w:val="00AB5BD0"/>
    <w:rsid w:val="00AB7D0A"/>
    <w:rsid w:val="00AC228E"/>
    <w:rsid w:val="00AC3D73"/>
    <w:rsid w:val="00AC4B7F"/>
    <w:rsid w:val="00AC5B15"/>
    <w:rsid w:val="00AD00D1"/>
    <w:rsid w:val="00AD03D5"/>
    <w:rsid w:val="00AD1F10"/>
    <w:rsid w:val="00AD332C"/>
    <w:rsid w:val="00AD3F9A"/>
    <w:rsid w:val="00AD4266"/>
    <w:rsid w:val="00AD5B03"/>
    <w:rsid w:val="00AD5C53"/>
    <w:rsid w:val="00AD5CD7"/>
    <w:rsid w:val="00AD7C3C"/>
    <w:rsid w:val="00AE0BA3"/>
    <w:rsid w:val="00AE5339"/>
    <w:rsid w:val="00AF133B"/>
    <w:rsid w:val="00AF1CB6"/>
    <w:rsid w:val="00AF2617"/>
    <w:rsid w:val="00AF71EC"/>
    <w:rsid w:val="00B01386"/>
    <w:rsid w:val="00B0364D"/>
    <w:rsid w:val="00B1158D"/>
    <w:rsid w:val="00B139A4"/>
    <w:rsid w:val="00B14EA3"/>
    <w:rsid w:val="00B16D82"/>
    <w:rsid w:val="00B17893"/>
    <w:rsid w:val="00B2017B"/>
    <w:rsid w:val="00B20A98"/>
    <w:rsid w:val="00B21DF0"/>
    <w:rsid w:val="00B24B05"/>
    <w:rsid w:val="00B25487"/>
    <w:rsid w:val="00B25A32"/>
    <w:rsid w:val="00B32A75"/>
    <w:rsid w:val="00B32B7F"/>
    <w:rsid w:val="00B37900"/>
    <w:rsid w:val="00B459BF"/>
    <w:rsid w:val="00B526D0"/>
    <w:rsid w:val="00B54986"/>
    <w:rsid w:val="00B565A5"/>
    <w:rsid w:val="00B5761D"/>
    <w:rsid w:val="00B61560"/>
    <w:rsid w:val="00B62ED1"/>
    <w:rsid w:val="00B652A5"/>
    <w:rsid w:val="00B72855"/>
    <w:rsid w:val="00B747EB"/>
    <w:rsid w:val="00B75A95"/>
    <w:rsid w:val="00B768EF"/>
    <w:rsid w:val="00B82BFC"/>
    <w:rsid w:val="00B85A12"/>
    <w:rsid w:val="00B90F80"/>
    <w:rsid w:val="00B96FAA"/>
    <w:rsid w:val="00BA11DA"/>
    <w:rsid w:val="00BA27AF"/>
    <w:rsid w:val="00BA3471"/>
    <w:rsid w:val="00BA404B"/>
    <w:rsid w:val="00BA6182"/>
    <w:rsid w:val="00BB1EF5"/>
    <w:rsid w:val="00BB3098"/>
    <w:rsid w:val="00BB47CD"/>
    <w:rsid w:val="00BB5154"/>
    <w:rsid w:val="00BB58F4"/>
    <w:rsid w:val="00BC2427"/>
    <w:rsid w:val="00BC7D8F"/>
    <w:rsid w:val="00BD1DF4"/>
    <w:rsid w:val="00BD608E"/>
    <w:rsid w:val="00BE4211"/>
    <w:rsid w:val="00BE6F9A"/>
    <w:rsid w:val="00BF05E6"/>
    <w:rsid w:val="00BF0C73"/>
    <w:rsid w:val="00BF24FF"/>
    <w:rsid w:val="00BF5774"/>
    <w:rsid w:val="00BF6839"/>
    <w:rsid w:val="00BF7906"/>
    <w:rsid w:val="00C03074"/>
    <w:rsid w:val="00C05A50"/>
    <w:rsid w:val="00C067BE"/>
    <w:rsid w:val="00C1203E"/>
    <w:rsid w:val="00C12AD0"/>
    <w:rsid w:val="00C12C3D"/>
    <w:rsid w:val="00C1474B"/>
    <w:rsid w:val="00C15BE2"/>
    <w:rsid w:val="00C16A2B"/>
    <w:rsid w:val="00C206BB"/>
    <w:rsid w:val="00C22CDE"/>
    <w:rsid w:val="00C30DA6"/>
    <w:rsid w:val="00C35316"/>
    <w:rsid w:val="00C40917"/>
    <w:rsid w:val="00C41CCE"/>
    <w:rsid w:val="00C42F0F"/>
    <w:rsid w:val="00C434A6"/>
    <w:rsid w:val="00C447FC"/>
    <w:rsid w:val="00C45490"/>
    <w:rsid w:val="00C462D9"/>
    <w:rsid w:val="00C46D47"/>
    <w:rsid w:val="00C47C39"/>
    <w:rsid w:val="00C525BD"/>
    <w:rsid w:val="00C529B7"/>
    <w:rsid w:val="00C53305"/>
    <w:rsid w:val="00C541A1"/>
    <w:rsid w:val="00C57E87"/>
    <w:rsid w:val="00C57FAE"/>
    <w:rsid w:val="00C65C4B"/>
    <w:rsid w:val="00C67415"/>
    <w:rsid w:val="00C67CE4"/>
    <w:rsid w:val="00C67FF5"/>
    <w:rsid w:val="00C70453"/>
    <w:rsid w:val="00C81DEB"/>
    <w:rsid w:val="00C81F2A"/>
    <w:rsid w:val="00C8429C"/>
    <w:rsid w:val="00C84DE6"/>
    <w:rsid w:val="00C858C4"/>
    <w:rsid w:val="00C8602D"/>
    <w:rsid w:val="00C8639D"/>
    <w:rsid w:val="00C87694"/>
    <w:rsid w:val="00C90E76"/>
    <w:rsid w:val="00C95176"/>
    <w:rsid w:val="00CA013C"/>
    <w:rsid w:val="00CA23D6"/>
    <w:rsid w:val="00CB00F6"/>
    <w:rsid w:val="00CB6173"/>
    <w:rsid w:val="00CC15D9"/>
    <w:rsid w:val="00CC3B07"/>
    <w:rsid w:val="00CC55DC"/>
    <w:rsid w:val="00CC6425"/>
    <w:rsid w:val="00CD450C"/>
    <w:rsid w:val="00CD4B0A"/>
    <w:rsid w:val="00CD522F"/>
    <w:rsid w:val="00CD6630"/>
    <w:rsid w:val="00CD68C5"/>
    <w:rsid w:val="00CD745A"/>
    <w:rsid w:val="00CE11D5"/>
    <w:rsid w:val="00CE19F1"/>
    <w:rsid w:val="00CE36F9"/>
    <w:rsid w:val="00CE3C83"/>
    <w:rsid w:val="00CE74A3"/>
    <w:rsid w:val="00CF0412"/>
    <w:rsid w:val="00CF06D8"/>
    <w:rsid w:val="00CF0E6E"/>
    <w:rsid w:val="00CF23B5"/>
    <w:rsid w:val="00CF537C"/>
    <w:rsid w:val="00D04553"/>
    <w:rsid w:val="00D0485F"/>
    <w:rsid w:val="00D06380"/>
    <w:rsid w:val="00D12B1A"/>
    <w:rsid w:val="00D20E5E"/>
    <w:rsid w:val="00D210EC"/>
    <w:rsid w:val="00D25098"/>
    <w:rsid w:val="00D26A8F"/>
    <w:rsid w:val="00D26D3E"/>
    <w:rsid w:val="00D27DB1"/>
    <w:rsid w:val="00D310E3"/>
    <w:rsid w:val="00D31791"/>
    <w:rsid w:val="00D33130"/>
    <w:rsid w:val="00D35238"/>
    <w:rsid w:val="00D353C5"/>
    <w:rsid w:val="00D4304C"/>
    <w:rsid w:val="00D438AE"/>
    <w:rsid w:val="00D43FE6"/>
    <w:rsid w:val="00D4552C"/>
    <w:rsid w:val="00D466DB"/>
    <w:rsid w:val="00D47AA6"/>
    <w:rsid w:val="00D501C1"/>
    <w:rsid w:val="00D51DA8"/>
    <w:rsid w:val="00D567C8"/>
    <w:rsid w:val="00D56988"/>
    <w:rsid w:val="00D6457E"/>
    <w:rsid w:val="00D707EE"/>
    <w:rsid w:val="00D70B04"/>
    <w:rsid w:val="00D7310F"/>
    <w:rsid w:val="00D7759D"/>
    <w:rsid w:val="00D81A9A"/>
    <w:rsid w:val="00D824C6"/>
    <w:rsid w:val="00D837B4"/>
    <w:rsid w:val="00D85CCA"/>
    <w:rsid w:val="00D950F7"/>
    <w:rsid w:val="00D95C72"/>
    <w:rsid w:val="00D97174"/>
    <w:rsid w:val="00DA0725"/>
    <w:rsid w:val="00DA2315"/>
    <w:rsid w:val="00DA2662"/>
    <w:rsid w:val="00DA6418"/>
    <w:rsid w:val="00DB172E"/>
    <w:rsid w:val="00DB2CC2"/>
    <w:rsid w:val="00DB2E84"/>
    <w:rsid w:val="00DB4241"/>
    <w:rsid w:val="00DB5A90"/>
    <w:rsid w:val="00DB7616"/>
    <w:rsid w:val="00DC5B38"/>
    <w:rsid w:val="00DC6222"/>
    <w:rsid w:val="00DC7006"/>
    <w:rsid w:val="00DD0F78"/>
    <w:rsid w:val="00DD3248"/>
    <w:rsid w:val="00DD4C95"/>
    <w:rsid w:val="00DD5CC6"/>
    <w:rsid w:val="00DE013C"/>
    <w:rsid w:val="00DE11EE"/>
    <w:rsid w:val="00DE1E6F"/>
    <w:rsid w:val="00DE35CF"/>
    <w:rsid w:val="00DE5580"/>
    <w:rsid w:val="00DE5AA4"/>
    <w:rsid w:val="00DE7EBE"/>
    <w:rsid w:val="00DF0B64"/>
    <w:rsid w:val="00DF198E"/>
    <w:rsid w:val="00DF1EE7"/>
    <w:rsid w:val="00DF2544"/>
    <w:rsid w:val="00DF418C"/>
    <w:rsid w:val="00DF6B09"/>
    <w:rsid w:val="00DF7F5D"/>
    <w:rsid w:val="00E0123F"/>
    <w:rsid w:val="00E03801"/>
    <w:rsid w:val="00E03E89"/>
    <w:rsid w:val="00E04691"/>
    <w:rsid w:val="00E07B26"/>
    <w:rsid w:val="00E07D65"/>
    <w:rsid w:val="00E1276C"/>
    <w:rsid w:val="00E13A91"/>
    <w:rsid w:val="00E14191"/>
    <w:rsid w:val="00E16860"/>
    <w:rsid w:val="00E17EEE"/>
    <w:rsid w:val="00E20E21"/>
    <w:rsid w:val="00E23701"/>
    <w:rsid w:val="00E24633"/>
    <w:rsid w:val="00E25E9B"/>
    <w:rsid w:val="00E263C5"/>
    <w:rsid w:val="00E270E3"/>
    <w:rsid w:val="00E2734B"/>
    <w:rsid w:val="00E27FE8"/>
    <w:rsid w:val="00E35B76"/>
    <w:rsid w:val="00E36387"/>
    <w:rsid w:val="00E36AB8"/>
    <w:rsid w:val="00E447FE"/>
    <w:rsid w:val="00E4623C"/>
    <w:rsid w:val="00E52249"/>
    <w:rsid w:val="00E53650"/>
    <w:rsid w:val="00E53853"/>
    <w:rsid w:val="00E56E47"/>
    <w:rsid w:val="00E639E8"/>
    <w:rsid w:val="00E6698F"/>
    <w:rsid w:val="00E6779D"/>
    <w:rsid w:val="00E700F3"/>
    <w:rsid w:val="00E76F64"/>
    <w:rsid w:val="00E819D6"/>
    <w:rsid w:val="00E831FC"/>
    <w:rsid w:val="00E833CB"/>
    <w:rsid w:val="00E83EEA"/>
    <w:rsid w:val="00E85ABD"/>
    <w:rsid w:val="00E868BB"/>
    <w:rsid w:val="00E9735E"/>
    <w:rsid w:val="00EA0E60"/>
    <w:rsid w:val="00EA1B98"/>
    <w:rsid w:val="00EA553F"/>
    <w:rsid w:val="00EA6EFB"/>
    <w:rsid w:val="00EA7988"/>
    <w:rsid w:val="00EA7A19"/>
    <w:rsid w:val="00EB0A3A"/>
    <w:rsid w:val="00EB2E67"/>
    <w:rsid w:val="00EC0449"/>
    <w:rsid w:val="00EC06EF"/>
    <w:rsid w:val="00EC17E4"/>
    <w:rsid w:val="00EC3955"/>
    <w:rsid w:val="00EC7D85"/>
    <w:rsid w:val="00ED52AE"/>
    <w:rsid w:val="00EE0119"/>
    <w:rsid w:val="00EE1518"/>
    <w:rsid w:val="00EE2F8E"/>
    <w:rsid w:val="00EE3F6E"/>
    <w:rsid w:val="00EE58E4"/>
    <w:rsid w:val="00F07FF2"/>
    <w:rsid w:val="00F10C96"/>
    <w:rsid w:val="00F11980"/>
    <w:rsid w:val="00F124F8"/>
    <w:rsid w:val="00F15AE2"/>
    <w:rsid w:val="00F22895"/>
    <w:rsid w:val="00F23BDE"/>
    <w:rsid w:val="00F24A65"/>
    <w:rsid w:val="00F25041"/>
    <w:rsid w:val="00F27503"/>
    <w:rsid w:val="00F27776"/>
    <w:rsid w:val="00F27BB2"/>
    <w:rsid w:val="00F30291"/>
    <w:rsid w:val="00F328F5"/>
    <w:rsid w:val="00F34378"/>
    <w:rsid w:val="00F36568"/>
    <w:rsid w:val="00F36740"/>
    <w:rsid w:val="00F37014"/>
    <w:rsid w:val="00F414CB"/>
    <w:rsid w:val="00F4196D"/>
    <w:rsid w:val="00F41EE7"/>
    <w:rsid w:val="00F50B3C"/>
    <w:rsid w:val="00F524A3"/>
    <w:rsid w:val="00F55B4C"/>
    <w:rsid w:val="00F568D0"/>
    <w:rsid w:val="00F57FF3"/>
    <w:rsid w:val="00F65AD7"/>
    <w:rsid w:val="00F67362"/>
    <w:rsid w:val="00F6761E"/>
    <w:rsid w:val="00F67DA2"/>
    <w:rsid w:val="00F67E14"/>
    <w:rsid w:val="00F71BE1"/>
    <w:rsid w:val="00F7224F"/>
    <w:rsid w:val="00F7525F"/>
    <w:rsid w:val="00F75327"/>
    <w:rsid w:val="00F779FB"/>
    <w:rsid w:val="00F81079"/>
    <w:rsid w:val="00F81231"/>
    <w:rsid w:val="00F82B9B"/>
    <w:rsid w:val="00F82D20"/>
    <w:rsid w:val="00F82E9C"/>
    <w:rsid w:val="00F84896"/>
    <w:rsid w:val="00F84E30"/>
    <w:rsid w:val="00F87B4F"/>
    <w:rsid w:val="00F9000B"/>
    <w:rsid w:val="00F907DD"/>
    <w:rsid w:val="00F916B4"/>
    <w:rsid w:val="00FA1666"/>
    <w:rsid w:val="00FA1F86"/>
    <w:rsid w:val="00FA488A"/>
    <w:rsid w:val="00FA76E6"/>
    <w:rsid w:val="00FB0905"/>
    <w:rsid w:val="00FB09D9"/>
    <w:rsid w:val="00FB1F9B"/>
    <w:rsid w:val="00FB3F49"/>
    <w:rsid w:val="00FC1290"/>
    <w:rsid w:val="00FC1F1E"/>
    <w:rsid w:val="00FD0474"/>
    <w:rsid w:val="00FD2023"/>
    <w:rsid w:val="00FD2AF4"/>
    <w:rsid w:val="00FD5156"/>
    <w:rsid w:val="00FD7258"/>
    <w:rsid w:val="00FE1C01"/>
    <w:rsid w:val="00FE367D"/>
    <w:rsid w:val="00FE62CE"/>
    <w:rsid w:val="00FF43EB"/>
    <w:rsid w:val="00FF47E5"/>
    <w:rsid w:val="00FF5CFE"/>
    <w:rsid w:val="02987C77"/>
    <w:rsid w:val="05FD1FD3"/>
    <w:rsid w:val="063D3700"/>
    <w:rsid w:val="07725D6D"/>
    <w:rsid w:val="08925BAB"/>
    <w:rsid w:val="0902574C"/>
    <w:rsid w:val="09C676BC"/>
    <w:rsid w:val="0A4F1400"/>
    <w:rsid w:val="0B706678"/>
    <w:rsid w:val="0D781D2E"/>
    <w:rsid w:val="0FB026A0"/>
    <w:rsid w:val="119675CC"/>
    <w:rsid w:val="12217B86"/>
    <w:rsid w:val="134F35CA"/>
    <w:rsid w:val="139F2D48"/>
    <w:rsid w:val="13F76DF0"/>
    <w:rsid w:val="15C90318"/>
    <w:rsid w:val="183028D1"/>
    <w:rsid w:val="1CB57BE8"/>
    <w:rsid w:val="1D872F6C"/>
    <w:rsid w:val="24194B61"/>
    <w:rsid w:val="27906250"/>
    <w:rsid w:val="280C3283"/>
    <w:rsid w:val="287A459F"/>
    <w:rsid w:val="28A265F3"/>
    <w:rsid w:val="299D30E4"/>
    <w:rsid w:val="2B5E4526"/>
    <w:rsid w:val="2B787D81"/>
    <w:rsid w:val="2BB5266F"/>
    <w:rsid w:val="2C113E7C"/>
    <w:rsid w:val="2CED0985"/>
    <w:rsid w:val="2DF36081"/>
    <w:rsid w:val="2EC14EC9"/>
    <w:rsid w:val="30D73A31"/>
    <w:rsid w:val="31943209"/>
    <w:rsid w:val="32A6694D"/>
    <w:rsid w:val="35E43FB4"/>
    <w:rsid w:val="374F1102"/>
    <w:rsid w:val="380501F4"/>
    <w:rsid w:val="38805901"/>
    <w:rsid w:val="3B684D29"/>
    <w:rsid w:val="3B9F3FE1"/>
    <w:rsid w:val="3D2D286B"/>
    <w:rsid w:val="3DFB6A04"/>
    <w:rsid w:val="3E9575BE"/>
    <w:rsid w:val="3EB36EAF"/>
    <w:rsid w:val="3ED23BF8"/>
    <w:rsid w:val="3F311945"/>
    <w:rsid w:val="3F7D280B"/>
    <w:rsid w:val="3FA46515"/>
    <w:rsid w:val="41797AFA"/>
    <w:rsid w:val="41A15CCF"/>
    <w:rsid w:val="482C45B3"/>
    <w:rsid w:val="49FA3EAF"/>
    <w:rsid w:val="4A574980"/>
    <w:rsid w:val="4EB41C45"/>
    <w:rsid w:val="4F3A5808"/>
    <w:rsid w:val="50132266"/>
    <w:rsid w:val="52411C94"/>
    <w:rsid w:val="53EC182C"/>
    <w:rsid w:val="54CE23E7"/>
    <w:rsid w:val="55A64387"/>
    <w:rsid w:val="569A6DCA"/>
    <w:rsid w:val="57AB70EE"/>
    <w:rsid w:val="587270CA"/>
    <w:rsid w:val="588F48C4"/>
    <w:rsid w:val="63C57E35"/>
    <w:rsid w:val="640F2191"/>
    <w:rsid w:val="64281D22"/>
    <w:rsid w:val="64320E24"/>
    <w:rsid w:val="64B5492C"/>
    <w:rsid w:val="64B97E95"/>
    <w:rsid w:val="65283E55"/>
    <w:rsid w:val="688952EA"/>
    <w:rsid w:val="6BFA785D"/>
    <w:rsid w:val="6CAA5A05"/>
    <w:rsid w:val="6D420A77"/>
    <w:rsid w:val="6D850E3D"/>
    <w:rsid w:val="6EA4063A"/>
    <w:rsid w:val="711B595E"/>
    <w:rsid w:val="715C2AFE"/>
    <w:rsid w:val="71F6680B"/>
    <w:rsid w:val="72AC7F1B"/>
    <w:rsid w:val="7349060A"/>
    <w:rsid w:val="73A64525"/>
    <w:rsid w:val="78322CEA"/>
    <w:rsid w:val="7AFC104C"/>
    <w:rsid w:val="7E5C45A3"/>
    <w:rsid w:val="7E6350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C8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973C8A"/>
    <w:pPr>
      <w:keepNext/>
      <w:keepLines/>
      <w:spacing w:before="120" w:after="120" w:line="578" w:lineRule="auto"/>
      <w:outlineLvl w:val="0"/>
    </w:pPr>
    <w:rPr>
      <w:rFonts w:ascii="Times New Roman" w:eastAsia="宋体" w:hAnsi="Times New Roman"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rsid w:val="00973C8A"/>
    <w:pPr>
      <w:jc w:val="left"/>
    </w:pPr>
  </w:style>
  <w:style w:type="paragraph" w:styleId="a4">
    <w:name w:val="Balloon Text"/>
    <w:basedOn w:val="a"/>
    <w:link w:val="Char0"/>
    <w:uiPriority w:val="99"/>
    <w:semiHidden/>
    <w:unhideWhenUsed/>
    <w:qFormat/>
    <w:rsid w:val="00973C8A"/>
    <w:rPr>
      <w:sz w:val="18"/>
      <w:szCs w:val="18"/>
    </w:rPr>
  </w:style>
  <w:style w:type="paragraph" w:styleId="a5">
    <w:name w:val="footer"/>
    <w:basedOn w:val="a"/>
    <w:link w:val="Char1"/>
    <w:uiPriority w:val="99"/>
    <w:unhideWhenUsed/>
    <w:qFormat/>
    <w:rsid w:val="00973C8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73C8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73C8A"/>
    <w:rPr>
      <w:b/>
      <w:bCs/>
    </w:rPr>
  </w:style>
  <w:style w:type="table" w:styleId="a8">
    <w:name w:val="Table Grid"/>
    <w:basedOn w:val="a1"/>
    <w:uiPriority w:val="59"/>
    <w:qFormat/>
    <w:rsid w:val="00973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973C8A"/>
    <w:rPr>
      <w:b/>
      <w:bCs/>
    </w:rPr>
  </w:style>
  <w:style w:type="character" w:styleId="aa">
    <w:name w:val="Hyperlink"/>
    <w:basedOn w:val="a0"/>
    <w:uiPriority w:val="99"/>
    <w:unhideWhenUsed/>
    <w:qFormat/>
    <w:rsid w:val="00973C8A"/>
    <w:rPr>
      <w:color w:val="0000FF" w:themeColor="hyperlink"/>
      <w:u w:val="single"/>
    </w:rPr>
  </w:style>
  <w:style w:type="character" w:styleId="ab">
    <w:name w:val="annotation reference"/>
    <w:basedOn w:val="a0"/>
    <w:uiPriority w:val="99"/>
    <w:semiHidden/>
    <w:unhideWhenUsed/>
    <w:qFormat/>
    <w:rsid w:val="00973C8A"/>
    <w:rPr>
      <w:sz w:val="21"/>
      <w:szCs w:val="21"/>
    </w:rPr>
  </w:style>
  <w:style w:type="character" w:customStyle="1" w:styleId="Char2">
    <w:name w:val="页眉 Char"/>
    <w:basedOn w:val="a0"/>
    <w:link w:val="a6"/>
    <w:uiPriority w:val="99"/>
    <w:qFormat/>
    <w:rsid w:val="00973C8A"/>
    <w:rPr>
      <w:sz w:val="18"/>
      <w:szCs w:val="18"/>
    </w:rPr>
  </w:style>
  <w:style w:type="character" w:customStyle="1" w:styleId="Char1">
    <w:name w:val="页脚 Char"/>
    <w:basedOn w:val="a0"/>
    <w:link w:val="a5"/>
    <w:uiPriority w:val="99"/>
    <w:qFormat/>
    <w:rsid w:val="00973C8A"/>
    <w:rPr>
      <w:sz w:val="18"/>
      <w:szCs w:val="18"/>
    </w:rPr>
  </w:style>
  <w:style w:type="character" w:customStyle="1" w:styleId="Char0">
    <w:name w:val="批注框文本 Char"/>
    <w:basedOn w:val="a0"/>
    <w:link w:val="a4"/>
    <w:uiPriority w:val="99"/>
    <w:semiHidden/>
    <w:qFormat/>
    <w:rsid w:val="00973C8A"/>
    <w:rPr>
      <w:sz w:val="18"/>
      <w:szCs w:val="18"/>
    </w:rPr>
  </w:style>
  <w:style w:type="paragraph" w:styleId="ac">
    <w:name w:val="List Paragraph"/>
    <w:basedOn w:val="a"/>
    <w:uiPriority w:val="34"/>
    <w:qFormat/>
    <w:rsid w:val="00973C8A"/>
    <w:pPr>
      <w:ind w:firstLineChars="200" w:firstLine="420"/>
    </w:pPr>
  </w:style>
  <w:style w:type="character" w:customStyle="1" w:styleId="Char">
    <w:name w:val="批注文字 Char"/>
    <w:basedOn w:val="a0"/>
    <w:link w:val="a3"/>
    <w:semiHidden/>
    <w:qFormat/>
    <w:rsid w:val="00973C8A"/>
  </w:style>
  <w:style w:type="character" w:customStyle="1" w:styleId="Char3">
    <w:name w:val="批注主题 Char"/>
    <w:basedOn w:val="Char"/>
    <w:link w:val="a7"/>
    <w:uiPriority w:val="99"/>
    <w:semiHidden/>
    <w:qFormat/>
    <w:rsid w:val="00973C8A"/>
    <w:rPr>
      <w:rFonts w:asciiTheme="minorHAnsi" w:eastAsiaTheme="minorEastAsia" w:hAnsiTheme="minorHAnsi" w:cstheme="minorBidi"/>
      <w:b/>
      <w:bCs/>
      <w:kern w:val="2"/>
      <w:sz w:val="21"/>
      <w:szCs w:val="22"/>
    </w:rPr>
  </w:style>
  <w:style w:type="character" w:customStyle="1" w:styleId="16">
    <w:name w:val="16"/>
    <w:basedOn w:val="a0"/>
    <w:qFormat/>
    <w:rsid w:val="00973C8A"/>
    <w:rPr>
      <w:rFonts w:ascii="Times New Roman" w:hAnsi="Times New Roman" w:cs="Times New Roman" w:hint="default"/>
      <w:color w:val="0000FF"/>
      <w:u w:val="single"/>
    </w:rPr>
  </w:style>
  <w:style w:type="character" w:customStyle="1" w:styleId="15">
    <w:name w:val="15"/>
    <w:basedOn w:val="a0"/>
    <w:qFormat/>
    <w:rsid w:val="00973C8A"/>
    <w:rPr>
      <w:rFonts w:ascii="Times New Roman" w:hAnsi="Times New Roman" w:cs="Times New Roman" w:hint="default"/>
      <w:color w:val="0000FF"/>
      <w:u w:val="single"/>
    </w:rPr>
  </w:style>
  <w:style w:type="paragraph" w:customStyle="1" w:styleId="10">
    <w:name w:val="正文1"/>
    <w:qFormat/>
    <w:rsid w:val="00973C8A"/>
    <w:pPr>
      <w:jc w:val="both"/>
    </w:pPr>
    <w:rPr>
      <w:kern w:val="2"/>
      <w:sz w:val="21"/>
      <w:szCs w:val="21"/>
    </w:rPr>
  </w:style>
  <w:style w:type="paragraph" w:customStyle="1" w:styleId="11">
    <w:name w:val="修订1"/>
    <w:hidden/>
    <w:uiPriority w:val="99"/>
    <w:unhideWhenUsed/>
    <w:qFormat/>
    <w:rsid w:val="00973C8A"/>
    <w:rPr>
      <w:rFonts w:asciiTheme="minorHAnsi" w:eastAsiaTheme="minorEastAsia" w:hAnsiTheme="minorHAnsi" w:cstheme="minorBidi"/>
      <w:kern w:val="2"/>
      <w:sz w:val="21"/>
      <w:szCs w:val="22"/>
    </w:rPr>
  </w:style>
  <w:style w:type="character" w:customStyle="1" w:styleId="1Char">
    <w:name w:val="标题 1 Char"/>
    <w:basedOn w:val="a0"/>
    <w:link w:val="1"/>
    <w:qFormat/>
    <w:rsid w:val="00973C8A"/>
    <w:rPr>
      <w:b/>
      <w:bCs/>
      <w:kern w:val="44"/>
      <w:sz w:val="28"/>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3A61F-2FEB-4AAA-924F-558A9C68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1408</Words>
  <Characters>8027</Characters>
  <Application>Microsoft Office Word</Application>
  <DocSecurity>4</DocSecurity>
  <Lines>66</Lines>
  <Paragraphs>18</Paragraphs>
  <ScaleCrop>false</ScaleCrop>
  <Company>FreeSkyCD.Cn</Company>
  <LinksUpToDate>false</LinksUpToDate>
  <CharactersWithSpaces>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Skyfree</dc:creator>
  <cp:lastModifiedBy>ZHONGM</cp:lastModifiedBy>
  <cp:revision>2</cp:revision>
  <dcterms:created xsi:type="dcterms:W3CDTF">2025-11-24T16:02:00Z</dcterms:created>
  <dcterms:modified xsi:type="dcterms:W3CDTF">2025-11-24T16:02:00Z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4F6065A8E6144715BCE697E9EC49A386_13</vt:lpwstr>
  </property>
  <property fmtid="{D5CDD505-2E9C-101B-9397-08002B2CF9AE}" pid="4" name="KSOTemplateDocerSaveRecord">
    <vt:lpwstr>eyJoZGlkIjoiODE0OGMzOGUyZTA1OTBmNWYyMjM3MzE3YjUxYzg1NjEiLCJ1c2VySWQiOiI4MTY5MzAzNDcifQ==</vt:lpwstr>
  </property>
</Properties>
</file>