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DB" w:rsidRDefault="00EA6BDB">
      <w:pPr>
        <w:pStyle w:val="Default"/>
      </w:pPr>
    </w:p>
    <w:p w:rsidR="00EA6BDB" w:rsidRDefault="001856F4">
      <w:pPr>
        <w:widowControl/>
        <w:jc w:val="center"/>
        <w:rPr>
          <w:rFonts w:ascii="宋体" w:eastAsia="宋体" w:cs="宋体"/>
          <w:b/>
          <w:color w:val="000000"/>
          <w:kern w:val="0"/>
          <w:sz w:val="28"/>
          <w:szCs w:val="28"/>
        </w:rPr>
      </w:pPr>
      <w:r>
        <w:rPr>
          <w:rFonts w:ascii="宋体" w:eastAsia="宋体" w:cs="宋体"/>
          <w:b/>
          <w:color w:val="000000"/>
          <w:kern w:val="0"/>
          <w:sz w:val="28"/>
          <w:szCs w:val="28"/>
        </w:rPr>
        <w:t xml:space="preserve"> </w:t>
      </w:r>
      <w:r>
        <w:rPr>
          <w:rFonts w:ascii="宋体" w:eastAsia="宋体"/>
          <w:b/>
          <w:color w:val="000000"/>
          <w:sz w:val="28"/>
          <w:szCs w:val="28"/>
        </w:rPr>
        <w:t>中银季季红定期开放债券型证券</w:t>
      </w:r>
      <w:bookmarkStart w:id="0" w:name="_GoBack"/>
      <w:bookmarkEnd w:id="0"/>
      <w:r>
        <w:rPr>
          <w:rFonts w:ascii="宋体" w:eastAsia="宋体"/>
          <w:b/>
          <w:color w:val="000000"/>
          <w:sz w:val="28"/>
          <w:szCs w:val="28"/>
        </w:rPr>
        <w:t>投资基金</w:t>
      </w:r>
      <w:r>
        <w:rPr>
          <w:rFonts w:ascii="宋体" w:eastAsia="宋体" w:cs="宋体" w:hint="eastAsia"/>
          <w:b/>
          <w:color w:val="000000"/>
          <w:kern w:val="0"/>
          <w:sz w:val="28"/>
          <w:szCs w:val="28"/>
        </w:rPr>
        <w:t>开放</w:t>
      </w:r>
      <w:r>
        <w:rPr>
          <w:rFonts w:ascii="宋体" w:eastAsia="宋体"/>
          <w:b/>
          <w:color w:val="000000"/>
          <w:sz w:val="28"/>
          <w:szCs w:val="28"/>
        </w:rPr>
        <w:t>申购及赎回</w:t>
      </w:r>
      <w:r>
        <w:rPr>
          <w:rFonts w:ascii="宋体" w:eastAsia="宋体" w:cs="宋体" w:hint="eastAsia"/>
          <w:b/>
          <w:color w:val="000000"/>
          <w:kern w:val="0"/>
          <w:sz w:val="28"/>
          <w:szCs w:val="28"/>
        </w:rPr>
        <w:t>业务公告</w:t>
      </w:r>
    </w:p>
    <w:p w:rsidR="00EA6BDB" w:rsidRDefault="001856F4">
      <w:pPr>
        <w:spacing w:line="560" w:lineRule="exact"/>
        <w:jc w:val="center"/>
        <w:rPr>
          <w:rFonts w:ascii="宋体" w:eastAsia="宋体"/>
          <w:b/>
          <w:color w:val="000000"/>
          <w:sz w:val="24"/>
          <w:szCs w:val="24"/>
        </w:rPr>
      </w:pPr>
      <w:r>
        <w:rPr>
          <w:rFonts w:ascii="宋体" w:eastAsia="宋体"/>
          <w:b/>
          <w:color w:val="000000"/>
          <w:sz w:val="24"/>
          <w:szCs w:val="24"/>
        </w:rPr>
        <w:t>公告送出日期：</w:t>
      </w:r>
      <w:r>
        <w:rPr>
          <w:rFonts w:ascii="宋体" w:eastAsia="宋体"/>
          <w:b/>
          <w:color w:val="000000"/>
          <w:sz w:val="24"/>
          <w:szCs w:val="24"/>
        </w:rPr>
        <w:t>2025</w:t>
      </w:r>
      <w:r>
        <w:rPr>
          <w:rFonts w:ascii="宋体" w:eastAsia="宋体"/>
          <w:b/>
          <w:color w:val="000000"/>
          <w:sz w:val="24"/>
          <w:szCs w:val="24"/>
        </w:rPr>
        <w:t>年</w:t>
      </w:r>
      <w:r>
        <w:rPr>
          <w:rFonts w:ascii="宋体" w:eastAsia="宋体"/>
          <w:b/>
          <w:color w:val="000000"/>
          <w:sz w:val="24"/>
          <w:szCs w:val="24"/>
        </w:rPr>
        <w:t>11</w:t>
      </w:r>
      <w:r>
        <w:rPr>
          <w:rFonts w:ascii="宋体" w:eastAsia="宋体"/>
          <w:b/>
          <w:color w:val="000000"/>
          <w:sz w:val="24"/>
          <w:szCs w:val="24"/>
        </w:rPr>
        <w:t>月</w:t>
      </w:r>
      <w:r>
        <w:rPr>
          <w:rFonts w:ascii="宋体" w:eastAsia="宋体"/>
          <w:b/>
          <w:color w:val="000000"/>
          <w:sz w:val="24"/>
          <w:szCs w:val="24"/>
        </w:rPr>
        <w:t>25</w:t>
      </w:r>
      <w:r>
        <w:rPr>
          <w:rFonts w:ascii="宋体" w:eastAsia="宋体"/>
          <w:b/>
          <w:color w:val="000000"/>
          <w:sz w:val="24"/>
          <w:szCs w:val="24"/>
        </w:rPr>
        <w:t>日</w:t>
      </w:r>
    </w:p>
    <w:p w:rsidR="00EA6BDB" w:rsidRDefault="001856F4">
      <w:pPr>
        <w:pStyle w:val="2"/>
        <w:numPr>
          <w:ilvl w:val="0"/>
          <w:numId w:val="1"/>
        </w:numPr>
        <w:spacing w:line="560" w:lineRule="exact"/>
        <w:rPr>
          <w:rFonts w:ascii="宋体" w:eastAsia="宋体"/>
          <w:bCs w:val="0"/>
          <w:color w:val="000000"/>
          <w:sz w:val="21"/>
          <w:szCs w:val="21"/>
        </w:rPr>
      </w:pPr>
      <w:bookmarkStart w:id="1" w:name="_Toc275961395"/>
      <w:r>
        <w:rPr>
          <w:rFonts w:ascii="宋体" w:eastAsia="宋体"/>
          <w:bCs w:val="0"/>
          <w:color w:val="000000"/>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4728"/>
      </w:tblGrid>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基金名称</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中银季季红定期开放债券型证券投资基金</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基金简称</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中银季季红定期开放债券</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基金主代码</w:t>
            </w:r>
          </w:p>
        </w:tc>
        <w:tc>
          <w:tcPr>
            <w:tcW w:w="4728" w:type="dxa"/>
            <w:vAlign w:val="center"/>
          </w:tcPr>
          <w:p w:rsidR="00EA6BDB" w:rsidRDefault="001856F4">
            <w:pPr>
              <w:adjustRightInd w:val="0"/>
              <w:spacing w:before="29" w:line="360" w:lineRule="auto"/>
              <w:rPr>
                <w:rFonts w:eastAsia="宋体"/>
                <w:color w:val="000000"/>
                <w:sz w:val="21"/>
                <w:szCs w:val="21"/>
              </w:rPr>
            </w:pPr>
            <w:r>
              <w:rPr>
                <w:rFonts w:ascii="宋体" w:eastAsia="宋体"/>
                <w:sz w:val="21"/>
                <w:szCs w:val="21"/>
              </w:rPr>
              <w:t>002985</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基金运作方式</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契约型定期开放式</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基金合同生效日</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2016</w:t>
            </w:r>
            <w:r>
              <w:rPr>
                <w:rFonts w:ascii="宋体" w:eastAsia="宋体"/>
                <w:sz w:val="21"/>
                <w:szCs w:val="21"/>
              </w:rPr>
              <w:t>年</w:t>
            </w:r>
            <w:r>
              <w:rPr>
                <w:rFonts w:ascii="宋体" w:eastAsia="宋体"/>
                <w:sz w:val="21"/>
                <w:szCs w:val="21"/>
              </w:rPr>
              <w:t>7</w:t>
            </w:r>
            <w:r>
              <w:rPr>
                <w:rFonts w:ascii="宋体" w:eastAsia="宋体"/>
                <w:sz w:val="21"/>
                <w:szCs w:val="21"/>
              </w:rPr>
              <w:t>月</w:t>
            </w:r>
            <w:r>
              <w:rPr>
                <w:rFonts w:ascii="宋体" w:eastAsia="宋体"/>
                <w:sz w:val="21"/>
                <w:szCs w:val="21"/>
              </w:rPr>
              <w:t>15</w:t>
            </w:r>
            <w:r>
              <w:rPr>
                <w:rFonts w:ascii="宋体" w:eastAsia="宋体"/>
                <w:sz w:val="21"/>
                <w:szCs w:val="21"/>
              </w:rPr>
              <w:t>日</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基金管理人名称</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基金托管人名称</w:t>
            </w:r>
          </w:p>
        </w:tc>
        <w:tc>
          <w:tcPr>
            <w:tcW w:w="4728" w:type="dxa"/>
            <w:vAlign w:val="center"/>
          </w:tcPr>
          <w:p w:rsidR="00EA6BDB" w:rsidRDefault="001856F4">
            <w:pPr>
              <w:adjustRightInd w:val="0"/>
              <w:spacing w:before="29" w:line="360" w:lineRule="auto"/>
              <w:rPr>
                <w:rFonts w:eastAsia="宋体"/>
                <w:color w:val="000000"/>
                <w:sz w:val="21"/>
                <w:szCs w:val="21"/>
              </w:rPr>
            </w:pPr>
            <w:r>
              <w:rPr>
                <w:rFonts w:ascii="宋体" w:eastAsia="宋体"/>
                <w:sz w:val="21"/>
                <w:szCs w:val="21"/>
              </w:rPr>
              <w:t>中信银行股份有限公司</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基金注册登记机构名称</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EA6BDB">
        <w:trPr>
          <w:jc w:val="center"/>
        </w:trPr>
        <w:tc>
          <w:tcPr>
            <w:tcW w:w="3794" w:type="dxa"/>
            <w:vAlign w:val="center"/>
          </w:tcPr>
          <w:p w:rsidR="00EA6BDB" w:rsidRDefault="001856F4">
            <w:pPr>
              <w:rPr>
                <w:rFonts w:eastAsia="宋体"/>
                <w:color w:val="000000"/>
                <w:sz w:val="21"/>
                <w:szCs w:val="21"/>
              </w:rPr>
            </w:pPr>
            <w:r>
              <w:rPr>
                <w:rFonts w:eastAsia="宋体"/>
                <w:color w:val="000000"/>
                <w:sz w:val="21"/>
                <w:szCs w:val="21"/>
              </w:rPr>
              <w:t>公告依据</w:t>
            </w:r>
          </w:p>
        </w:tc>
        <w:tc>
          <w:tcPr>
            <w:tcW w:w="4728" w:type="dxa"/>
            <w:vAlign w:val="center"/>
          </w:tcPr>
          <w:p w:rsidR="00EA6BDB" w:rsidRDefault="001856F4">
            <w:pPr>
              <w:adjustRightInd w:val="0"/>
              <w:spacing w:before="29" w:line="360" w:lineRule="auto"/>
              <w:rPr>
                <w:rFonts w:eastAsia="宋体"/>
                <w:color w:val="000000"/>
                <w:sz w:val="21"/>
                <w:szCs w:val="21"/>
              </w:rPr>
            </w:pPr>
            <w:r>
              <w:rPr>
                <w:rFonts w:eastAsia="宋体" w:hint="eastAsia"/>
                <w:color w:val="000000"/>
                <w:sz w:val="21"/>
                <w:szCs w:val="21"/>
              </w:rPr>
              <w:t>《</w:t>
            </w:r>
            <w:r>
              <w:rPr>
                <w:rFonts w:ascii="宋体" w:eastAsia="宋体"/>
                <w:sz w:val="21"/>
                <w:szCs w:val="21"/>
              </w:rPr>
              <w:t>中银季季红定期开放债券型证券投资基金</w:t>
            </w:r>
            <w:r>
              <w:rPr>
                <w:rFonts w:eastAsia="宋体" w:hint="eastAsia"/>
                <w:color w:val="000000"/>
                <w:sz w:val="21"/>
                <w:szCs w:val="21"/>
              </w:rPr>
              <w:t>基金合同》、《</w:t>
            </w:r>
            <w:r>
              <w:rPr>
                <w:rFonts w:ascii="宋体" w:eastAsia="宋体"/>
                <w:sz w:val="21"/>
                <w:szCs w:val="21"/>
              </w:rPr>
              <w:t>中银季季红定期开放债券型证券投资基金</w:t>
            </w:r>
            <w:r>
              <w:rPr>
                <w:rFonts w:eastAsia="宋体" w:hint="eastAsia"/>
                <w:color w:val="000000"/>
                <w:sz w:val="21"/>
                <w:szCs w:val="21"/>
              </w:rPr>
              <w:t>招募说明书》的有关约定</w:t>
            </w:r>
          </w:p>
        </w:tc>
      </w:tr>
      <w:tr w:rsidR="00EA6BDB">
        <w:trPr>
          <w:jc w:val="center"/>
        </w:trPr>
        <w:tc>
          <w:tcPr>
            <w:tcW w:w="3794" w:type="dxa"/>
            <w:vAlign w:val="center"/>
          </w:tcPr>
          <w:p w:rsidR="00EA6BDB" w:rsidRDefault="001856F4">
            <w:pPr>
              <w:rPr>
                <w:rFonts w:eastAsia="宋体"/>
                <w:color w:val="000000"/>
                <w:sz w:val="21"/>
                <w:szCs w:val="21"/>
              </w:rPr>
            </w:pPr>
            <w:r>
              <w:rPr>
                <w:rFonts w:ascii="宋体" w:eastAsia="宋体"/>
                <w:sz w:val="21"/>
                <w:szCs w:val="21"/>
              </w:rPr>
              <w:t>申购、赎回</w:t>
            </w:r>
            <w:r>
              <w:rPr>
                <w:rFonts w:eastAsia="宋体"/>
                <w:color w:val="000000"/>
                <w:sz w:val="21"/>
                <w:szCs w:val="21"/>
              </w:rPr>
              <w:t>起始日</w:t>
            </w:r>
          </w:p>
        </w:tc>
        <w:tc>
          <w:tcPr>
            <w:tcW w:w="4728" w:type="dxa"/>
            <w:vAlign w:val="center"/>
          </w:tcPr>
          <w:p w:rsidR="00EA6BDB" w:rsidRDefault="001856F4">
            <w:pPr>
              <w:adjustRightInd w:val="0"/>
              <w:spacing w:before="29" w:line="360" w:lineRule="auto"/>
              <w:ind w:left="17"/>
              <w:rPr>
                <w:rFonts w:eastAsia="宋体"/>
                <w:color w:val="000000"/>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11</w:t>
            </w:r>
            <w:r>
              <w:rPr>
                <w:rFonts w:ascii="宋体" w:eastAsia="宋体"/>
                <w:sz w:val="21"/>
                <w:szCs w:val="21"/>
              </w:rPr>
              <w:t>月</w:t>
            </w:r>
            <w:r>
              <w:rPr>
                <w:rFonts w:ascii="宋体" w:eastAsia="宋体"/>
                <w:sz w:val="21"/>
                <w:szCs w:val="21"/>
              </w:rPr>
              <w:t>27</w:t>
            </w:r>
            <w:r>
              <w:rPr>
                <w:rFonts w:ascii="宋体" w:eastAsia="宋体"/>
                <w:sz w:val="21"/>
                <w:szCs w:val="21"/>
              </w:rPr>
              <w:t>日</w:t>
            </w:r>
          </w:p>
        </w:tc>
      </w:tr>
    </w:tbl>
    <w:p w:rsidR="00EA6BDB" w:rsidRDefault="001856F4">
      <w:pPr>
        <w:pStyle w:val="2"/>
        <w:numPr>
          <w:ilvl w:val="0"/>
          <w:numId w:val="1"/>
        </w:numPr>
        <w:spacing w:line="560" w:lineRule="exact"/>
        <w:rPr>
          <w:rFonts w:ascii="宋体" w:eastAsia="宋体"/>
          <w:bCs w:val="0"/>
          <w:color w:val="000000"/>
          <w:sz w:val="21"/>
          <w:szCs w:val="21"/>
        </w:rPr>
      </w:pPr>
      <w:bookmarkStart w:id="2" w:name="_Toc275961396"/>
      <w:r>
        <w:rPr>
          <w:rFonts w:ascii="宋体" w:eastAsia="宋体"/>
          <w:bCs w:val="0"/>
          <w:color w:val="000000"/>
          <w:sz w:val="21"/>
          <w:szCs w:val="21"/>
        </w:rPr>
        <w:t xml:space="preserve"> </w:t>
      </w:r>
      <w:r>
        <w:rPr>
          <w:rFonts w:ascii="宋体" w:eastAsia="宋体"/>
          <w:bCs w:val="0"/>
          <w:color w:val="000000"/>
          <w:sz w:val="21"/>
          <w:szCs w:val="21"/>
        </w:rPr>
        <w:t>申购及赎回业务的办理时间</w:t>
      </w:r>
      <w:bookmarkEnd w:id="2"/>
    </w:p>
    <w:p w:rsidR="00EA6BDB" w:rsidRDefault="001856F4">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基金的封闭期及开放期</w:t>
      </w:r>
    </w:p>
    <w:p w:rsidR="00EA6BDB" w:rsidRDefault="001856F4">
      <w:pPr>
        <w:spacing w:line="360" w:lineRule="auto"/>
        <w:ind w:firstLineChars="200" w:firstLine="420"/>
        <w:contextualSpacing/>
        <w:rPr>
          <w:rFonts w:eastAsia="宋体"/>
          <w:color w:val="000000"/>
          <w:sz w:val="21"/>
          <w:szCs w:val="21"/>
        </w:rPr>
      </w:pPr>
      <w:r>
        <w:rPr>
          <w:rFonts w:ascii="宋体" w:eastAsia="宋体"/>
          <w:sz w:val="21"/>
          <w:szCs w:val="21"/>
        </w:rPr>
        <w:t>根据《中银季季红定期开放债券型证券投资基金基金合同》、《中银季季红定期开放债券型证券投资基金招募说明书》的有关规定，中银季季红定期开放债券型证券投资基金（以下简称</w:t>
      </w:r>
      <w:r>
        <w:rPr>
          <w:rFonts w:ascii="宋体" w:eastAsia="宋体"/>
          <w:sz w:val="21"/>
          <w:szCs w:val="21"/>
        </w:rPr>
        <w:t>“</w:t>
      </w:r>
      <w:r>
        <w:rPr>
          <w:rFonts w:ascii="宋体" w:eastAsia="宋体"/>
          <w:sz w:val="21"/>
          <w:szCs w:val="21"/>
        </w:rPr>
        <w:t>本基金</w:t>
      </w:r>
      <w:r>
        <w:rPr>
          <w:rFonts w:ascii="宋体" w:eastAsia="宋体"/>
          <w:sz w:val="21"/>
          <w:szCs w:val="21"/>
        </w:rPr>
        <w:t>”</w:t>
      </w:r>
      <w:r>
        <w:rPr>
          <w:rFonts w:ascii="宋体" w:eastAsia="宋体"/>
          <w:sz w:val="21"/>
          <w:szCs w:val="21"/>
        </w:rPr>
        <w:t>）的封闭期为自基金合同生效之日起（包括基金合同生效之日）或自每一开放期结束之日次日起（包括该日）</w:t>
      </w:r>
      <w:r>
        <w:rPr>
          <w:rFonts w:ascii="宋体" w:eastAsia="宋体"/>
          <w:sz w:val="21"/>
          <w:szCs w:val="21"/>
        </w:rPr>
        <w:t>3</w:t>
      </w:r>
      <w:r>
        <w:rPr>
          <w:rFonts w:ascii="宋体" w:eastAsia="宋体"/>
          <w:sz w:val="21"/>
          <w:szCs w:val="21"/>
        </w:rPr>
        <w:t>个月的期间，自每个封闭期结束之后第一个工作日起进入开放期，期间可以办理申购与赎回</w:t>
      </w:r>
      <w:r>
        <w:rPr>
          <w:rFonts w:ascii="宋体" w:eastAsia="宋体"/>
          <w:sz w:val="21"/>
          <w:szCs w:val="21"/>
        </w:rPr>
        <w:t>业务。</w:t>
      </w:r>
      <w:r>
        <w:rPr>
          <w:rFonts w:eastAsia="宋体"/>
          <w:color w:val="000000"/>
          <w:sz w:val="21"/>
          <w:szCs w:val="21"/>
        </w:rPr>
        <w:t xml:space="preserve"> </w:t>
      </w:r>
    </w:p>
    <w:p w:rsidR="00EA6BDB" w:rsidRDefault="001856F4">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eastAsia="宋体"/>
          <w:color w:val="000000"/>
          <w:sz w:val="21"/>
          <w:szCs w:val="21"/>
        </w:rPr>
        <w:t>开放</w:t>
      </w:r>
      <w:r>
        <w:rPr>
          <w:rFonts w:eastAsia="宋体" w:hint="eastAsia"/>
          <w:color w:val="000000"/>
          <w:sz w:val="21"/>
          <w:szCs w:val="21"/>
        </w:rPr>
        <w:t>期</w:t>
      </w:r>
      <w:r>
        <w:rPr>
          <w:rFonts w:eastAsia="宋体"/>
          <w:color w:val="000000"/>
          <w:sz w:val="21"/>
          <w:szCs w:val="21"/>
        </w:rPr>
        <w:t>及开放时间</w:t>
      </w:r>
    </w:p>
    <w:p w:rsidR="00EA6BDB" w:rsidRDefault="001856F4">
      <w:pPr>
        <w:spacing w:line="360" w:lineRule="auto"/>
        <w:ind w:firstLineChars="200" w:firstLine="420"/>
        <w:contextualSpacing/>
        <w:rPr>
          <w:rFonts w:ascii="宋体" w:eastAsia="宋体"/>
          <w:sz w:val="21"/>
          <w:szCs w:val="21"/>
        </w:rPr>
      </w:pPr>
      <w:r>
        <w:rPr>
          <w:rFonts w:ascii="宋体" w:eastAsia="宋体"/>
          <w:sz w:val="21"/>
          <w:szCs w:val="21"/>
        </w:rPr>
        <w:t>每个开放期最长不超过</w:t>
      </w:r>
      <w:r>
        <w:rPr>
          <w:rFonts w:ascii="宋体" w:eastAsia="宋体"/>
          <w:sz w:val="21"/>
          <w:szCs w:val="21"/>
        </w:rPr>
        <w:t>20</w:t>
      </w:r>
      <w:r>
        <w:rPr>
          <w:rFonts w:ascii="宋体" w:eastAsia="宋体"/>
          <w:sz w:val="21"/>
          <w:szCs w:val="21"/>
        </w:rPr>
        <w:t>个交易日，开放期的具体时间以基金管理人届时公告为准。</w:t>
      </w:r>
      <w:r>
        <w:rPr>
          <w:rFonts w:ascii="宋体" w:eastAsia="宋体" w:hint="eastAsia"/>
          <w:sz w:val="21"/>
          <w:szCs w:val="21"/>
        </w:rPr>
        <w:t xml:space="preserve"> </w:t>
      </w:r>
    </w:p>
    <w:p w:rsidR="00EA6BDB" w:rsidRDefault="001856F4">
      <w:pPr>
        <w:spacing w:line="360" w:lineRule="auto"/>
        <w:ind w:firstLineChars="200" w:firstLine="420"/>
        <w:contextualSpacing/>
        <w:rPr>
          <w:rFonts w:eastAsia="宋体"/>
          <w:color w:val="000000"/>
          <w:sz w:val="21"/>
          <w:szCs w:val="21"/>
        </w:rPr>
      </w:pPr>
      <w:bookmarkStart w:id="3" w:name="_Toc275961397"/>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）本次开放具体时间</w:t>
      </w:r>
    </w:p>
    <w:p w:rsidR="00EA6BDB" w:rsidRDefault="001856F4">
      <w:pPr>
        <w:spacing w:line="360" w:lineRule="auto"/>
        <w:ind w:firstLineChars="200" w:firstLine="420"/>
        <w:contextualSpacing/>
        <w:rPr>
          <w:rFonts w:eastAsia="宋体"/>
          <w:color w:val="000000"/>
          <w:sz w:val="21"/>
          <w:szCs w:val="21"/>
        </w:rPr>
      </w:pPr>
      <w:r>
        <w:rPr>
          <w:rFonts w:ascii="宋体" w:eastAsia="宋体"/>
          <w:sz w:val="21"/>
          <w:szCs w:val="21"/>
        </w:rPr>
        <w:lastRenderedPageBreak/>
        <w:t>本基金第</w:t>
      </w:r>
      <w:r>
        <w:rPr>
          <w:rFonts w:ascii="宋体" w:eastAsia="宋体"/>
          <w:sz w:val="21"/>
          <w:szCs w:val="21"/>
        </w:rPr>
        <w:t>32</w:t>
      </w:r>
      <w:r>
        <w:rPr>
          <w:rFonts w:ascii="宋体" w:eastAsia="宋体"/>
          <w:sz w:val="21"/>
          <w:szCs w:val="21"/>
        </w:rPr>
        <w:t>个开放期为</w:t>
      </w:r>
      <w:r>
        <w:rPr>
          <w:rFonts w:ascii="宋体" w:eastAsia="宋体"/>
          <w:sz w:val="21"/>
          <w:szCs w:val="21"/>
        </w:rPr>
        <w:t>2025</w:t>
      </w:r>
      <w:r>
        <w:rPr>
          <w:rFonts w:ascii="宋体" w:eastAsia="宋体"/>
          <w:sz w:val="21"/>
          <w:szCs w:val="21"/>
        </w:rPr>
        <w:t>年</w:t>
      </w:r>
      <w:r>
        <w:rPr>
          <w:rFonts w:ascii="宋体" w:eastAsia="宋体"/>
          <w:sz w:val="21"/>
          <w:szCs w:val="21"/>
        </w:rPr>
        <w:t>11</w:t>
      </w:r>
      <w:r>
        <w:rPr>
          <w:rFonts w:ascii="宋体" w:eastAsia="宋体"/>
          <w:sz w:val="21"/>
          <w:szCs w:val="21"/>
        </w:rPr>
        <w:t>月</w:t>
      </w:r>
      <w:r>
        <w:rPr>
          <w:rFonts w:ascii="宋体" w:eastAsia="宋体"/>
          <w:sz w:val="21"/>
          <w:szCs w:val="21"/>
        </w:rPr>
        <w:t>27</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12</w:t>
      </w:r>
      <w:r>
        <w:rPr>
          <w:rFonts w:ascii="宋体" w:eastAsia="宋体"/>
          <w:sz w:val="21"/>
          <w:szCs w:val="21"/>
        </w:rPr>
        <w:t>月</w:t>
      </w:r>
      <w:r>
        <w:rPr>
          <w:rFonts w:ascii="宋体" w:eastAsia="宋体"/>
          <w:sz w:val="21"/>
          <w:szCs w:val="21"/>
        </w:rPr>
        <w:t>3</w:t>
      </w:r>
      <w:r>
        <w:rPr>
          <w:rFonts w:ascii="宋体" w:eastAsia="宋体"/>
          <w:sz w:val="21"/>
          <w:szCs w:val="21"/>
        </w:rPr>
        <w:t>日。</w:t>
      </w:r>
    </w:p>
    <w:p w:rsidR="00EA6BDB" w:rsidRDefault="00EA6BDB">
      <w:pPr>
        <w:spacing w:line="360" w:lineRule="auto"/>
        <w:ind w:firstLineChars="200" w:firstLine="420"/>
        <w:contextualSpacing/>
        <w:rPr>
          <w:rFonts w:eastAsia="宋体"/>
          <w:color w:val="000000"/>
          <w:sz w:val="21"/>
          <w:szCs w:val="21"/>
        </w:rPr>
      </w:pPr>
    </w:p>
    <w:p w:rsidR="00EA6BDB" w:rsidRDefault="001856F4">
      <w:pPr>
        <w:pStyle w:val="2"/>
        <w:numPr>
          <w:ilvl w:val="0"/>
          <w:numId w:val="1"/>
        </w:numPr>
        <w:spacing w:line="560" w:lineRule="exact"/>
        <w:rPr>
          <w:rFonts w:ascii="宋体" w:eastAsia="宋体"/>
          <w:bCs w:val="0"/>
          <w:color w:val="000000"/>
          <w:sz w:val="21"/>
          <w:szCs w:val="21"/>
        </w:rPr>
      </w:pPr>
      <w:r>
        <w:rPr>
          <w:rFonts w:ascii="宋体" w:eastAsia="宋体"/>
          <w:bCs w:val="0"/>
          <w:color w:val="000000"/>
          <w:sz w:val="21"/>
          <w:szCs w:val="21"/>
        </w:rPr>
        <w:t>申购业务</w:t>
      </w:r>
      <w:bookmarkEnd w:id="3"/>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申购金额限制</w:t>
      </w:r>
    </w:p>
    <w:p w:rsidR="00EA6BDB" w:rsidRDefault="001856F4">
      <w:pPr>
        <w:spacing w:line="360" w:lineRule="auto"/>
        <w:ind w:firstLine="420"/>
      </w:pPr>
      <w:r>
        <w:rPr>
          <w:rFonts w:ascii="宋体" w:eastAsia="宋体"/>
          <w:sz w:val="21"/>
          <w:szCs w:val="21"/>
        </w:rPr>
        <w:t>投资者通过其他销售机构申购本基金首次申购最低金额为人民币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元；通过基金管理人电子直销平台申购本基金，首次申购最低金额为人民币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元；通过基金管理人直销中心柜台申购以上基金份额时，首次申购最低金额为人民币</w:t>
      </w:r>
      <w:r>
        <w:rPr>
          <w:rFonts w:ascii="宋体" w:eastAsia="宋体"/>
          <w:sz w:val="21"/>
          <w:szCs w:val="21"/>
        </w:rPr>
        <w:t>10000</w:t>
      </w:r>
      <w:r>
        <w:rPr>
          <w:rFonts w:ascii="宋体" w:eastAsia="宋体"/>
          <w:sz w:val="21"/>
          <w:szCs w:val="21"/>
        </w:rPr>
        <w:t>元，追加申购最低金额为人民币</w:t>
      </w:r>
      <w:r>
        <w:rPr>
          <w:rFonts w:ascii="宋体" w:eastAsia="宋体"/>
          <w:sz w:val="21"/>
          <w:szCs w:val="21"/>
        </w:rPr>
        <w:t>1000</w:t>
      </w:r>
      <w:r>
        <w:rPr>
          <w:rFonts w:ascii="宋体" w:eastAsia="宋体"/>
          <w:sz w:val="21"/>
          <w:szCs w:val="21"/>
        </w:rPr>
        <w:t>元。</w:t>
      </w:r>
    </w:p>
    <w:p w:rsidR="00EA6BDB" w:rsidRDefault="001856F4">
      <w:pPr>
        <w:spacing w:line="360" w:lineRule="auto"/>
        <w:ind w:firstLine="420"/>
      </w:pPr>
      <w:r>
        <w:rPr>
          <w:rFonts w:ascii="宋体" w:eastAsia="宋体"/>
          <w:sz w:val="21"/>
          <w:szCs w:val="21"/>
        </w:rPr>
        <w:t>基金管理人可根据市场情况，在法律规定允许的情况下，调整上述对申购金额的数量限制，并在实施前依照有关规定在规定媒介上公告。</w:t>
      </w:r>
    </w:p>
    <w:p w:rsidR="00EA6BDB" w:rsidRDefault="00EA6BDB">
      <w:pPr>
        <w:spacing w:line="360" w:lineRule="auto"/>
        <w:ind w:firstLineChars="200" w:firstLine="420"/>
        <w:contextualSpacing/>
        <w:rPr>
          <w:rFonts w:ascii="宋体" w:eastAsia="宋体"/>
          <w:sz w:val="21"/>
          <w:szCs w:val="21"/>
        </w:rPr>
      </w:pP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申购费率</w:t>
      </w:r>
    </w:p>
    <w:p w:rsidR="00EA6BDB" w:rsidRDefault="001856F4">
      <w:pPr>
        <w:spacing w:line="360" w:lineRule="auto"/>
        <w:ind w:firstLineChars="200" w:firstLine="420"/>
        <w:contextualSpacing/>
        <w:rPr>
          <w:rFonts w:ascii="宋体" w:eastAsia="宋体"/>
          <w:sz w:val="21"/>
          <w:szCs w:val="21"/>
        </w:rPr>
      </w:pPr>
      <w:r>
        <w:rPr>
          <w:rFonts w:ascii="宋体" w:eastAsia="宋体"/>
          <w:sz w:val="21"/>
          <w:szCs w:val="21"/>
        </w:rPr>
        <w:t xml:space="preserve"> </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EA6BDB">
        <w:trPr>
          <w:jc w:val="center"/>
        </w:trPr>
        <w:tc>
          <w:tcPr>
            <w:tcW w:w="3042" w:type="dxa"/>
            <w:tcBorders>
              <w:top w:val="single" w:sz="4" w:space="0" w:color="auto"/>
              <w:left w:val="single" w:sz="4" w:space="0" w:color="auto"/>
              <w:bottom w:val="single" w:sz="4" w:space="0" w:color="auto"/>
              <w:right w:val="single" w:sz="4" w:space="0" w:color="auto"/>
            </w:tcBorders>
          </w:tcPr>
          <w:p w:rsidR="00EA6BDB" w:rsidRDefault="001856F4">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申购金额（</w:t>
            </w:r>
            <w:r>
              <w:rPr>
                <w:rFonts w:ascii="宋体" w:eastAsia="宋体" w:cs="Arial"/>
                <w:color w:val="000000"/>
                <w:sz w:val="21"/>
                <w:szCs w:val="21"/>
              </w:rPr>
              <w:t>M</w:t>
            </w:r>
            <w:r>
              <w:rPr>
                <w:rFonts w:ascii="宋体" w:eastAsia="宋体" w:cs="Arial"/>
                <w:color w:val="000000"/>
                <w:sz w:val="21"/>
                <w:szCs w:val="21"/>
              </w:rPr>
              <w:t>）</w:t>
            </w:r>
          </w:p>
        </w:tc>
        <w:tc>
          <w:tcPr>
            <w:tcW w:w="2412" w:type="dxa"/>
            <w:tcBorders>
              <w:top w:val="single" w:sz="4" w:space="0" w:color="auto"/>
              <w:left w:val="single" w:sz="4" w:space="0" w:color="auto"/>
              <w:bottom w:val="single" w:sz="4" w:space="0" w:color="auto"/>
              <w:right w:val="single" w:sz="4" w:space="0" w:color="auto"/>
            </w:tcBorders>
          </w:tcPr>
          <w:p w:rsidR="00EA6BDB" w:rsidRDefault="001856F4">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申购费率</w:t>
            </w:r>
          </w:p>
        </w:tc>
      </w:tr>
      <w:tr w:rsidR="00EA6BDB">
        <w:trPr>
          <w:jc w:val="center"/>
        </w:trPr>
        <w:tc>
          <w:tcPr>
            <w:tcW w:w="304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M&lt;100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0.80%</w:t>
            </w:r>
          </w:p>
        </w:tc>
      </w:tr>
      <w:tr w:rsidR="00EA6BDB">
        <w:trPr>
          <w:jc w:val="center"/>
        </w:trPr>
        <w:tc>
          <w:tcPr>
            <w:tcW w:w="304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100</w:t>
            </w:r>
            <w:r>
              <w:rPr>
                <w:rFonts w:ascii="宋体" w:eastAsia="宋体"/>
                <w:position w:val="-1"/>
                <w:sz w:val="20"/>
              </w:rPr>
              <w:t>万元</w:t>
            </w:r>
            <w:r>
              <w:rPr>
                <w:rFonts w:ascii="宋体" w:eastAsia="宋体"/>
                <w:position w:val="-1"/>
                <w:sz w:val="20"/>
              </w:rPr>
              <w:t>≤</w:t>
            </w:r>
            <w:r>
              <w:rPr>
                <w:rFonts w:ascii="宋体" w:eastAsia="宋体"/>
                <w:position w:val="-1"/>
                <w:sz w:val="20"/>
              </w:rPr>
              <w:t>M&lt;200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0.50%</w:t>
            </w:r>
          </w:p>
        </w:tc>
      </w:tr>
      <w:tr w:rsidR="00EA6BDB">
        <w:trPr>
          <w:jc w:val="center"/>
        </w:trPr>
        <w:tc>
          <w:tcPr>
            <w:tcW w:w="304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200</w:t>
            </w:r>
            <w:r>
              <w:rPr>
                <w:rFonts w:ascii="宋体" w:eastAsia="宋体"/>
                <w:position w:val="-1"/>
                <w:sz w:val="20"/>
              </w:rPr>
              <w:t>万元</w:t>
            </w:r>
            <w:r>
              <w:rPr>
                <w:rFonts w:ascii="宋体" w:eastAsia="宋体"/>
                <w:position w:val="-1"/>
                <w:sz w:val="20"/>
              </w:rPr>
              <w:t>≤</w:t>
            </w:r>
            <w:r>
              <w:rPr>
                <w:rFonts w:ascii="宋体" w:eastAsia="宋体"/>
                <w:position w:val="-1"/>
                <w:sz w:val="20"/>
              </w:rPr>
              <w:t>M&lt;500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0.30%</w:t>
            </w:r>
          </w:p>
        </w:tc>
      </w:tr>
      <w:tr w:rsidR="00EA6BDB">
        <w:trPr>
          <w:jc w:val="center"/>
        </w:trPr>
        <w:tc>
          <w:tcPr>
            <w:tcW w:w="304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M</w:t>
            </w:r>
            <w:r>
              <w:rPr>
                <w:rFonts w:ascii="宋体" w:eastAsia="宋体"/>
                <w:position w:val="-1"/>
                <w:sz w:val="20"/>
              </w:rPr>
              <w:t>≥</w:t>
            </w:r>
            <w:r>
              <w:rPr>
                <w:rFonts w:ascii="宋体" w:eastAsia="宋体"/>
                <w:position w:val="-1"/>
                <w:sz w:val="20"/>
              </w:rPr>
              <w: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EA6BDB" w:rsidRDefault="001856F4">
            <w:pPr>
              <w:spacing w:line="360" w:lineRule="auto"/>
              <w:ind w:firstLineChars="200" w:firstLine="400"/>
              <w:jc w:val="left"/>
            </w:pPr>
            <w:r>
              <w:rPr>
                <w:rFonts w:ascii="宋体" w:eastAsia="宋体"/>
                <w:position w:val="-1"/>
                <w:sz w:val="20"/>
              </w:rPr>
              <w:t>1000</w:t>
            </w:r>
            <w:r>
              <w:rPr>
                <w:rFonts w:ascii="宋体" w:eastAsia="宋体"/>
                <w:position w:val="-1"/>
                <w:sz w:val="20"/>
              </w:rPr>
              <w:t>元</w:t>
            </w:r>
            <w:r>
              <w:rPr>
                <w:rFonts w:ascii="宋体" w:eastAsia="宋体"/>
                <w:position w:val="-1"/>
                <w:sz w:val="20"/>
              </w:rPr>
              <w:t>/</w:t>
            </w:r>
            <w:r>
              <w:rPr>
                <w:rFonts w:ascii="宋体" w:eastAsia="宋体"/>
                <w:position w:val="-1"/>
                <w:sz w:val="20"/>
              </w:rPr>
              <w:t>笔</w:t>
            </w:r>
          </w:p>
        </w:tc>
      </w:tr>
    </w:tbl>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注：</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申购金额中已包含投资者应支付的申购费。</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jc w:val="left"/>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投资者在一天之内如有多笔申购，适用费率按单笔分别计算。</w:t>
      </w: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其他与申购相关的事项</w:t>
      </w:r>
    </w:p>
    <w:p w:rsidR="00EA6BDB" w:rsidRDefault="001856F4">
      <w:pPr>
        <w:adjustRightInd w:val="0"/>
        <w:spacing w:line="360" w:lineRule="auto"/>
        <w:ind w:firstLineChars="200" w:firstLine="420"/>
        <w:rPr>
          <w:rFonts w:ascii="宋体" w:eastAsia="宋体" w:cs="宋体"/>
          <w:color w:val="000000"/>
          <w:kern w:val="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cs="宋体" w:hint="eastAsia"/>
          <w:color w:val="000000"/>
          <w:kern w:val="0"/>
          <w:sz w:val="21"/>
          <w:szCs w:val="21"/>
        </w:rPr>
        <w:t>本基金的申购费用由基金申购人承担，不列入基金财产，主要用于本基金的市场推广、销售、登记等各项费用。</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2</w:t>
      </w:r>
      <w:r>
        <w:rPr>
          <w:rFonts w:eastAsia="宋体" w:hint="eastAsia"/>
          <w:color w:val="000000"/>
          <w:sz w:val="21"/>
          <w:szCs w:val="21"/>
        </w:rPr>
        <w:t>）</w:t>
      </w:r>
      <w:r>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lastRenderedPageBreak/>
        <w:t>3</w:t>
      </w:r>
      <w:r>
        <w:rPr>
          <w:rFonts w:eastAsia="宋体" w:hint="eastAsia"/>
          <w:color w:val="000000"/>
          <w:sz w:val="21"/>
          <w:szCs w:val="21"/>
        </w:rPr>
        <w:t>）</w:t>
      </w:r>
      <w:r>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EA6BDB" w:rsidRDefault="001856F4">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4</w:t>
      </w:r>
      <w:r>
        <w:rPr>
          <w:rFonts w:eastAsia="宋体" w:hint="eastAsia"/>
          <w:color w:val="000000"/>
          <w:sz w:val="21"/>
          <w:szCs w:val="21"/>
        </w:rPr>
        <w:t>）</w:t>
      </w:r>
      <w:r>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Pr>
          <w:rFonts w:ascii="宋体" w:eastAsia="宋体" w:cs="宋体" w:hint="eastAsia"/>
          <w:color w:val="000000"/>
          <w:kern w:val="0"/>
          <w:sz w:val="21"/>
          <w:szCs w:val="21"/>
        </w:rPr>
        <w:t>相关规定。</w:t>
      </w:r>
    </w:p>
    <w:p w:rsidR="00EA6BDB" w:rsidRDefault="001856F4">
      <w:pPr>
        <w:pStyle w:val="2"/>
        <w:numPr>
          <w:ilvl w:val="0"/>
          <w:numId w:val="1"/>
        </w:numPr>
        <w:spacing w:line="560" w:lineRule="exact"/>
        <w:rPr>
          <w:rFonts w:ascii="宋体" w:eastAsia="宋体"/>
          <w:bCs w:val="0"/>
          <w:color w:val="000000"/>
          <w:sz w:val="21"/>
          <w:szCs w:val="21"/>
        </w:rPr>
      </w:pPr>
      <w:bookmarkStart w:id="4" w:name="_Toc275961398"/>
      <w:r>
        <w:rPr>
          <w:rFonts w:ascii="宋体" w:eastAsia="宋体"/>
          <w:bCs w:val="0"/>
          <w:color w:val="000000"/>
          <w:sz w:val="21"/>
          <w:szCs w:val="21"/>
        </w:rPr>
        <w:t>赎回业务</w:t>
      </w:r>
      <w:bookmarkEnd w:id="4"/>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赎回份额限制</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投资者可将其全部或部分基金份额赎回。如遇巨额赎回等情况，赎回办理和款项支付的办法将参照基金合同有关巨额赎回的条款处理。</w:t>
      </w: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赎回费率</w:t>
      </w:r>
    </w:p>
    <w:p w:rsidR="00EA6BDB" w:rsidRDefault="001856F4">
      <w:pPr>
        <w:spacing w:line="360" w:lineRule="auto"/>
        <w:ind w:firstLineChars="200" w:firstLine="420"/>
        <w:contextualSpacing/>
        <w:jc w:val="left"/>
        <w:rPr>
          <w:rFonts w:eastAsia="宋体"/>
          <w:color w:val="000000"/>
          <w:sz w:val="21"/>
          <w:szCs w:val="21"/>
        </w:rPr>
      </w:pPr>
      <w:r>
        <w:rPr>
          <w:rFonts w:ascii="宋体" w:eastAsia="宋体" w:cs="宋体" w:hint="eastAsia"/>
          <w:color w:val="000000"/>
          <w:kern w:val="0"/>
          <w:sz w:val="21"/>
          <w:szCs w:val="21"/>
        </w:rPr>
        <w:t>1</w:t>
      </w:r>
      <w:r>
        <w:rPr>
          <w:rFonts w:ascii="宋体" w:eastAsia="宋体" w:cs="宋体" w:hint="eastAsia"/>
          <w:color w:val="000000"/>
          <w:kern w:val="0"/>
          <w:sz w:val="21"/>
          <w:szCs w:val="21"/>
        </w:rPr>
        <w:t>）</w:t>
      </w:r>
      <w:r>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EA6BDB">
        <w:trPr>
          <w:jc w:val="center"/>
        </w:trPr>
        <w:tc>
          <w:tcPr>
            <w:tcW w:w="3042" w:type="dxa"/>
          </w:tcPr>
          <w:p w:rsidR="00EA6BDB" w:rsidRDefault="001856F4">
            <w:pPr>
              <w:spacing w:line="360" w:lineRule="auto"/>
              <w:jc w:val="center"/>
              <w:rPr>
                <w:rFonts w:ascii="宋体" w:eastAsia="宋体" w:cs="Arial"/>
                <w:color w:val="000000"/>
                <w:sz w:val="21"/>
                <w:szCs w:val="21"/>
              </w:rPr>
            </w:pPr>
            <w:bookmarkStart w:id="5" w:name="_Hlk137570877"/>
            <w:r>
              <w:rPr>
                <w:rFonts w:ascii="宋体" w:eastAsia="宋体" w:cs="Arial" w:hint="eastAsia"/>
                <w:color w:val="000000"/>
                <w:sz w:val="21"/>
                <w:szCs w:val="21"/>
              </w:rPr>
              <w:t>持有期限</w:t>
            </w:r>
            <w:r>
              <w:rPr>
                <w:rFonts w:ascii="宋体" w:eastAsia="宋体" w:cs="Arial"/>
                <w:color w:val="000000"/>
                <w:sz w:val="21"/>
                <w:szCs w:val="21"/>
              </w:rPr>
              <w:t>（</w:t>
            </w:r>
            <w:r>
              <w:rPr>
                <w:rFonts w:ascii="宋体" w:eastAsia="宋体" w:cs="Arial"/>
                <w:color w:val="000000"/>
                <w:sz w:val="21"/>
                <w:szCs w:val="21"/>
              </w:rPr>
              <w:t>Y</w:t>
            </w:r>
            <w:r>
              <w:rPr>
                <w:rFonts w:ascii="宋体" w:eastAsia="宋体" w:cs="Arial"/>
                <w:color w:val="000000"/>
                <w:sz w:val="21"/>
                <w:szCs w:val="21"/>
              </w:rPr>
              <w:t>）</w:t>
            </w:r>
          </w:p>
        </w:tc>
        <w:tc>
          <w:tcPr>
            <w:tcW w:w="2412" w:type="dxa"/>
          </w:tcPr>
          <w:p w:rsidR="00EA6BDB" w:rsidRDefault="001856F4">
            <w:pPr>
              <w:spacing w:line="360" w:lineRule="auto"/>
              <w:jc w:val="center"/>
              <w:rPr>
                <w:rFonts w:ascii="宋体" w:eastAsia="宋体" w:cs="Arial"/>
                <w:color w:val="000000"/>
                <w:sz w:val="21"/>
                <w:szCs w:val="21"/>
              </w:rPr>
            </w:pPr>
            <w:r>
              <w:rPr>
                <w:rFonts w:ascii="宋体" w:eastAsia="宋体" w:cs="Arial" w:hint="eastAsia"/>
                <w:color w:val="000000"/>
                <w:sz w:val="21"/>
                <w:szCs w:val="21"/>
              </w:rPr>
              <w:t>赎回</w:t>
            </w:r>
            <w:r>
              <w:rPr>
                <w:rFonts w:ascii="宋体" w:eastAsia="宋体" w:cs="Arial"/>
                <w:color w:val="000000"/>
                <w:sz w:val="21"/>
                <w:szCs w:val="21"/>
              </w:rPr>
              <w:t>费率</w:t>
            </w:r>
          </w:p>
        </w:tc>
      </w:tr>
      <w:tr w:rsidR="00EA6BDB">
        <w:trPr>
          <w:jc w:val="center"/>
        </w:trPr>
        <w:tc>
          <w:tcPr>
            <w:tcW w:w="3042" w:type="dxa"/>
          </w:tcPr>
          <w:p w:rsidR="00EA6BDB" w:rsidRDefault="001856F4">
            <w:pPr>
              <w:spacing w:line="360" w:lineRule="auto"/>
              <w:jc w:val="center"/>
            </w:pPr>
            <w:r>
              <w:rPr>
                <w:rFonts w:ascii="宋体" w:eastAsia="宋体"/>
                <w:position w:val="-1"/>
                <w:sz w:val="20"/>
              </w:rPr>
              <w:t>Y&lt;7</w:t>
            </w:r>
            <w:r>
              <w:rPr>
                <w:rFonts w:ascii="宋体" w:eastAsia="宋体"/>
                <w:position w:val="-1"/>
                <w:sz w:val="20"/>
              </w:rPr>
              <w:t>日</w:t>
            </w:r>
          </w:p>
        </w:tc>
        <w:tc>
          <w:tcPr>
            <w:tcW w:w="2412" w:type="dxa"/>
          </w:tcPr>
          <w:p w:rsidR="00EA6BDB" w:rsidRDefault="001856F4">
            <w:pPr>
              <w:spacing w:line="360" w:lineRule="auto"/>
              <w:jc w:val="center"/>
            </w:pPr>
            <w:r>
              <w:rPr>
                <w:rFonts w:ascii="宋体" w:eastAsia="宋体"/>
                <w:position w:val="-1"/>
                <w:sz w:val="20"/>
              </w:rPr>
              <w:t>1.50%</w:t>
            </w:r>
          </w:p>
        </w:tc>
      </w:tr>
      <w:tr w:rsidR="00EA6BDB">
        <w:trPr>
          <w:jc w:val="center"/>
        </w:trPr>
        <w:tc>
          <w:tcPr>
            <w:tcW w:w="3042" w:type="dxa"/>
          </w:tcPr>
          <w:p w:rsidR="00EA6BDB" w:rsidRDefault="001856F4">
            <w:pPr>
              <w:spacing w:line="360" w:lineRule="auto"/>
              <w:jc w:val="center"/>
            </w:pPr>
            <w:r>
              <w:rPr>
                <w:rFonts w:ascii="宋体" w:eastAsia="宋体"/>
                <w:position w:val="-1"/>
                <w:sz w:val="20"/>
              </w:rPr>
              <w:t>7</w:t>
            </w:r>
            <w:r>
              <w:rPr>
                <w:rFonts w:ascii="宋体" w:eastAsia="宋体"/>
                <w:position w:val="-1"/>
                <w:sz w:val="20"/>
              </w:rPr>
              <w:t>日</w:t>
            </w:r>
            <w:r>
              <w:rPr>
                <w:rFonts w:ascii="宋体" w:eastAsia="宋体"/>
                <w:position w:val="-1"/>
                <w:sz w:val="20"/>
              </w:rPr>
              <w:t>≤</w:t>
            </w:r>
            <w:r>
              <w:rPr>
                <w:rFonts w:ascii="宋体" w:eastAsia="宋体"/>
                <w:position w:val="-1"/>
                <w:sz w:val="20"/>
              </w:rPr>
              <w:t>Y&lt;30</w:t>
            </w:r>
            <w:r>
              <w:rPr>
                <w:rFonts w:ascii="宋体" w:eastAsia="宋体"/>
                <w:position w:val="-1"/>
                <w:sz w:val="20"/>
              </w:rPr>
              <w:t>日</w:t>
            </w:r>
          </w:p>
        </w:tc>
        <w:tc>
          <w:tcPr>
            <w:tcW w:w="2412" w:type="dxa"/>
          </w:tcPr>
          <w:p w:rsidR="00EA6BDB" w:rsidRDefault="001856F4">
            <w:pPr>
              <w:spacing w:line="360" w:lineRule="auto"/>
              <w:jc w:val="center"/>
            </w:pPr>
            <w:r>
              <w:rPr>
                <w:rFonts w:ascii="宋体" w:eastAsia="宋体"/>
                <w:position w:val="-1"/>
                <w:sz w:val="20"/>
              </w:rPr>
              <w:t>0.75%</w:t>
            </w:r>
          </w:p>
        </w:tc>
      </w:tr>
      <w:tr w:rsidR="00EA6BDB">
        <w:trPr>
          <w:jc w:val="center"/>
        </w:trPr>
        <w:tc>
          <w:tcPr>
            <w:tcW w:w="3042" w:type="dxa"/>
          </w:tcPr>
          <w:p w:rsidR="00EA6BDB" w:rsidRDefault="001856F4">
            <w:pPr>
              <w:spacing w:line="360" w:lineRule="auto"/>
              <w:jc w:val="center"/>
            </w:pPr>
            <w:r>
              <w:rPr>
                <w:rFonts w:ascii="宋体" w:eastAsia="宋体"/>
                <w:position w:val="-1"/>
                <w:sz w:val="20"/>
              </w:rPr>
              <w:t>30</w:t>
            </w:r>
            <w:r>
              <w:rPr>
                <w:rFonts w:ascii="宋体" w:eastAsia="宋体"/>
                <w:position w:val="-1"/>
                <w:sz w:val="20"/>
              </w:rPr>
              <w:t>日</w:t>
            </w:r>
            <w:r>
              <w:rPr>
                <w:rFonts w:ascii="宋体" w:eastAsia="宋体"/>
                <w:position w:val="-1"/>
                <w:sz w:val="20"/>
              </w:rPr>
              <w:t>≤</w:t>
            </w:r>
            <w:r>
              <w:rPr>
                <w:rFonts w:ascii="宋体" w:eastAsia="宋体"/>
                <w:position w:val="-1"/>
                <w:sz w:val="20"/>
              </w:rPr>
              <w:t>Y</w:t>
            </w:r>
          </w:p>
        </w:tc>
        <w:tc>
          <w:tcPr>
            <w:tcW w:w="2412" w:type="dxa"/>
          </w:tcPr>
          <w:p w:rsidR="00EA6BDB" w:rsidRDefault="001856F4">
            <w:pPr>
              <w:spacing w:line="360" w:lineRule="auto"/>
              <w:jc w:val="center"/>
            </w:pPr>
            <w:r>
              <w:rPr>
                <w:rFonts w:ascii="宋体" w:eastAsia="宋体"/>
                <w:position w:val="-1"/>
                <w:sz w:val="20"/>
              </w:rPr>
              <w:t>0.00%</w:t>
            </w:r>
          </w:p>
        </w:tc>
      </w:tr>
    </w:tbl>
    <w:bookmarkEnd w:id="5"/>
    <w:p w:rsidR="00EA6BDB" w:rsidRDefault="001856F4">
      <w:pPr>
        <w:spacing w:line="360" w:lineRule="auto"/>
        <w:ind w:firstLineChars="200" w:firstLine="420"/>
        <w:contextualSpacing/>
        <w:jc w:val="left"/>
        <w:rPr>
          <w:rFonts w:eastAsia="宋体"/>
          <w:color w:val="000000"/>
          <w:sz w:val="21"/>
          <w:szCs w:val="21"/>
        </w:rPr>
      </w:pPr>
      <w:r>
        <w:rPr>
          <w:rFonts w:eastAsia="宋体" w:hint="eastAsia"/>
          <w:color w:val="000000"/>
          <w:sz w:val="21"/>
          <w:szCs w:val="21"/>
        </w:rPr>
        <w:t>2</w:t>
      </w:r>
      <w:r>
        <w:rPr>
          <w:rFonts w:eastAsia="宋体" w:hint="eastAsia"/>
          <w:color w:val="000000"/>
          <w:sz w:val="21"/>
          <w:szCs w:val="21"/>
        </w:rPr>
        <w:t>）</w:t>
      </w:r>
      <w:r>
        <w:rPr>
          <w:rFonts w:eastAsia="宋体"/>
          <w:color w:val="000000"/>
          <w:sz w:val="21"/>
          <w:szCs w:val="21"/>
        </w:rPr>
        <w:t>赎回费计入基金资产的比例</w:t>
      </w:r>
    </w:p>
    <w:p w:rsidR="00EA6BDB" w:rsidRDefault="001856F4">
      <w:pPr>
        <w:spacing w:line="360" w:lineRule="auto"/>
        <w:ind w:firstLineChars="200" w:firstLine="420"/>
        <w:contextualSpacing/>
        <w:jc w:val="left"/>
        <w:rPr>
          <w:rFonts w:eastAsia="宋体"/>
          <w:color w:val="000000"/>
          <w:sz w:val="21"/>
          <w:szCs w:val="21"/>
        </w:rPr>
      </w:pPr>
      <w:r>
        <w:rPr>
          <w:rFonts w:ascii="宋体" w:eastAsia="宋体"/>
          <w:sz w:val="21"/>
          <w:szCs w:val="21"/>
        </w:rPr>
        <w:t>本基金的赎回费用由赎回基金份额的基金份额持有人承担，在基金份额持有人赎回基金份额时收取。赎回费用应当根据相关法律规定按照比例归入基金资产，其余用于支付登记费和其他必要的手续费，其中对于持续持有期少于</w:t>
      </w:r>
      <w:r>
        <w:rPr>
          <w:rFonts w:ascii="宋体" w:eastAsia="宋体"/>
          <w:sz w:val="21"/>
          <w:szCs w:val="21"/>
        </w:rPr>
        <w:t>7</w:t>
      </w:r>
      <w:r>
        <w:rPr>
          <w:rFonts w:ascii="宋体" w:eastAsia="宋体"/>
          <w:sz w:val="21"/>
          <w:szCs w:val="21"/>
        </w:rPr>
        <w:t>日的投资者收取不低于</w:t>
      </w:r>
      <w:r>
        <w:rPr>
          <w:rFonts w:ascii="宋体" w:eastAsia="宋体"/>
          <w:sz w:val="21"/>
          <w:szCs w:val="21"/>
        </w:rPr>
        <w:t>1.5%</w:t>
      </w:r>
      <w:r>
        <w:rPr>
          <w:rFonts w:ascii="宋体" w:eastAsia="宋体"/>
          <w:sz w:val="21"/>
          <w:szCs w:val="21"/>
        </w:rPr>
        <w:t>的赎回费并全额计入基金财产。</w:t>
      </w: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其他与赎回相关的事项</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基金份额持有人赎回基金份额时，除基金合同另有规定外，基金管理人按</w:t>
      </w:r>
      <w:r>
        <w:rPr>
          <w:rFonts w:ascii="宋体" w:eastAsia="宋体" w:cs="宋体"/>
          <w:color w:val="000000"/>
          <w:kern w:val="0"/>
          <w:sz w:val="21"/>
          <w:szCs w:val="21"/>
        </w:rPr>
        <w:t>“</w:t>
      </w:r>
      <w:r>
        <w:rPr>
          <w:rFonts w:ascii="宋体" w:eastAsia="宋体" w:cs="宋体" w:hint="eastAsia"/>
          <w:color w:val="000000"/>
          <w:kern w:val="0"/>
          <w:sz w:val="21"/>
          <w:szCs w:val="21"/>
        </w:rPr>
        <w:t>先进先出</w:t>
      </w:r>
      <w:r>
        <w:rPr>
          <w:rFonts w:ascii="宋体" w:eastAsia="宋体" w:cs="宋体"/>
          <w:color w:val="000000"/>
          <w:kern w:val="0"/>
          <w:sz w:val="21"/>
          <w:szCs w:val="21"/>
        </w:rPr>
        <w:t>”</w:t>
      </w:r>
      <w:r>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w:t>
      </w:r>
      <w:r>
        <w:rPr>
          <w:rFonts w:ascii="宋体" w:eastAsia="宋体" w:cs="宋体" w:hint="eastAsia"/>
          <w:color w:val="000000"/>
          <w:kern w:val="0"/>
          <w:sz w:val="21"/>
          <w:szCs w:val="21"/>
        </w:rPr>
        <w:t>回基金份额的持有期限和所适用的赎回费率。</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4</w:t>
      </w:r>
      <w:r>
        <w:rPr>
          <w:rFonts w:ascii="宋体" w:eastAsia="宋体" w:cs="宋体"/>
          <w:color w:val="000000"/>
          <w:kern w:val="0"/>
          <w:sz w:val="21"/>
          <w:szCs w:val="21"/>
        </w:rPr>
        <w:t>）</w:t>
      </w:r>
      <w:r>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Pr>
          <w:rFonts w:ascii="宋体" w:eastAsia="宋体" w:cs="宋体"/>
          <w:color w:val="000000"/>
          <w:kern w:val="0"/>
          <w:sz w:val="21"/>
          <w:szCs w:val="21"/>
        </w:rPr>
        <w:t xml:space="preserve">  </w:t>
      </w:r>
    </w:p>
    <w:p w:rsidR="00EA6BDB" w:rsidRDefault="00EA6BDB">
      <w:pPr>
        <w:adjustRightInd w:val="0"/>
        <w:spacing w:line="360" w:lineRule="auto"/>
        <w:rPr>
          <w:rFonts w:ascii="宋体" w:eastAsia="宋体" w:cs="宋体"/>
          <w:color w:val="000000"/>
          <w:kern w:val="0"/>
          <w:sz w:val="21"/>
          <w:szCs w:val="21"/>
        </w:rPr>
      </w:pPr>
    </w:p>
    <w:p w:rsidR="00EA6BDB" w:rsidRDefault="001856F4">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基金销售机构</w:t>
      </w: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 xml:space="preserve"> </w:t>
      </w:r>
      <w:r>
        <w:rPr>
          <w:rFonts w:ascii="宋体" w:eastAsia="宋体"/>
          <w:bCs w:val="0"/>
          <w:color w:val="000000"/>
          <w:sz w:val="21"/>
          <w:szCs w:val="21"/>
        </w:rPr>
        <w:t>场外销售机构</w:t>
      </w: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直销机构</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中银基金管理有限公司</w:t>
      </w:r>
      <w:r>
        <w:rPr>
          <w:rFonts w:ascii="宋体" w:eastAsia="宋体"/>
          <w:sz w:val="21"/>
          <w:szCs w:val="21"/>
        </w:rPr>
        <w:br/>
        <w:t xml:space="preserve">    </w:t>
      </w:r>
      <w:r>
        <w:rPr>
          <w:rFonts w:ascii="宋体" w:eastAsia="宋体"/>
          <w:sz w:val="21"/>
          <w:szCs w:val="21"/>
        </w:rPr>
        <w:t>注册地址：上海市浦东新区银城中路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办公地址：上海市浦东新区银城中路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10</w:t>
      </w:r>
      <w:r>
        <w:rPr>
          <w:rFonts w:ascii="宋体" w:eastAsia="宋体"/>
          <w:sz w:val="21"/>
          <w:szCs w:val="21"/>
        </w:rPr>
        <w:t>楼、</w:t>
      </w:r>
      <w:r>
        <w:rPr>
          <w:rFonts w:ascii="宋体" w:eastAsia="宋体"/>
          <w:sz w:val="21"/>
          <w:szCs w:val="21"/>
        </w:rPr>
        <w:t>11</w:t>
      </w:r>
      <w:r>
        <w:rPr>
          <w:rFonts w:ascii="宋体" w:eastAsia="宋体"/>
          <w:sz w:val="21"/>
          <w:szCs w:val="21"/>
        </w:rPr>
        <w:t>楼、</w:t>
      </w:r>
      <w:r>
        <w:rPr>
          <w:rFonts w:ascii="宋体" w:eastAsia="宋体"/>
          <w:sz w:val="21"/>
          <w:szCs w:val="21"/>
        </w:rPr>
        <w:t>26</w:t>
      </w:r>
      <w:r>
        <w:rPr>
          <w:rFonts w:ascii="宋体" w:eastAsia="宋体"/>
          <w:sz w:val="21"/>
          <w:szCs w:val="21"/>
        </w:rPr>
        <w:t>楼、</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法定代表人：</w:t>
      </w:r>
      <w:r>
        <w:rPr>
          <w:rFonts w:ascii="宋体" w:eastAsia="宋体"/>
          <w:sz w:val="21"/>
        </w:rPr>
        <w:t>张家文（代行）</w:t>
      </w:r>
      <w:r>
        <w:rPr>
          <w:rFonts w:ascii="宋体" w:eastAsia="宋体"/>
          <w:sz w:val="21"/>
          <w:szCs w:val="21"/>
        </w:rPr>
        <w:br/>
        <w:t xml:space="preserve">    </w:t>
      </w:r>
      <w:r>
        <w:rPr>
          <w:rFonts w:ascii="宋体" w:eastAsia="宋体"/>
          <w:sz w:val="21"/>
          <w:szCs w:val="21"/>
        </w:rPr>
        <w:t>电话：（</w:t>
      </w:r>
      <w:r>
        <w:rPr>
          <w:rFonts w:ascii="宋体" w:eastAsia="宋体"/>
          <w:sz w:val="21"/>
          <w:szCs w:val="21"/>
        </w:rPr>
        <w:t>021</w:t>
      </w:r>
      <w:r>
        <w:rPr>
          <w:rFonts w:ascii="宋体" w:eastAsia="宋体"/>
          <w:sz w:val="21"/>
          <w:szCs w:val="21"/>
        </w:rPr>
        <w:t>）</w:t>
      </w:r>
      <w:r>
        <w:rPr>
          <w:rFonts w:ascii="宋体" w:eastAsia="宋体"/>
          <w:sz w:val="21"/>
          <w:szCs w:val="21"/>
        </w:rPr>
        <w:t>38848999</w:t>
      </w:r>
      <w:r>
        <w:rPr>
          <w:rFonts w:ascii="宋体" w:eastAsia="宋体"/>
          <w:sz w:val="21"/>
          <w:szCs w:val="21"/>
        </w:rPr>
        <w:br/>
        <w:t xml:space="preserve">    </w:t>
      </w:r>
      <w:r>
        <w:rPr>
          <w:rFonts w:ascii="宋体" w:eastAsia="宋体"/>
          <w:sz w:val="21"/>
          <w:szCs w:val="21"/>
        </w:rPr>
        <w:t>传真：（</w:t>
      </w:r>
      <w:r>
        <w:rPr>
          <w:rFonts w:ascii="宋体" w:eastAsia="宋体"/>
          <w:sz w:val="21"/>
          <w:szCs w:val="21"/>
        </w:rPr>
        <w:t>021</w:t>
      </w:r>
      <w:r>
        <w:rPr>
          <w:rFonts w:ascii="宋体" w:eastAsia="宋体"/>
          <w:sz w:val="21"/>
          <w:szCs w:val="21"/>
        </w:rPr>
        <w:t>）</w:t>
      </w:r>
      <w:r>
        <w:rPr>
          <w:rFonts w:ascii="宋体" w:eastAsia="宋体"/>
          <w:sz w:val="21"/>
          <w:szCs w:val="21"/>
        </w:rPr>
        <w:t>50960970</w:t>
      </w:r>
      <w:r>
        <w:rPr>
          <w:rFonts w:ascii="宋体" w:eastAsia="宋体"/>
          <w:sz w:val="21"/>
          <w:szCs w:val="21"/>
        </w:rPr>
        <w:br/>
        <w:t xml:space="preserve">    1</w:t>
      </w:r>
      <w:r>
        <w:rPr>
          <w:rFonts w:ascii="宋体" w:eastAsia="宋体"/>
          <w:sz w:val="21"/>
          <w:szCs w:val="21"/>
        </w:rPr>
        <w:t>）中银基金管理有限公司直销柜台</w:t>
      </w:r>
      <w:r>
        <w:rPr>
          <w:rFonts w:ascii="宋体" w:eastAsia="宋体"/>
          <w:sz w:val="21"/>
          <w:szCs w:val="21"/>
        </w:rPr>
        <w:br/>
        <w:t xml:space="preserve">    </w:t>
      </w:r>
      <w:r>
        <w:rPr>
          <w:rFonts w:ascii="宋体" w:eastAsia="宋体"/>
          <w:sz w:val="21"/>
          <w:szCs w:val="21"/>
        </w:rPr>
        <w:t>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26</w:t>
      </w:r>
      <w:r>
        <w:rPr>
          <w:rFonts w:ascii="宋体" w:eastAsia="宋体"/>
          <w:sz w:val="21"/>
          <w:szCs w:val="21"/>
        </w:rPr>
        <w:t>楼</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w:t>
      </w:r>
      <w:r>
        <w:rPr>
          <w:rFonts w:ascii="宋体" w:eastAsia="宋体"/>
          <w:sz w:val="21"/>
          <w:szCs w:val="21"/>
        </w:rPr>
        <w:t>-5566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联系人：曹卿</w:t>
      </w:r>
      <w:r>
        <w:rPr>
          <w:rFonts w:ascii="宋体" w:eastAsia="宋体"/>
          <w:sz w:val="21"/>
          <w:szCs w:val="21"/>
        </w:rPr>
        <w:br/>
        <w:t xml:space="preserve">    2</w:t>
      </w:r>
      <w:r>
        <w:rPr>
          <w:rFonts w:ascii="宋体" w:eastAsia="宋体"/>
          <w:sz w:val="21"/>
          <w:szCs w:val="21"/>
        </w:rPr>
        <w:t>）中银基金管理有限公司电子直销平台</w:t>
      </w:r>
      <w:r>
        <w:rPr>
          <w:rFonts w:ascii="宋体" w:eastAsia="宋体"/>
          <w:sz w:val="21"/>
          <w:szCs w:val="21"/>
        </w:rPr>
        <w:br/>
        <w:t xml:space="preserve">    </w:t>
      </w:r>
      <w:r>
        <w:rPr>
          <w:rFonts w:ascii="宋体" w:eastAsia="宋体"/>
          <w:sz w:val="21"/>
          <w:szCs w:val="21"/>
        </w:rPr>
        <w:t>中银基金官方网站（</w:t>
      </w:r>
      <w:r>
        <w:rPr>
          <w:rFonts w:ascii="宋体" w:eastAsia="宋体"/>
          <w:sz w:val="21"/>
          <w:szCs w:val="21"/>
        </w:rPr>
        <w:t>www.bocim.com</w:t>
      </w:r>
      <w:r>
        <w:rPr>
          <w:rFonts w:ascii="宋体" w:eastAsia="宋体"/>
          <w:sz w:val="21"/>
          <w:szCs w:val="21"/>
        </w:rPr>
        <w:t>）</w:t>
      </w:r>
      <w:r>
        <w:rPr>
          <w:rFonts w:ascii="宋体" w:eastAsia="宋体"/>
          <w:sz w:val="21"/>
          <w:szCs w:val="21"/>
        </w:rPr>
        <w:br/>
        <w:t xml:space="preserve">    </w:t>
      </w:r>
      <w:r>
        <w:rPr>
          <w:rFonts w:ascii="宋体" w:eastAsia="宋体"/>
          <w:sz w:val="21"/>
          <w:szCs w:val="21"/>
        </w:rPr>
        <w:t>官方微信服务号（在微信中搜索公众号</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并选择关注）</w:t>
      </w:r>
      <w:r>
        <w:rPr>
          <w:rFonts w:ascii="宋体" w:eastAsia="宋体"/>
          <w:sz w:val="21"/>
          <w:szCs w:val="21"/>
        </w:rPr>
        <w:br/>
        <w:t xml:space="preserve">    </w:t>
      </w:r>
      <w:r>
        <w:rPr>
          <w:rFonts w:ascii="宋体" w:eastAsia="宋体"/>
          <w:sz w:val="21"/>
          <w:szCs w:val="21"/>
        </w:rPr>
        <w:t>中银基金官方</w:t>
      </w:r>
      <w:r>
        <w:rPr>
          <w:rFonts w:ascii="宋体" w:eastAsia="宋体"/>
          <w:sz w:val="21"/>
          <w:szCs w:val="21"/>
        </w:rPr>
        <w:t>APP</w:t>
      </w:r>
      <w:r>
        <w:rPr>
          <w:rFonts w:ascii="宋体" w:eastAsia="宋体"/>
          <w:sz w:val="21"/>
          <w:szCs w:val="21"/>
        </w:rPr>
        <w:t>客户端（在各大手机应用商城搜索</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下载安装）</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联系人：朱</w:t>
      </w:r>
      <w:r>
        <w:rPr>
          <w:rFonts w:ascii="宋体" w:eastAsia="宋体"/>
          <w:sz w:val="21"/>
          <w:szCs w:val="21"/>
        </w:rPr>
        <w:t>凯</w:t>
      </w:r>
    </w:p>
    <w:p w:rsidR="00EA6BDB" w:rsidRDefault="001856F4">
      <w:pPr>
        <w:pStyle w:val="2"/>
        <w:spacing w:line="560" w:lineRule="exact"/>
        <w:rPr>
          <w:rFonts w:ascii="宋体" w:eastAsia="宋体"/>
          <w:bCs w:val="0"/>
          <w:color w:val="000000"/>
          <w:sz w:val="21"/>
          <w:szCs w:val="21"/>
        </w:rPr>
      </w:pP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其他场外销售</w:t>
      </w:r>
      <w:r>
        <w:rPr>
          <w:rFonts w:ascii="宋体" w:eastAsia="宋体"/>
          <w:bCs w:val="0"/>
          <w:color w:val="000000"/>
          <w:sz w:val="21"/>
          <w:szCs w:val="21"/>
        </w:rPr>
        <w:t>机构</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详见基金管理人发布的相关公告或基金管理人网站公示。</w:t>
      </w:r>
    </w:p>
    <w:p w:rsidR="00EA6BDB" w:rsidRDefault="001856F4">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场内销售</w:t>
      </w:r>
      <w:r>
        <w:rPr>
          <w:rFonts w:ascii="宋体" w:eastAsia="宋体"/>
          <w:bCs w:val="0"/>
          <w:color w:val="000000"/>
          <w:sz w:val="21"/>
          <w:szCs w:val="21"/>
        </w:rPr>
        <w:t>机构</w:t>
      </w:r>
    </w:p>
    <w:p w:rsidR="00EA6BDB" w:rsidRDefault="001856F4">
      <w:pPr>
        <w:adjustRightInd w:val="0"/>
        <w:spacing w:line="360" w:lineRule="auto"/>
        <w:ind w:firstLineChars="200" w:firstLine="420"/>
        <w:rPr>
          <w:rFonts w:ascii="宋体" w:eastAsia="宋体"/>
          <w:sz w:val="21"/>
          <w:szCs w:val="21"/>
        </w:rPr>
      </w:pPr>
      <w:r>
        <w:rPr>
          <w:rFonts w:ascii="宋体" w:eastAsia="宋体"/>
          <w:sz w:val="21"/>
          <w:szCs w:val="21"/>
        </w:rPr>
        <w:t>无</w:t>
      </w:r>
    </w:p>
    <w:p w:rsidR="00EA6BDB" w:rsidRDefault="001856F4">
      <w:pPr>
        <w:pStyle w:val="2"/>
        <w:numPr>
          <w:ilvl w:val="0"/>
          <w:numId w:val="1"/>
        </w:numPr>
        <w:spacing w:line="560" w:lineRule="exact"/>
        <w:rPr>
          <w:rFonts w:ascii="宋体" w:eastAsia="宋体"/>
          <w:bCs w:val="0"/>
          <w:color w:val="000000"/>
          <w:sz w:val="21"/>
          <w:szCs w:val="21"/>
        </w:rPr>
      </w:pPr>
      <w:bookmarkStart w:id="6" w:name="_Toc275961402"/>
      <w:r>
        <w:rPr>
          <w:rFonts w:ascii="宋体" w:eastAsia="宋体"/>
          <w:bCs w:val="0"/>
          <w:color w:val="000000"/>
          <w:sz w:val="21"/>
          <w:szCs w:val="21"/>
        </w:rPr>
        <w:t>基金份额净值公告</w:t>
      </w:r>
      <w:r>
        <w:rPr>
          <w:rFonts w:ascii="宋体" w:eastAsia="宋体"/>
          <w:bCs w:val="0"/>
          <w:color w:val="000000"/>
          <w:sz w:val="21"/>
          <w:szCs w:val="21"/>
        </w:rPr>
        <w:t>/</w:t>
      </w:r>
      <w:r>
        <w:rPr>
          <w:rFonts w:ascii="宋体" w:eastAsia="宋体"/>
          <w:bCs w:val="0"/>
          <w:color w:val="000000"/>
          <w:sz w:val="21"/>
          <w:szCs w:val="21"/>
        </w:rPr>
        <w:t>基金收益公告的披露安排</w:t>
      </w:r>
      <w:bookmarkEnd w:id="6"/>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基金合同生效后，在封闭期内，基金管理人应当至少每周在指定网站披露一次基金份额净值和基金份额累计净值。</w:t>
      </w:r>
      <w:r>
        <w:rPr>
          <w:rFonts w:ascii="宋体" w:eastAsia="宋体"/>
          <w:sz w:val="21"/>
          <w:szCs w:val="21"/>
        </w:rPr>
        <w:br/>
        <w:t xml:space="preserve">    </w:t>
      </w:r>
      <w:r>
        <w:rPr>
          <w:rFonts w:ascii="宋体" w:eastAsia="宋体"/>
          <w:sz w:val="21"/>
          <w:szCs w:val="21"/>
        </w:rPr>
        <w:t>在开放期内，基金管理人应当在不晚于每个开放日的次日，通过指定网站、基金销售机构网站或者营业网点，披露开放日的基金份额净值和基金份额累计净值。</w:t>
      </w:r>
    </w:p>
    <w:p w:rsidR="00EA6BDB" w:rsidRDefault="001856F4">
      <w:pPr>
        <w:pStyle w:val="2"/>
        <w:numPr>
          <w:ilvl w:val="0"/>
          <w:numId w:val="1"/>
        </w:numPr>
        <w:spacing w:line="560" w:lineRule="exact"/>
        <w:rPr>
          <w:rFonts w:ascii="宋体" w:eastAsia="宋体"/>
          <w:bCs w:val="0"/>
          <w:color w:val="000000"/>
          <w:sz w:val="21"/>
          <w:szCs w:val="21"/>
        </w:rPr>
      </w:pPr>
      <w:bookmarkStart w:id="7" w:name="_Toc275961403"/>
      <w:r>
        <w:rPr>
          <w:rFonts w:ascii="宋体" w:eastAsia="宋体"/>
          <w:bCs w:val="0"/>
          <w:color w:val="000000"/>
          <w:sz w:val="21"/>
          <w:szCs w:val="21"/>
        </w:rPr>
        <w:t>其他需要提示的事项</w:t>
      </w:r>
      <w:bookmarkEnd w:id="7"/>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本公告仅对本基金本次开放基金份额开放的有关事项予以说明；</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投资者欲了解本基金的详细情况，请详细阅读《</w:t>
      </w:r>
      <w:r>
        <w:rPr>
          <w:rFonts w:ascii="宋体" w:eastAsia="宋体"/>
          <w:sz w:val="21"/>
          <w:szCs w:val="21"/>
        </w:rPr>
        <w:t>中银季季红定期开放债券型证券投资基金</w:t>
      </w:r>
      <w:r>
        <w:rPr>
          <w:rFonts w:ascii="宋体" w:eastAsia="宋体" w:cs="宋体" w:hint="eastAsia"/>
          <w:color w:val="000000"/>
          <w:kern w:val="0"/>
          <w:sz w:val="21"/>
          <w:szCs w:val="21"/>
        </w:rPr>
        <w:t>基金合同》、《</w:t>
      </w:r>
      <w:r>
        <w:rPr>
          <w:rFonts w:ascii="宋体" w:eastAsia="宋体"/>
          <w:sz w:val="21"/>
          <w:szCs w:val="21"/>
        </w:rPr>
        <w:t>中银季季红定期开放债券型证券投资基金</w:t>
      </w:r>
      <w:r>
        <w:rPr>
          <w:rFonts w:ascii="宋体" w:eastAsia="宋体" w:cs="宋体" w:hint="eastAsia"/>
          <w:color w:val="000000"/>
          <w:kern w:val="0"/>
          <w:sz w:val="21"/>
          <w:szCs w:val="21"/>
        </w:rPr>
        <w:t>招募说明书》等法律文件。投资者亦可拨打本公司的客户服务电话：</w:t>
      </w:r>
      <w:r>
        <w:rPr>
          <w:rFonts w:ascii="宋体" w:eastAsia="宋体" w:cs="宋体"/>
          <w:color w:val="000000"/>
          <w:kern w:val="0"/>
          <w:sz w:val="21"/>
          <w:szCs w:val="21"/>
        </w:rPr>
        <w:t>021-38834788 / 400-888-5566</w:t>
      </w:r>
      <w:r>
        <w:rPr>
          <w:rFonts w:ascii="宋体" w:eastAsia="宋体" w:cs="宋体" w:hint="eastAsia"/>
          <w:color w:val="000000"/>
          <w:kern w:val="0"/>
          <w:sz w:val="21"/>
          <w:szCs w:val="21"/>
        </w:rPr>
        <w:t>或登陆本公司网站</w:t>
      </w:r>
      <w:r>
        <w:rPr>
          <w:rFonts w:ascii="宋体" w:eastAsia="宋体" w:cs="宋体"/>
          <w:color w:val="000000"/>
          <w:kern w:val="0"/>
          <w:sz w:val="21"/>
          <w:szCs w:val="21"/>
        </w:rPr>
        <w:t>www.bocim.com</w:t>
      </w:r>
      <w:r>
        <w:rPr>
          <w:rFonts w:ascii="宋体" w:eastAsia="宋体" w:cs="宋体" w:hint="eastAsia"/>
          <w:color w:val="000000"/>
          <w:kern w:val="0"/>
          <w:sz w:val="21"/>
          <w:szCs w:val="21"/>
        </w:rPr>
        <w:t>了解相关情况。</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风险提示：</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w:t>
      </w:r>
      <w:r>
        <w:rPr>
          <w:rFonts w:ascii="宋体" w:eastAsia="宋体" w:cs="宋体" w:hint="eastAsia"/>
          <w:color w:val="000000"/>
          <w:kern w:val="0"/>
          <w:sz w:val="21"/>
          <w:szCs w:val="21"/>
        </w:rPr>
        <w:t>其未来业绩表现，基金管理人管理的其他基金的业绩并不构成对本基金业绩表现的保证。基金管理人提醒投资者基金投资的</w:t>
      </w:r>
      <w:r>
        <w:rPr>
          <w:rFonts w:ascii="宋体" w:eastAsia="宋体" w:cs="宋体"/>
          <w:color w:val="000000"/>
          <w:kern w:val="0"/>
          <w:sz w:val="21"/>
          <w:szCs w:val="21"/>
        </w:rPr>
        <w:t>“</w:t>
      </w:r>
      <w:r>
        <w:rPr>
          <w:rFonts w:ascii="宋体" w:eastAsia="宋体" w:cs="宋体" w:hint="eastAsia"/>
          <w:color w:val="000000"/>
          <w:kern w:val="0"/>
          <w:sz w:val="21"/>
          <w:szCs w:val="21"/>
        </w:rPr>
        <w:t>买者自负</w:t>
      </w:r>
      <w:r>
        <w:rPr>
          <w:rFonts w:ascii="宋体" w:eastAsia="宋体" w:cs="宋体"/>
          <w:color w:val="000000"/>
          <w:kern w:val="0"/>
          <w:sz w:val="21"/>
          <w:szCs w:val="21"/>
        </w:rPr>
        <w:t>”</w:t>
      </w:r>
      <w:r>
        <w:rPr>
          <w:rFonts w:ascii="宋体" w:eastAsia="宋体" w:cs="宋体" w:hint="eastAsia"/>
          <w:color w:val="000000"/>
          <w:kern w:val="0"/>
          <w:sz w:val="21"/>
          <w:szCs w:val="21"/>
        </w:rPr>
        <w:t>原则，在做出投资决策后，基金运营状况与基金净值变化引致的投资风险，由投资者自行负担。</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Pr>
          <w:rFonts w:ascii="宋体" w:eastAsia="宋体" w:cs="宋体"/>
          <w:color w:val="000000"/>
          <w:kern w:val="0"/>
          <w:sz w:val="21"/>
          <w:szCs w:val="21"/>
        </w:rPr>
        <w:t>产品资料概要</w:t>
      </w:r>
      <w:r>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w:t>
      </w:r>
      <w:r>
        <w:rPr>
          <w:rFonts w:ascii="宋体" w:eastAsia="宋体" w:cs="宋体" w:hint="eastAsia"/>
          <w:color w:val="000000"/>
          <w:kern w:val="0"/>
          <w:sz w:val="21"/>
          <w:szCs w:val="21"/>
        </w:rPr>
        <w:t>产品风险之间的匹配检验。</w:t>
      </w:r>
      <w:r>
        <w:rPr>
          <w:rFonts w:ascii="宋体" w:eastAsia="宋体" w:cs="宋体"/>
          <w:color w:val="000000"/>
          <w:kern w:val="0"/>
          <w:sz w:val="21"/>
          <w:szCs w:val="21"/>
        </w:rPr>
        <w:t xml:space="preserve"> </w:t>
      </w:r>
    </w:p>
    <w:p w:rsidR="00EA6BDB" w:rsidRDefault="001856F4">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特此公告。</w:t>
      </w:r>
    </w:p>
    <w:p w:rsidR="00EA6BDB" w:rsidRDefault="00EA6BDB">
      <w:pPr>
        <w:adjustRightInd w:val="0"/>
        <w:spacing w:line="360" w:lineRule="auto"/>
        <w:ind w:firstLineChars="200" w:firstLine="420"/>
        <w:rPr>
          <w:rFonts w:ascii="宋体" w:eastAsia="宋体" w:cs="宋体"/>
          <w:color w:val="000000"/>
          <w:kern w:val="0"/>
          <w:sz w:val="21"/>
          <w:szCs w:val="21"/>
        </w:rPr>
      </w:pPr>
    </w:p>
    <w:p w:rsidR="00EA6BDB" w:rsidRDefault="001856F4">
      <w:pPr>
        <w:adjustRightInd w:val="0"/>
        <w:spacing w:line="360" w:lineRule="auto"/>
        <w:ind w:firstLineChars="200" w:firstLine="420"/>
        <w:jc w:val="right"/>
        <w:rPr>
          <w:rFonts w:ascii="宋体" w:eastAsia="宋体" w:cs="宋体"/>
          <w:color w:val="000000"/>
          <w:kern w:val="0"/>
          <w:sz w:val="21"/>
          <w:szCs w:val="21"/>
        </w:rPr>
      </w:pPr>
      <w:r>
        <w:rPr>
          <w:rFonts w:ascii="宋体" w:eastAsia="宋体" w:cs="宋体"/>
          <w:color w:val="000000"/>
          <w:kern w:val="0"/>
          <w:sz w:val="21"/>
          <w:szCs w:val="21"/>
        </w:rPr>
        <w:t>中银基金管理有限公司</w:t>
      </w:r>
    </w:p>
    <w:p w:rsidR="00EA6BDB" w:rsidRDefault="001856F4">
      <w:pPr>
        <w:spacing w:line="360" w:lineRule="auto"/>
        <w:ind w:firstLineChars="200" w:firstLine="420"/>
        <w:contextualSpacing/>
        <w:jc w:val="right"/>
        <w:rPr>
          <w:rFonts w:ascii="宋体" w:eastAsia="宋体"/>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11</w:t>
      </w:r>
      <w:r>
        <w:rPr>
          <w:rFonts w:ascii="宋体" w:eastAsia="宋体"/>
          <w:sz w:val="21"/>
          <w:szCs w:val="21"/>
        </w:rPr>
        <w:t>月</w:t>
      </w:r>
      <w:r>
        <w:rPr>
          <w:rFonts w:ascii="宋体" w:eastAsia="宋体"/>
          <w:sz w:val="21"/>
          <w:szCs w:val="21"/>
        </w:rPr>
        <w:t>25</w:t>
      </w:r>
      <w:r>
        <w:rPr>
          <w:rFonts w:ascii="宋体" w:eastAsia="宋体"/>
          <w:sz w:val="21"/>
          <w:szCs w:val="21"/>
        </w:rPr>
        <w:t>日</w:t>
      </w:r>
    </w:p>
    <w:sectPr w:rsidR="00EA6BDB" w:rsidSect="00EA6BD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multilevel"/>
    <w:tmpl w:val="5A5E2009"/>
    <w:lvl w:ilvl="0">
      <w:start w:val="1"/>
      <w:numFmt w:val="decimal"/>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EA6BDB"/>
    <w:rsid w:val="001856F4"/>
    <w:rsid w:val="00EA6BDB"/>
    <w:rsid w:val="444B41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A6BDB"/>
    <w:pPr>
      <w:widowControl w:val="0"/>
      <w:jc w:val="both"/>
    </w:pPr>
    <w:rPr>
      <w:rFonts w:eastAsia="方正仿宋简体"/>
      <w:kern w:val="2"/>
      <w:sz w:val="32"/>
    </w:rPr>
  </w:style>
  <w:style w:type="paragraph" w:styleId="1">
    <w:name w:val="heading 1"/>
    <w:basedOn w:val="a"/>
    <w:next w:val="a"/>
    <w:rsid w:val="00EA6BDB"/>
    <w:pPr>
      <w:keepNext/>
      <w:keepLines/>
      <w:spacing w:before="340" w:after="330" w:line="578" w:lineRule="auto"/>
      <w:outlineLvl w:val="0"/>
    </w:pPr>
    <w:rPr>
      <w:b/>
      <w:bCs/>
      <w:kern w:val="44"/>
      <w:sz w:val="44"/>
    </w:rPr>
  </w:style>
  <w:style w:type="paragraph" w:styleId="2">
    <w:name w:val="heading 2"/>
    <w:basedOn w:val="a"/>
    <w:next w:val="a"/>
    <w:rsid w:val="00EA6BDB"/>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EA6BDB"/>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EA6BDB"/>
    <w:pPr>
      <w:jc w:val="left"/>
    </w:pPr>
  </w:style>
  <w:style w:type="paragraph" w:styleId="5">
    <w:name w:val="toc 5"/>
    <w:basedOn w:val="a"/>
    <w:next w:val="a"/>
    <w:rsid w:val="00EA6BDB"/>
    <w:pPr>
      <w:ind w:left="1680"/>
    </w:pPr>
  </w:style>
  <w:style w:type="paragraph" w:styleId="30">
    <w:name w:val="toc 3"/>
    <w:basedOn w:val="a"/>
    <w:next w:val="a"/>
    <w:rsid w:val="00EA6BDB"/>
    <w:pPr>
      <w:ind w:left="840"/>
    </w:pPr>
  </w:style>
  <w:style w:type="paragraph" w:styleId="a4">
    <w:name w:val="Balloon Text"/>
    <w:basedOn w:val="a"/>
    <w:rsid w:val="00EA6BDB"/>
    <w:rPr>
      <w:sz w:val="18"/>
      <w:szCs w:val="18"/>
    </w:rPr>
  </w:style>
  <w:style w:type="paragraph" w:styleId="a5">
    <w:name w:val="footer"/>
    <w:basedOn w:val="a"/>
    <w:rsid w:val="00EA6BDB"/>
    <w:pPr>
      <w:tabs>
        <w:tab w:val="center" w:pos="4153"/>
        <w:tab w:val="right" w:pos="8306"/>
      </w:tabs>
      <w:snapToGrid w:val="0"/>
      <w:jc w:val="left"/>
    </w:pPr>
    <w:rPr>
      <w:sz w:val="18"/>
      <w:szCs w:val="18"/>
    </w:rPr>
  </w:style>
  <w:style w:type="paragraph" w:styleId="a6">
    <w:name w:val="header"/>
    <w:basedOn w:val="a"/>
    <w:rsid w:val="00EA6BDB"/>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EA6BDB"/>
  </w:style>
  <w:style w:type="paragraph" w:styleId="4">
    <w:name w:val="toc 4"/>
    <w:basedOn w:val="a"/>
    <w:next w:val="a"/>
    <w:rsid w:val="00EA6BDB"/>
    <w:pPr>
      <w:ind w:left="1260"/>
    </w:pPr>
  </w:style>
  <w:style w:type="paragraph" w:styleId="a7">
    <w:name w:val="footnote text"/>
    <w:basedOn w:val="a"/>
    <w:rsid w:val="00EA6BDB"/>
    <w:pPr>
      <w:snapToGrid w:val="0"/>
      <w:jc w:val="left"/>
    </w:pPr>
    <w:rPr>
      <w:rFonts w:eastAsia="宋体"/>
      <w:sz w:val="18"/>
    </w:rPr>
  </w:style>
  <w:style w:type="paragraph" w:styleId="20">
    <w:name w:val="toc 2"/>
    <w:basedOn w:val="a"/>
    <w:next w:val="a"/>
    <w:rsid w:val="00EA6BDB"/>
    <w:pPr>
      <w:ind w:left="420"/>
    </w:pPr>
  </w:style>
  <w:style w:type="paragraph" w:styleId="a8">
    <w:name w:val="annotation subject"/>
    <w:basedOn w:val="a3"/>
    <w:next w:val="a3"/>
    <w:rsid w:val="00EA6BDB"/>
    <w:rPr>
      <w:b/>
      <w:bCs/>
    </w:rPr>
  </w:style>
  <w:style w:type="character" w:styleId="a9">
    <w:name w:val="Hyperlink"/>
    <w:basedOn w:val="a0"/>
    <w:rsid w:val="00EA6BDB"/>
    <w:rPr>
      <w:color w:val="0000FF"/>
      <w:u w:val="single"/>
    </w:rPr>
  </w:style>
  <w:style w:type="character" w:styleId="aa">
    <w:name w:val="annotation reference"/>
    <w:basedOn w:val="a0"/>
    <w:rsid w:val="00EA6BDB"/>
    <w:rPr>
      <w:sz w:val="21"/>
      <w:szCs w:val="21"/>
    </w:rPr>
  </w:style>
  <w:style w:type="character" w:styleId="ab">
    <w:name w:val="footnote reference"/>
    <w:basedOn w:val="a0"/>
    <w:rsid w:val="00EA6BDB"/>
    <w:rPr>
      <w:vertAlign w:val="superscript"/>
    </w:rPr>
  </w:style>
  <w:style w:type="paragraph" w:styleId="ac">
    <w:name w:val="List Paragraph"/>
    <w:basedOn w:val="a"/>
    <w:rsid w:val="00EA6BDB"/>
    <w:pPr>
      <w:ind w:firstLineChars="200" w:firstLine="200"/>
    </w:pPr>
    <w:rPr>
      <w:rFonts w:eastAsia="宋体"/>
      <w:sz w:val="21"/>
      <w:szCs w:val="24"/>
    </w:rPr>
  </w:style>
  <w:style w:type="paragraph" w:customStyle="1" w:styleId="Default">
    <w:name w:val="Default"/>
    <w:rsid w:val="00EA6BDB"/>
    <w:pPr>
      <w:widowControl w:val="0"/>
      <w:autoSpaceDE w:val="0"/>
      <w:autoSpaceDN w:val="0"/>
      <w:adjustRightInd w:val="0"/>
    </w:pPr>
    <w:rPr>
      <w:rFonts w:ascii="宋体" w:cs="宋体"/>
      <w:color w:val="000000"/>
      <w:sz w:val="24"/>
      <w:szCs w:val="24"/>
    </w:rPr>
  </w:style>
  <w:style w:type="paragraph" w:customStyle="1" w:styleId="11">
    <w:name w:val="修订1"/>
    <w:rsid w:val="00EA6BDB"/>
    <w:rPr>
      <w:rFonts w:eastAsia="方正仿宋简体"/>
      <w:kern w:val="2"/>
      <w:sz w:val="32"/>
    </w:rPr>
  </w:style>
  <w:style w:type="character" w:customStyle="1" w:styleId="icon0">
    <w:name w:val="icon0"/>
    <w:basedOn w:val="a0"/>
    <w:rsid w:val="00EA6B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2818</Characters>
  <Application>Microsoft Office Word</Application>
  <DocSecurity>4</DocSecurity>
  <Lines>23</Lines>
  <Paragraphs>6</Paragraphs>
  <ScaleCrop>false</ScaleCrop>
  <Company>微软中国</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2025-11-24T16:01:00Z</dcterms:created>
  <dcterms:modified xsi:type="dcterms:W3CDTF">2025-11-24T16:01:00Z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52A970D7394C43F7B760A89EDA9C8CDD</vt:lpwstr>
  </property>
</Properties>
</file>