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D5" w:rsidRDefault="00C612D5">
      <w:pPr>
        <w:pStyle w:val="biaogecenter"/>
        <w:rPr>
          <w:sz w:val="30"/>
          <w:szCs w:val="30"/>
        </w:rPr>
      </w:pPr>
      <w:r>
        <w:rPr>
          <w:rFonts w:hint="eastAsia"/>
          <w:b/>
          <w:bCs/>
          <w:sz w:val="30"/>
          <w:szCs w:val="30"/>
        </w:rPr>
        <w:t>中泰锦泉汇金货币市场基金收益支付公告</w:t>
      </w:r>
    </w:p>
    <w:p w:rsidR="00C612D5" w:rsidRDefault="00C612D5">
      <w:pPr>
        <w:pStyle w:val="biaogecenter"/>
        <w:rPr>
          <w:rFonts w:hint="eastAsia"/>
        </w:rPr>
      </w:pPr>
    </w:p>
    <w:p w:rsidR="00C612D5" w:rsidRDefault="00C612D5">
      <w:pPr>
        <w:pStyle w:val="biaogecenter"/>
        <w:rPr>
          <w:rFonts w:hint="eastAsia"/>
        </w:rPr>
      </w:pPr>
      <w:r>
        <w:rPr>
          <w:rFonts w:hint="eastAsia"/>
        </w:rPr>
        <w:t>公告送出日期：2025年</w:t>
      </w:r>
      <w:r w:rsidR="00C85951">
        <w:t>11</w:t>
      </w:r>
      <w:r>
        <w:rPr>
          <w:rFonts w:hint="eastAsia"/>
        </w:rPr>
        <w:t>月25日</w:t>
      </w:r>
    </w:p>
    <w:p w:rsidR="00C612D5" w:rsidRDefault="00C612D5">
      <w:pPr>
        <w:pStyle w:val="dazhangjie"/>
        <w:rPr>
          <w:rFonts w:hint="eastAsia"/>
        </w:rPr>
      </w:pPr>
      <w:r>
        <w:rPr>
          <w:rFonts w:hint="eastAsia"/>
          <w:b/>
          <w:bCs/>
        </w:rPr>
        <w:t>1、 公告基本信息</w:t>
      </w:r>
    </w:p>
    <w:p w:rsidR="00C612D5" w:rsidRDefault="00C612D5">
      <w:pPr>
        <w:widowControl/>
        <w:jc w:val="left"/>
        <w:rPr>
          <w:rFonts w:ascii="宋体" w:eastAsia="宋体" w:hAnsi="宋体" w:cs="宋体" w:hint="eastAsia"/>
          <w:kern w:val="0"/>
          <w:sz w:val="24"/>
          <w:szCs w:val="24"/>
        </w:rPr>
      </w:pPr>
    </w:p>
    <w:tbl>
      <w:tblPr>
        <w:tblW w:w="0" w:type="auto"/>
        <w:tblInd w:w="226" w:type="dxa"/>
        <w:tblLook w:val="0000"/>
      </w:tblPr>
      <w:tblGrid>
        <w:gridCol w:w="2067"/>
        <w:gridCol w:w="7013"/>
      </w:tblGrid>
      <w:tr w:rsidR="00C612D5">
        <w:tc>
          <w:tcPr>
            <w:tcW w:w="4009"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基金名称</w:t>
            </w:r>
          </w:p>
        </w:tc>
        <w:tc>
          <w:tcPr>
            <w:tcW w:w="3645"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中泰锦泉汇金货币市场基金</w:t>
            </w:r>
          </w:p>
        </w:tc>
      </w:tr>
      <w:tr w:rsidR="00C612D5">
        <w:tc>
          <w:tcPr>
            <w:tcW w:w="4009"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基金简称</w:t>
            </w:r>
          </w:p>
        </w:tc>
        <w:tc>
          <w:tcPr>
            <w:tcW w:w="0" w:type="auto"/>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中泰锦泉汇金货币</w:t>
            </w:r>
          </w:p>
        </w:tc>
      </w:tr>
      <w:tr w:rsidR="00C612D5">
        <w:tc>
          <w:tcPr>
            <w:tcW w:w="4009"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基金主代码</w:t>
            </w:r>
          </w:p>
        </w:tc>
        <w:tc>
          <w:tcPr>
            <w:tcW w:w="0" w:type="auto"/>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014822</w:t>
            </w:r>
          </w:p>
        </w:tc>
      </w:tr>
      <w:tr w:rsidR="00C612D5">
        <w:tc>
          <w:tcPr>
            <w:tcW w:w="4009"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基金合同生效日</w:t>
            </w:r>
          </w:p>
        </w:tc>
        <w:tc>
          <w:tcPr>
            <w:tcW w:w="0" w:type="auto"/>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2022年02月28日</w:t>
            </w:r>
          </w:p>
        </w:tc>
      </w:tr>
      <w:tr w:rsidR="00C612D5">
        <w:tc>
          <w:tcPr>
            <w:tcW w:w="4009"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基金管理人名称</w:t>
            </w:r>
          </w:p>
        </w:tc>
        <w:tc>
          <w:tcPr>
            <w:tcW w:w="0" w:type="auto"/>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中泰证券（上海）资产管理有限公司</w:t>
            </w:r>
          </w:p>
        </w:tc>
      </w:tr>
      <w:tr w:rsidR="00C612D5">
        <w:tc>
          <w:tcPr>
            <w:tcW w:w="4009"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公告依据</w:t>
            </w:r>
          </w:p>
        </w:tc>
        <w:tc>
          <w:tcPr>
            <w:tcW w:w="0" w:type="auto"/>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《公开募集证券投资基金信息披露管理办法》、《中泰锦泉汇金货币市场基金基金合同》、《中泰锦泉汇金货币市场基金招募说明书》</w:t>
            </w:r>
          </w:p>
        </w:tc>
      </w:tr>
      <w:tr w:rsidR="00C612D5">
        <w:tc>
          <w:tcPr>
            <w:tcW w:w="4005"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收益集中支付日期</w:t>
            </w:r>
          </w:p>
        </w:tc>
        <w:tc>
          <w:tcPr>
            <w:tcW w:w="0" w:type="auto"/>
            <w:tcBorders>
              <w:top w:val="single" w:sz="8" w:space="0" w:color="000000"/>
              <w:left w:val="single" w:sz="8" w:space="0" w:color="000000"/>
              <w:bottom w:val="single" w:sz="8" w:space="0" w:color="000000"/>
              <w:right w:val="single" w:sz="8" w:space="0" w:color="000000"/>
            </w:tcBorders>
            <w:vAlign w:val="center"/>
          </w:tcPr>
          <w:p w:rsidR="00C612D5" w:rsidRDefault="00C612D5" w:rsidP="00C85951">
            <w:pPr>
              <w:pStyle w:val="biaogeleft"/>
              <w:wordWrap w:val="0"/>
              <w:rPr>
                <w:rFonts w:hint="eastAsia"/>
              </w:rPr>
            </w:pPr>
            <w:r>
              <w:rPr>
                <w:rFonts w:hint="eastAsia"/>
              </w:rPr>
              <w:t>2025-</w:t>
            </w:r>
            <w:r w:rsidR="00C85951">
              <w:t>11</w:t>
            </w:r>
            <w:r>
              <w:rPr>
                <w:rFonts w:hint="eastAsia"/>
              </w:rPr>
              <w:t>-24</w:t>
            </w:r>
          </w:p>
        </w:tc>
      </w:tr>
      <w:tr w:rsidR="00C612D5">
        <w:tc>
          <w:tcPr>
            <w:tcW w:w="4009"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收益累计期间</w:t>
            </w:r>
          </w:p>
        </w:tc>
        <w:tc>
          <w:tcPr>
            <w:tcW w:w="0" w:type="auto"/>
            <w:tcBorders>
              <w:top w:val="single" w:sz="8" w:space="0" w:color="000000"/>
              <w:left w:val="single" w:sz="8" w:space="0" w:color="000000"/>
              <w:bottom w:val="single" w:sz="8" w:space="0" w:color="000000"/>
              <w:right w:val="single" w:sz="8" w:space="0" w:color="000000"/>
            </w:tcBorders>
            <w:vAlign w:val="center"/>
          </w:tcPr>
          <w:p w:rsidR="00C612D5" w:rsidRDefault="00C612D5" w:rsidP="00C85951">
            <w:pPr>
              <w:pStyle w:val="biaogeleft"/>
              <w:wordWrap w:val="0"/>
              <w:rPr>
                <w:rFonts w:hint="eastAsia"/>
              </w:rPr>
            </w:pPr>
            <w:r>
              <w:rPr>
                <w:rFonts w:hint="eastAsia"/>
              </w:rPr>
              <w:t>自2025</w:t>
            </w:r>
            <w:r w:rsidR="00C85951">
              <w:rPr>
                <w:rFonts w:hint="eastAsia"/>
              </w:rPr>
              <w:t>-</w:t>
            </w:r>
            <w:r w:rsidR="00C85951">
              <w:t>10</w:t>
            </w:r>
            <w:r>
              <w:rPr>
                <w:rFonts w:hint="eastAsia"/>
              </w:rPr>
              <w:t>-2</w:t>
            </w:r>
            <w:r w:rsidR="00C85951">
              <w:t>3</w:t>
            </w:r>
            <w:r>
              <w:rPr>
                <w:rFonts w:hint="eastAsia"/>
              </w:rPr>
              <w:t>至2025-</w:t>
            </w:r>
            <w:r w:rsidR="00C85951">
              <w:t>11</w:t>
            </w:r>
            <w:r>
              <w:rPr>
                <w:rFonts w:hint="eastAsia"/>
              </w:rPr>
              <w:t>-24止</w:t>
            </w:r>
          </w:p>
        </w:tc>
      </w:tr>
    </w:tbl>
    <w:p w:rsidR="00C612D5" w:rsidRDefault="00C612D5">
      <w:pPr>
        <w:widowControl/>
        <w:jc w:val="left"/>
        <w:rPr>
          <w:rFonts w:ascii="宋体" w:eastAsia="宋体" w:hAnsi="宋体" w:cs="宋体" w:hint="eastAsia"/>
          <w:kern w:val="0"/>
          <w:sz w:val="24"/>
          <w:szCs w:val="24"/>
        </w:rPr>
      </w:pPr>
    </w:p>
    <w:p w:rsidR="00C612D5" w:rsidRDefault="00C612D5">
      <w:pPr>
        <w:pStyle w:val="dazhangjie"/>
        <w:rPr>
          <w:rFonts w:hint="eastAsia"/>
        </w:rPr>
      </w:pPr>
      <w:r>
        <w:rPr>
          <w:rFonts w:hint="eastAsia"/>
          <w:b/>
          <w:bCs/>
        </w:rPr>
        <w:t>2、与收益支付相关的其他信息</w:t>
      </w:r>
    </w:p>
    <w:p w:rsidR="00C612D5" w:rsidRDefault="00C612D5">
      <w:pPr>
        <w:widowControl/>
        <w:jc w:val="left"/>
        <w:rPr>
          <w:rFonts w:ascii="宋体" w:eastAsia="宋体" w:hAnsi="宋体" w:cs="宋体" w:hint="eastAsia"/>
          <w:kern w:val="0"/>
          <w:sz w:val="24"/>
          <w:szCs w:val="24"/>
        </w:rPr>
      </w:pPr>
    </w:p>
    <w:tbl>
      <w:tblPr>
        <w:tblW w:w="8250" w:type="dxa"/>
        <w:tblInd w:w="226" w:type="dxa"/>
        <w:tblLook w:val="0000"/>
      </w:tblPr>
      <w:tblGrid>
        <w:gridCol w:w="3072"/>
        <w:gridCol w:w="5178"/>
      </w:tblGrid>
      <w:tr w:rsidR="00C612D5">
        <w:tc>
          <w:tcPr>
            <w:tcW w:w="3000"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累计收益计算公式</w:t>
            </w:r>
          </w:p>
        </w:tc>
        <w:tc>
          <w:tcPr>
            <w:tcW w:w="5057"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基金份额持有人累计收益＝Σ基金份额持有人日收益 (即基金份额持有人日收益逐日累加) ，基金份额持有人日收益＝基金份额持有人当日持有的基金份额/该基金当日总份额×当日总收益(计算结果以去尾方式保留到"分"，即保留两位小数后去尾)。</w:t>
            </w:r>
          </w:p>
        </w:tc>
      </w:tr>
      <w:tr w:rsidR="00C612D5">
        <w:tc>
          <w:tcPr>
            <w:tcW w:w="3000"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收益结转的基金份额可赎回起始日</w:t>
            </w:r>
          </w:p>
        </w:tc>
        <w:tc>
          <w:tcPr>
            <w:tcW w:w="5057"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2025-</w:t>
            </w:r>
            <w:r w:rsidR="00C85951">
              <w:t>11</w:t>
            </w:r>
            <w:r>
              <w:rPr>
                <w:rFonts w:hint="eastAsia"/>
              </w:rPr>
              <w:t>-26</w:t>
            </w:r>
          </w:p>
        </w:tc>
      </w:tr>
      <w:tr w:rsidR="00C612D5">
        <w:tc>
          <w:tcPr>
            <w:tcW w:w="3000"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收益支付对象</w:t>
            </w:r>
          </w:p>
        </w:tc>
        <w:tc>
          <w:tcPr>
            <w:tcW w:w="5057"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收益支付日在中国证券登记结算有限责任公司登记在册的本基金全体基金份额持有人。</w:t>
            </w:r>
          </w:p>
        </w:tc>
      </w:tr>
      <w:tr w:rsidR="00C612D5">
        <w:tc>
          <w:tcPr>
            <w:tcW w:w="3000"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收益支付办法</w:t>
            </w:r>
          </w:p>
        </w:tc>
        <w:tc>
          <w:tcPr>
            <w:tcW w:w="5057"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本基金收益支付方式为收益再投资方式，投资者收益结转的基金份额将于2025年</w:t>
            </w:r>
            <w:r w:rsidR="00C85951">
              <w:rPr>
                <w:rFonts w:hint="eastAsia"/>
              </w:rPr>
              <w:t>1</w:t>
            </w:r>
            <w:r w:rsidR="00C85951">
              <w:t>1</w:t>
            </w:r>
            <w:r>
              <w:rPr>
                <w:rFonts w:hint="eastAsia"/>
              </w:rPr>
              <w:t>月25日直接计入其基金账户,2025年</w:t>
            </w:r>
            <w:r w:rsidR="00C85951">
              <w:rPr>
                <w:rFonts w:hint="eastAsia"/>
              </w:rPr>
              <w:t>1</w:t>
            </w:r>
            <w:r w:rsidR="00C85951">
              <w:t>1</w:t>
            </w:r>
            <w:r>
              <w:rPr>
                <w:rFonts w:hint="eastAsia"/>
              </w:rPr>
              <w:t>月26日起可查询及赎回。</w:t>
            </w:r>
          </w:p>
        </w:tc>
      </w:tr>
      <w:tr w:rsidR="00C612D5">
        <w:tc>
          <w:tcPr>
            <w:tcW w:w="3000"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税收相关事项的说明</w:t>
            </w:r>
          </w:p>
        </w:tc>
        <w:tc>
          <w:tcPr>
            <w:tcW w:w="5057"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根据财政部、国家税务总局《关于开放式证券投资基金有关税收问题的通知》（财税字[2002]128号），对投资者（包括个人和机构投资者）从基金分配中取得的收入，暂不征收个人所得税和</w:t>
            </w:r>
            <w:r>
              <w:rPr>
                <w:rFonts w:hint="eastAsia"/>
              </w:rPr>
              <w:lastRenderedPageBreak/>
              <w:t>企业所得税。</w:t>
            </w:r>
          </w:p>
        </w:tc>
      </w:tr>
      <w:tr w:rsidR="00C612D5">
        <w:tc>
          <w:tcPr>
            <w:tcW w:w="3000"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lastRenderedPageBreak/>
              <w:t>费用相关事项的说明</w:t>
            </w:r>
          </w:p>
        </w:tc>
        <w:tc>
          <w:tcPr>
            <w:tcW w:w="5057" w:type="dxa"/>
            <w:tcBorders>
              <w:top w:val="single" w:sz="8" w:space="0" w:color="000000"/>
              <w:left w:val="single" w:sz="8" w:space="0" w:color="000000"/>
              <w:bottom w:val="single" w:sz="8" w:space="0" w:color="000000"/>
              <w:right w:val="single" w:sz="8" w:space="0" w:color="000000"/>
            </w:tcBorders>
            <w:vAlign w:val="center"/>
          </w:tcPr>
          <w:p w:rsidR="00C612D5" w:rsidRDefault="00C612D5">
            <w:pPr>
              <w:pStyle w:val="biaogeleft"/>
              <w:wordWrap w:val="0"/>
              <w:rPr>
                <w:rFonts w:hint="eastAsia"/>
              </w:rPr>
            </w:pPr>
            <w:r>
              <w:rPr>
                <w:rFonts w:hint="eastAsia"/>
              </w:rPr>
              <w:t>本基金本次收益支付免收分红手续费和再投资手续费。</w:t>
            </w:r>
          </w:p>
        </w:tc>
      </w:tr>
    </w:tbl>
    <w:p w:rsidR="00C612D5" w:rsidRDefault="00C612D5">
      <w:pPr>
        <w:pStyle w:val="neirong"/>
        <w:rPr>
          <w:rFonts w:hint="eastAsia"/>
        </w:rPr>
      </w:pPr>
      <w:r>
        <w:rPr>
          <w:rFonts w:hint="eastAsia"/>
        </w:rPr>
        <w:t>注：（1）当日申购的基金份额自下一个工作日起，享有基金的收益分配权益；当日赎回的基金份额自下一个工作日起，不享有基金的收益分配权益。 </w:t>
      </w:r>
      <w:r>
        <w:rPr>
          <w:rFonts w:hint="eastAsia"/>
        </w:rPr>
        <w:br/>
        <w:t>（2）本基金投资者的累计收益定于每月22日集中支付并按1元面值自动转为基金份额。若该日为非工作日，则顺延至下一工作日。如遇特殊情况，将另行公告。 </w:t>
      </w:r>
    </w:p>
    <w:p w:rsidR="00C612D5" w:rsidRDefault="00C612D5">
      <w:pPr>
        <w:widowControl/>
        <w:jc w:val="left"/>
        <w:rPr>
          <w:rFonts w:ascii="宋体" w:eastAsia="宋体" w:hAnsi="宋体" w:cs="宋体" w:hint="eastAsia"/>
          <w:kern w:val="0"/>
          <w:sz w:val="24"/>
          <w:szCs w:val="24"/>
        </w:rPr>
      </w:pPr>
    </w:p>
    <w:p w:rsidR="00C612D5" w:rsidRDefault="00C612D5">
      <w:pPr>
        <w:pStyle w:val="dazhangjie"/>
        <w:rPr>
          <w:rFonts w:hint="eastAsia"/>
        </w:rPr>
      </w:pPr>
      <w:r>
        <w:rPr>
          <w:rFonts w:hint="eastAsia"/>
          <w:b/>
          <w:bCs/>
        </w:rPr>
        <w:t>3、其他需要提示的事项</w:t>
      </w:r>
    </w:p>
    <w:p w:rsidR="00C612D5" w:rsidRDefault="00C612D5">
      <w:pPr>
        <w:pStyle w:val="neirong"/>
        <w:rPr>
          <w:rFonts w:hint="eastAsia"/>
        </w:rPr>
      </w:pPr>
      <w:r>
        <w:rPr>
          <w:rFonts w:hint="eastAsia"/>
        </w:rPr>
        <w:t>  1.投资者可通过下列渠道了解相关信息：</w:t>
      </w:r>
      <w:r>
        <w:rPr>
          <w:rFonts w:hint="eastAsia"/>
        </w:rPr>
        <w:br/>
        <w:t>  (1)中泰证券（上海）资产管理有限公司客户服务电话：400-821-0808；</w:t>
      </w:r>
      <w:r>
        <w:rPr>
          <w:rFonts w:hint="eastAsia"/>
        </w:rPr>
        <w:br/>
        <w:t>  (2)中泰证券（上海）资产管理有限公司网站：www.ztzqzg.com；</w:t>
      </w:r>
      <w:r>
        <w:rPr>
          <w:rFonts w:hint="eastAsia"/>
        </w:rPr>
        <w:br/>
        <w:t>  (3)本基金销售机构：中泰证券股份有限公司</w:t>
      </w:r>
      <w:r>
        <w:rPr>
          <w:rFonts w:hint="eastAsia"/>
        </w:rPr>
        <w:br/>
        <w:t>  2．风险提示</w:t>
      </w:r>
      <w:r>
        <w:rPr>
          <w:rFonts w:hint="eastAsia"/>
        </w:rPr>
        <w:br/>
        <w:t>  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者根据自身的风险承受能力选择适合自己的基金产品。</w:t>
      </w:r>
      <w:r>
        <w:rPr>
          <w:rFonts w:hint="eastAsia"/>
        </w:rPr>
        <w:br/>
        <w:t>  本基金是以投资者交易结算资金为管理对象的货币市场基金，购买货币市场基金并不等于将资金作为存款存放在银行或者存款类金融机构。本基金对接服务的资金仅限于证券公司经纪业务客户交易结算资金，投资者持有的基金份额可用于客户资金账户交易结算；但是，本基金基金份额不等于投资者交易结算资金，本基金可能会给投资者证券交易、取款等带来习惯改变。敬请注意投资风险。</w:t>
      </w:r>
      <w:r>
        <w:rPr>
          <w:rFonts w:hint="eastAsia"/>
        </w:rPr>
        <w:br/>
        <w:t>  特此公告。</w:t>
      </w:r>
      <w:r>
        <w:rPr>
          <w:rFonts w:hint="eastAsia"/>
        </w:rPr>
        <w:br/>
        <w:t>  </w:t>
      </w:r>
    </w:p>
    <w:p w:rsidR="00C612D5" w:rsidRDefault="00C612D5">
      <w:pPr>
        <w:pStyle w:val="biaogeright"/>
        <w:rPr>
          <w:rFonts w:hint="eastAsia"/>
        </w:rPr>
      </w:pPr>
      <w:r>
        <w:rPr>
          <w:rFonts w:hAnsi="等线" w:hint="eastAsia"/>
          <w:color w:val="000000"/>
        </w:rPr>
        <w:t>中泰证券（上海）资产管理有限公司</w:t>
      </w:r>
    </w:p>
    <w:p w:rsidR="00C612D5" w:rsidRDefault="00C612D5">
      <w:pPr>
        <w:pStyle w:val="biaogeright"/>
        <w:rPr>
          <w:rFonts w:hint="eastAsia"/>
        </w:rPr>
      </w:pPr>
      <w:r>
        <w:rPr>
          <w:rFonts w:hAnsi="等线" w:hint="eastAsia"/>
          <w:color w:val="000000"/>
        </w:rPr>
        <w:t>2025年</w:t>
      </w:r>
      <w:r w:rsidR="00C85951">
        <w:rPr>
          <w:rFonts w:hAnsi="等线"/>
          <w:color w:val="000000"/>
        </w:rPr>
        <w:t>11</w:t>
      </w:r>
      <w:r>
        <w:rPr>
          <w:rFonts w:hAnsi="等线" w:hint="eastAsia"/>
          <w:color w:val="000000"/>
        </w:rPr>
        <w:t>月25日</w:t>
      </w:r>
    </w:p>
    <w:sectPr w:rsidR="00C612D5">
      <w:pgSz w:w="11926" w:h="16867"/>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3D41"/>
    <w:rsid w:val="00011FAB"/>
    <w:rsid w:val="002E50A0"/>
    <w:rsid w:val="00343D41"/>
    <w:rsid w:val="00C612D5"/>
    <w:rsid w:val="00C85951"/>
    <w:rsid w:val="17CC49D7"/>
    <w:rsid w:val="60F64CD0"/>
    <w:rsid w:val="72B023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pPr>
      <w:tabs>
        <w:tab w:val="center" w:pos="4153"/>
        <w:tab w:val="right" w:pos="8306"/>
      </w:tabs>
      <w:snapToGrid w:val="0"/>
      <w:jc w:val="left"/>
    </w:pPr>
    <w:rPr>
      <w:sz w:val="18"/>
      <w:szCs w:val="18"/>
    </w:rPr>
  </w:style>
  <w:style w:type="character" w:customStyle="1" w:styleId="1">
    <w:name w:val="页脚 字符1"/>
    <w:link w:val="a3"/>
    <w:uiPriority w:val="99"/>
    <w:locked/>
    <w:rPr>
      <w:rFonts w:ascii="Times New Roman" w:hAnsi="Times New Roman" w:cs="Times New Roman" w:hint="default"/>
      <w:sz w:val="18"/>
      <w:szCs w:val="18"/>
    </w:rPr>
  </w:style>
  <w:style w:type="paragraph" w:styleId="a4">
    <w:name w:val="header"/>
    <w:basedOn w:val="a"/>
    <w:link w:val="1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0">
    <w:name w:val="页眉 字符1"/>
    <w:link w:val="a4"/>
    <w:uiPriority w:val="99"/>
    <w:locked/>
    <w:rPr>
      <w:rFonts w:ascii="Times New Roman" w:hAnsi="Times New Roman" w:cs="Times New Roman" w:hint="default"/>
      <w:sz w:val="18"/>
      <w:szCs w:val="18"/>
    </w:rPr>
  </w:style>
  <w:style w:type="character" w:customStyle="1" w:styleId="a5">
    <w:name w:val="页脚 字符"/>
    <w:link w:val="a3"/>
    <w:uiPriority w:val="99"/>
    <w:semiHidden/>
    <w:rPr>
      <w:rFonts w:cs="Times New Roman"/>
      <w:sz w:val="18"/>
      <w:szCs w:val="18"/>
    </w:rPr>
  </w:style>
  <w:style w:type="character" w:customStyle="1" w:styleId="a6">
    <w:name w:val="页眉 字符"/>
    <w:link w:val="a4"/>
    <w:uiPriority w:val="99"/>
    <w:semiHidden/>
    <w:rPr>
      <w:rFonts w:cs="Times New Roman"/>
      <w:sz w:val="18"/>
      <w:szCs w:val="18"/>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eastAsia="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eastAsia="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eastAsia="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92"/>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4</DocSecurity>
  <Lines>10</Lines>
  <Paragraphs>2</Paragraphs>
  <ScaleCrop>false</ScaleCrop>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ZHONGM</cp:lastModifiedBy>
  <cp:revision>2</cp:revision>
  <dcterms:created xsi:type="dcterms:W3CDTF">2025-11-24T16:00:00Z</dcterms:created>
  <dcterms:modified xsi:type="dcterms:W3CDTF">2025-11-24T16:00:00Z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4BAF424A7FC24B80975A0FBFED9652D4</vt:lpwstr>
  </property>
</Properties>
</file>