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3306">
      <w:pPr>
        <w:pStyle w:val="biaogecenter"/>
        <w:rPr>
          <w:sz w:val="30"/>
          <w:szCs w:val="30"/>
        </w:rPr>
      </w:pPr>
      <w:r>
        <w:rPr>
          <w:rFonts w:hint="eastAsia"/>
          <w:b/>
          <w:bCs/>
          <w:sz w:val="30"/>
          <w:szCs w:val="30"/>
        </w:rPr>
        <w:t>中加瑞享纯债债券型证券投资基金分红公告</w:t>
      </w:r>
    </w:p>
    <w:p w:rsidR="00000000" w:rsidRDefault="00F63306">
      <w:pPr>
        <w:pStyle w:val="biaogecenter"/>
        <w:rPr>
          <w:rFonts w:hint="eastAsia"/>
        </w:rPr>
      </w:pPr>
    </w:p>
    <w:p w:rsidR="00000000" w:rsidRDefault="00F63306">
      <w:pPr>
        <w:pStyle w:val="biaogecenter"/>
        <w:rPr>
          <w:rFonts w:hint="eastAsia"/>
        </w:rPr>
      </w:pPr>
      <w:r>
        <w:rPr>
          <w:rFonts w:hint="eastAsia"/>
        </w:rPr>
        <w:t>公告送出日期：</w:t>
      </w:r>
      <w:r>
        <w:rPr>
          <w:rFonts w:hint="eastAsia"/>
        </w:rPr>
        <w:t>2025</w:t>
      </w:r>
      <w:r>
        <w:rPr>
          <w:rFonts w:hint="eastAsia"/>
        </w:rPr>
        <w:t>年</w:t>
      </w:r>
      <w:r>
        <w:rPr>
          <w:rFonts w:hint="eastAsia"/>
        </w:rPr>
        <w:t>11</w:t>
      </w:r>
      <w:r>
        <w:rPr>
          <w:rFonts w:hint="eastAsia"/>
        </w:rPr>
        <w:t>月</w:t>
      </w:r>
      <w:r>
        <w:rPr>
          <w:rFonts w:hint="eastAsia"/>
        </w:rPr>
        <w:t>25</w:t>
      </w:r>
      <w:r>
        <w:rPr>
          <w:rFonts w:hint="eastAsia"/>
        </w:rPr>
        <w:t>日</w:t>
      </w:r>
    </w:p>
    <w:p w:rsidR="00000000" w:rsidRDefault="00F63306">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F63306">
      <w:pPr>
        <w:widowControl/>
        <w:jc w:val="left"/>
        <w:rPr>
          <w:rFonts w:ascii="宋体" w:hAnsi="宋体" w:cs="宋体" w:hint="eastAsia"/>
          <w:kern w:val="0"/>
          <w:sz w:val="24"/>
          <w:szCs w:val="24"/>
        </w:rPr>
      </w:pPr>
    </w:p>
    <w:tbl>
      <w:tblPr>
        <w:tblW w:w="0" w:type="auto"/>
        <w:tblInd w:w="108" w:type="dxa"/>
        <w:tblLayout w:type="fixed"/>
        <w:tblLook w:val="0000"/>
      </w:tblPr>
      <w:tblGrid>
        <w:gridCol w:w="1375"/>
        <w:gridCol w:w="1924"/>
        <w:gridCol w:w="2475"/>
        <w:gridCol w:w="2475"/>
      </w:tblGrid>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基金名称</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中加瑞享纯债债券型证券投资基金</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基金简称</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中加瑞享纯债债券</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基金主代码</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008765</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基金合同生效日</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2020</w:t>
            </w:r>
            <w:r>
              <w:rPr>
                <w:rFonts w:hint="eastAsia"/>
              </w:rPr>
              <w:t>年</w:t>
            </w:r>
            <w:r>
              <w:rPr>
                <w:rFonts w:hint="eastAsia"/>
              </w:rPr>
              <w:t>03</w:t>
            </w:r>
            <w:r>
              <w:rPr>
                <w:rFonts w:hint="eastAsia"/>
              </w:rPr>
              <w:t>月</w:t>
            </w:r>
            <w:r>
              <w:rPr>
                <w:rFonts w:hint="eastAsia"/>
              </w:rPr>
              <w:t>13</w:t>
            </w:r>
            <w:r>
              <w:rPr>
                <w:rFonts w:hint="eastAsia"/>
              </w:rPr>
              <w:t>日</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基金管理人名称</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中加基金管理有限公司</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基金托管人名称</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徽商银行股份有限公司</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公告依据</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根据《中华人民共和国证券投资基金法》、《公开募集证券投资基金运作管理办法》等法律法规以及《中加瑞享纯债债券型证券投资基金基金合同》、《中加瑞享纯债债券型证券投资基金招募说明书》的</w:t>
            </w:r>
            <w:r>
              <w:rPr>
                <w:rFonts w:hint="eastAsia"/>
              </w:rPr>
              <w:t>有关规定</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收益分配基准日</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2025</w:t>
            </w:r>
            <w:r>
              <w:rPr>
                <w:rFonts w:hint="eastAsia"/>
              </w:rPr>
              <w:t>年</w:t>
            </w:r>
            <w:r>
              <w:rPr>
                <w:rFonts w:hint="eastAsia"/>
              </w:rPr>
              <w:t>11</w:t>
            </w:r>
            <w:r>
              <w:rPr>
                <w:rFonts w:hint="eastAsia"/>
              </w:rPr>
              <w:t>月</w:t>
            </w:r>
            <w:r>
              <w:rPr>
                <w:rFonts w:hint="eastAsia"/>
              </w:rPr>
              <w:t>17</w:t>
            </w:r>
            <w:r>
              <w:rPr>
                <w:rFonts w:hint="eastAsia"/>
              </w:rPr>
              <w:t>日</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有关年度分红次数的说明</w:t>
            </w:r>
          </w:p>
        </w:tc>
        <w:tc>
          <w:tcPr>
            <w:tcW w:w="495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本基金本次分红为</w:t>
            </w:r>
            <w:r>
              <w:rPr>
                <w:rFonts w:hint="eastAsia"/>
              </w:rPr>
              <w:t>2025</w:t>
            </w:r>
            <w:r>
              <w:rPr>
                <w:rFonts w:hint="eastAsia"/>
              </w:rPr>
              <w:t>年度第</w:t>
            </w:r>
            <w:r>
              <w:rPr>
                <w:rFonts w:hint="eastAsia"/>
              </w:rPr>
              <w:t>3</w:t>
            </w:r>
            <w:r>
              <w:rPr>
                <w:rFonts w:hint="eastAsia"/>
              </w:rPr>
              <w:t>次分红</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下属基金份额类别的基金简称</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中加瑞享纯债债券</w:t>
            </w:r>
            <w:r>
              <w:rPr>
                <w:rFonts w:hint="eastAsia"/>
              </w:rPr>
              <w:t>A</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中加瑞享纯债债券</w:t>
            </w:r>
            <w:r>
              <w:rPr>
                <w:rFonts w:hint="eastAsia"/>
              </w:rPr>
              <w:t>C</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下属基金份额类别的交易代码</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008765</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011245</w:t>
            </w:r>
          </w:p>
        </w:tc>
      </w:tr>
      <w:tr w:rsidR="00000000">
        <w:tc>
          <w:tcPr>
            <w:tcW w:w="1375" w:type="dxa"/>
            <w:vMerge w:val="restart"/>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ind w:left="0"/>
            </w:pPr>
            <w:r>
              <w:rPr>
                <w:rFonts w:hint="eastAsia"/>
              </w:rPr>
              <w:t>截止基准日下属基金份额类别的相关指标</w:t>
            </w:r>
          </w:p>
        </w:tc>
        <w:tc>
          <w:tcPr>
            <w:tcW w:w="1924"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基准日下属基金份额类别净值（单位</w:t>
            </w:r>
            <w:r>
              <w:rPr>
                <w:rFonts w:hint="eastAsia"/>
              </w:rPr>
              <w:t>:</w:t>
            </w:r>
            <w:r>
              <w:rPr>
                <w:rFonts w:hint="eastAsia"/>
              </w:rPr>
              <w:t>人民币元）</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1.0389</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1.0035</w:t>
            </w:r>
          </w:p>
        </w:tc>
      </w:tr>
      <w:tr w:rsidR="00000000">
        <w:tc>
          <w:tcPr>
            <w:tcW w:w="1375" w:type="dxa"/>
            <w:vMerge/>
            <w:tcBorders>
              <w:top w:val="single" w:sz="8" w:space="0" w:color="000000"/>
              <w:left w:val="single" w:sz="8" w:space="0" w:color="000000"/>
              <w:bottom w:val="single" w:sz="6" w:space="0" w:color="000000"/>
              <w:right w:val="single" w:sz="8" w:space="0" w:color="000000"/>
            </w:tcBorders>
            <w:vAlign w:val="center"/>
          </w:tcPr>
          <w:p w:rsidR="00000000" w:rsidRDefault="00F63306">
            <w:pPr>
              <w:widowControl/>
              <w:jc w:val="left"/>
              <w:rPr>
                <w:rFonts w:ascii="宋体" w:hAnsi="宋体" w:cs="宋体"/>
                <w:kern w:val="0"/>
                <w:sz w:val="24"/>
                <w:szCs w:val="24"/>
              </w:rPr>
            </w:pPr>
          </w:p>
        </w:tc>
        <w:tc>
          <w:tcPr>
            <w:tcW w:w="1924"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基准日下属基金份额类别可供分配利润（单位</w:t>
            </w:r>
            <w:r>
              <w:rPr>
                <w:rFonts w:hint="eastAsia"/>
              </w:rPr>
              <w:t>:</w:t>
            </w:r>
            <w:r>
              <w:rPr>
                <w:rFonts w:hint="eastAsia"/>
              </w:rPr>
              <w:t>人民币元）</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50,274,787.17</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0.07</w:t>
            </w:r>
          </w:p>
        </w:tc>
      </w:tr>
      <w:tr w:rsidR="00000000">
        <w:tc>
          <w:tcPr>
            <w:tcW w:w="3299"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本次下属基金份额类别分红方案（单位</w:t>
            </w:r>
            <w:r>
              <w:rPr>
                <w:rFonts w:hint="eastAsia"/>
              </w:rPr>
              <w:t>:</w:t>
            </w:r>
            <w:r>
              <w:rPr>
                <w:rFonts w:hint="eastAsia"/>
              </w:rPr>
              <w:t>元</w:t>
            </w:r>
            <w:r>
              <w:rPr>
                <w:rFonts w:hint="eastAsia"/>
              </w:rPr>
              <w:t>/10</w:t>
            </w:r>
            <w:r>
              <w:rPr>
                <w:rFonts w:hint="eastAsia"/>
              </w:rPr>
              <w:t>份基金份额</w:t>
            </w:r>
            <w:r>
              <w:rPr>
                <w:rFonts w:hint="eastAsia"/>
              </w:rPr>
              <w:t>）</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0.11</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w:t>
            </w:r>
          </w:p>
        </w:tc>
      </w:tr>
    </w:tbl>
    <w:p w:rsidR="00000000" w:rsidRDefault="00F63306">
      <w:pPr>
        <w:widowControl/>
        <w:jc w:val="left"/>
        <w:rPr>
          <w:rFonts w:ascii="宋体" w:hAnsi="宋体" w:cs="宋体" w:hint="eastAsia"/>
          <w:kern w:val="0"/>
          <w:sz w:val="24"/>
          <w:szCs w:val="24"/>
        </w:rPr>
      </w:pPr>
    </w:p>
    <w:p w:rsidR="00000000" w:rsidRDefault="00F63306">
      <w:pPr>
        <w:pStyle w:val="dazhangjie"/>
        <w:rPr>
          <w:rFonts w:hint="eastAsia"/>
        </w:rPr>
      </w:pPr>
      <w:r>
        <w:rPr>
          <w:rFonts w:hAnsi="Calibri" w:hint="eastAsia"/>
          <w:b/>
          <w:color w:val="000000"/>
        </w:rPr>
        <w:lastRenderedPageBreak/>
        <w:t xml:space="preserve">2 </w:t>
      </w:r>
      <w:r>
        <w:rPr>
          <w:rFonts w:hAnsi="Calibri" w:hint="eastAsia"/>
          <w:b/>
          <w:color w:val="000000"/>
        </w:rPr>
        <w:t>与分红相关的其他信息</w:t>
      </w:r>
    </w:p>
    <w:p w:rsidR="00000000" w:rsidRDefault="00F63306">
      <w:pPr>
        <w:widowControl/>
        <w:jc w:val="left"/>
        <w:rPr>
          <w:rFonts w:ascii="宋体" w:hAnsi="宋体" w:cs="宋体" w:hint="eastAsia"/>
          <w:kern w:val="0"/>
          <w:sz w:val="24"/>
          <w:szCs w:val="24"/>
        </w:rPr>
      </w:pPr>
    </w:p>
    <w:tbl>
      <w:tblPr>
        <w:tblW w:w="0" w:type="auto"/>
        <w:tblInd w:w="108" w:type="dxa"/>
        <w:tblLayout w:type="fixed"/>
        <w:tblLook w:val="0000"/>
      </w:tblPr>
      <w:tblGrid>
        <w:gridCol w:w="3465"/>
        <w:gridCol w:w="4785"/>
      </w:tblGrid>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权益登记日</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26</w:t>
            </w:r>
            <w:r>
              <w:rPr>
                <w:rFonts w:hAnsi="Calibri" w:hint="eastAsia"/>
                <w:color w:val="000000"/>
              </w:rPr>
              <w:t>日</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除息日</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26</w:t>
            </w:r>
            <w:r>
              <w:rPr>
                <w:rFonts w:hAnsi="Calibri" w:hint="eastAsia"/>
                <w:color w:val="000000"/>
              </w:rPr>
              <w:t>日</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现金红利发放日</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27</w:t>
            </w:r>
            <w:r>
              <w:rPr>
                <w:rFonts w:hAnsi="Calibri" w:hint="eastAsia"/>
                <w:color w:val="000000"/>
              </w:rPr>
              <w:t>日</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分红对象</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Ansi="Calibri" w:hint="eastAsia"/>
                <w:color w:val="000000"/>
              </w:rPr>
              <w:t>权益登记日在中加基金管理有限公司登记在册的本基金的全体基金份额持有人。</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红利再投资相关事项的说明</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jc w:val="both"/>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26</w:t>
            </w:r>
            <w:r>
              <w:rPr>
                <w:rFonts w:hAnsi="Calibri" w:hint="eastAsia"/>
                <w:color w:val="000000"/>
              </w:rPr>
              <w:t>日除权后的基金份额净值为计算基准确定再投资份额，红利再投资所转换的基金份额于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27</w:t>
            </w:r>
            <w:r>
              <w:rPr>
                <w:rFonts w:hAnsi="Calibri" w:hint="eastAsia"/>
                <w:color w:val="000000"/>
              </w:rPr>
              <w:t>日直接划入其基金账户。本公司对红利再投资所产生的基金份额进行确认并通知各</w:t>
            </w:r>
            <w:r>
              <w:rPr>
                <w:rFonts w:hAnsi="Calibri" w:hint="eastAsia"/>
                <w:color w:val="000000"/>
              </w:rPr>
              <w:t>销售机构。</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28</w:t>
            </w:r>
            <w:r>
              <w:rPr>
                <w:rFonts w:hAnsi="Calibri" w:hint="eastAsia"/>
                <w:color w:val="000000"/>
              </w:rPr>
              <w:t>日起投资者可以查询。</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税收相关事项的说明</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号《关于开放式证券投资基金有关税收问题的通知》，基金向投资者分配的基金收益，暂免征收所得税。</w:t>
            </w:r>
          </w:p>
        </w:tc>
      </w:tr>
      <w:tr w:rsidR="00000000">
        <w:tc>
          <w:tcPr>
            <w:tcW w:w="346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wordWrap w:val="0"/>
            </w:pPr>
            <w:r>
              <w:rPr>
                <w:rFonts w:hint="eastAsia"/>
              </w:rPr>
              <w:t>费用相关事项的说明</w:t>
            </w:r>
          </w:p>
        </w:tc>
        <w:tc>
          <w:tcPr>
            <w:tcW w:w="4785" w:type="dxa"/>
            <w:tcBorders>
              <w:top w:val="single" w:sz="8" w:space="0" w:color="000000"/>
              <w:left w:val="single" w:sz="8" w:space="0" w:color="000000"/>
              <w:bottom w:val="single" w:sz="6" w:space="0" w:color="000000"/>
              <w:right w:val="single" w:sz="8" w:space="0" w:color="000000"/>
            </w:tcBorders>
            <w:vAlign w:val="center"/>
          </w:tcPr>
          <w:p w:rsidR="00000000" w:rsidRDefault="00F63306">
            <w:pPr>
              <w:pStyle w:val="biaogeleft"/>
              <w:numPr>
                <w:ilvl w:val="0"/>
                <w:numId w:val="1"/>
              </w:numPr>
              <w:wordWrap w:val="0"/>
            </w:pPr>
            <w:r>
              <w:rPr>
                <w:rFonts w:hint="eastAsia"/>
              </w:rPr>
              <w:t>本基金本次分红免收分红手续费。</w:t>
            </w:r>
          </w:p>
          <w:p w:rsidR="00000000" w:rsidRDefault="00F63306">
            <w:pPr>
              <w:pStyle w:val="biaogeleft"/>
              <w:numPr>
                <w:ilvl w:val="0"/>
                <w:numId w:val="1"/>
              </w:numPr>
              <w:wordWrap w:val="0"/>
            </w:pPr>
            <w:r>
              <w:rPr>
                <w:rFonts w:hint="eastAsia"/>
              </w:rPr>
              <w:t>选择红利再投资方式的投资者其红利所转换的基金份额免收申购费用。</w:t>
            </w:r>
            <w:r>
              <w:rPr>
                <w:rFonts w:hint="eastAsia"/>
              </w:rPr>
              <w:t xml:space="preserve"> </w:t>
            </w:r>
          </w:p>
        </w:tc>
      </w:tr>
    </w:tbl>
    <w:p w:rsidR="00000000" w:rsidRDefault="00F63306">
      <w:pPr>
        <w:pStyle w:val="neirong"/>
        <w:jc w:val="both"/>
        <w:rPr>
          <w:rFonts w:hint="eastAsia"/>
        </w:rPr>
      </w:pPr>
      <w:r>
        <w:rPr>
          <w:rFonts w:hint="eastAsia"/>
        </w:rPr>
        <w:t>注：</w:t>
      </w:r>
      <w:r>
        <w:rPr>
          <w:rFonts w:hint="eastAsia"/>
        </w:rPr>
        <w:t>1</w:t>
      </w:r>
      <w:r>
        <w:rPr>
          <w:rFonts w:hint="eastAsia"/>
        </w:rPr>
        <w:t>、权益登记日当日申请申购的基金份额不享有本次分红权益，权益登记日当日申请赎回的基金份额享有本次分红权益。</w:t>
      </w:r>
    </w:p>
    <w:p w:rsidR="00000000" w:rsidRDefault="00F63306">
      <w:pPr>
        <w:pStyle w:val="neirong"/>
        <w:ind w:firstLineChars="200" w:firstLine="480"/>
        <w:jc w:val="both"/>
        <w:rPr>
          <w:rFonts w:hint="eastAsia"/>
        </w:rPr>
      </w:pPr>
      <w:r>
        <w:rPr>
          <w:rFonts w:hint="eastAsia"/>
        </w:rPr>
        <w:t>2</w:t>
      </w:r>
      <w:r>
        <w:rPr>
          <w:rFonts w:hint="eastAsia"/>
        </w:rPr>
        <w:t>、对于未选择具体分红方式的投资者，本基金默认的分红方式为现</w:t>
      </w:r>
      <w:r>
        <w:rPr>
          <w:rFonts w:hint="eastAsia"/>
        </w:rPr>
        <w:t>金分红。</w:t>
      </w:r>
    </w:p>
    <w:p w:rsidR="00000000" w:rsidRDefault="00F63306">
      <w:pPr>
        <w:pStyle w:val="neirong"/>
        <w:ind w:firstLineChars="200" w:firstLine="480"/>
        <w:jc w:val="both"/>
        <w:rPr>
          <w:rFonts w:hint="eastAsia"/>
        </w:rPr>
      </w:pPr>
      <w:r>
        <w:rPr>
          <w:rFonts w:hint="eastAsia"/>
        </w:rPr>
        <w:t>3</w:t>
      </w:r>
      <w:r>
        <w:rPr>
          <w:rFonts w:hint="eastAsia"/>
        </w:rPr>
        <w:t>、投资者可以在每个基金开放日的交易时间内到各销售网点修改分红方式，本次分红方式将按照投资者在权益登记日前</w:t>
      </w:r>
      <w:r>
        <w:rPr>
          <w:rFonts w:hint="eastAsia"/>
        </w:rPr>
        <w:t>(</w:t>
      </w:r>
      <w:r>
        <w:rPr>
          <w:rFonts w:hint="eastAsia"/>
        </w:rPr>
        <w:t>不含</w:t>
      </w:r>
      <w:r>
        <w:rPr>
          <w:rFonts w:hint="eastAsia"/>
        </w:rPr>
        <w:t>2025</w:t>
      </w:r>
      <w:r>
        <w:rPr>
          <w:rFonts w:hint="eastAsia"/>
        </w:rPr>
        <w:t>年</w:t>
      </w:r>
      <w:r>
        <w:rPr>
          <w:rFonts w:hint="eastAsia"/>
        </w:rPr>
        <w:t>11</w:t>
      </w:r>
      <w:r>
        <w:rPr>
          <w:rFonts w:hint="eastAsia"/>
        </w:rPr>
        <w:t>月</w:t>
      </w:r>
      <w:r>
        <w:rPr>
          <w:rFonts w:hint="eastAsia"/>
        </w:rPr>
        <w:t>26</w:t>
      </w:r>
      <w:r>
        <w:rPr>
          <w:rFonts w:hint="eastAsia"/>
        </w:rPr>
        <w:t>日</w:t>
      </w:r>
      <w:r>
        <w:rPr>
          <w:rFonts w:hint="eastAsia"/>
        </w:rPr>
        <w:t>)</w:t>
      </w:r>
      <w:r>
        <w:rPr>
          <w:rFonts w:hint="eastAsia"/>
        </w:rPr>
        <w:t>最后一次选择的分红方式为准。如希望修改分红方式，请务必在</w:t>
      </w:r>
      <w:r>
        <w:rPr>
          <w:rFonts w:hint="eastAsia"/>
        </w:rPr>
        <w:t>2025</w:t>
      </w:r>
      <w:r>
        <w:rPr>
          <w:rFonts w:hint="eastAsia"/>
        </w:rPr>
        <w:t>年</w:t>
      </w:r>
      <w:r>
        <w:rPr>
          <w:rFonts w:hint="eastAsia"/>
        </w:rPr>
        <w:t>11</w:t>
      </w:r>
      <w:r>
        <w:rPr>
          <w:rFonts w:hint="eastAsia"/>
        </w:rPr>
        <w:t>月</w:t>
      </w:r>
      <w:r>
        <w:rPr>
          <w:rFonts w:hint="eastAsia"/>
        </w:rPr>
        <w:t>26</w:t>
      </w:r>
      <w:r>
        <w:rPr>
          <w:rFonts w:hint="eastAsia"/>
        </w:rPr>
        <w:t>日前</w:t>
      </w:r>
      <w:r>
        <w:rPr>
          <w:rFonts w:hint="eastAsia"/>
        </w:rPr>
        <w:t>(</w:t>
      </w:r>
      <w:r>
        <w:rPr>
          <w:rFonts w:hint="eastAsia"/>
        </w:rPr>
        <w:t>不含</w:t>
      </w:r>
      <w:r>
        <w:rPr>
          <w:rFonts w:hint="eastAsia"/>
        </w:rPr>
        <w:t>2025</w:t>
      </w:r>
      <w:r>
        <w:rPr>
          <w:rFonts w:hint="eastAsia"/>
        </w:rPr>
        <w:t>年</w:t>
      </w:r>
      <w:r>
        <w:rPr>
          <w:rFonts w:hint="eastAsia"/>
        </w:rPr>
        <w:t>11</w:t>
      </w:r>
      <w:r>
        <w:rPr>
          <w:rFonts w:hint="eastAsia"/>
        </w:rPr>
        <w:t>月</w:t>
      </w:r>
      <w:r>
        <w:rPr>
          <w:rFonts w:hint="eastAsia"/>
        </w:rPr>
        <w:t>26</w:t>
      </w:r>
      <w:r>
        <w:rPr>
          <w:rFonts w:hint="eastAsia"/>
        </w:rPr>
        <w:t>日</w:t>
      </w:r>
      <w:r>
        <w:rPr>
          <w:rFonts w:hint="eastAsia"/>
        </w:rPr>
        <w:t>)</w:t>
      </w:r>
      <w:r>
        <w:rPr>
          <w:rFonts w:hint="eastAsia"/>
        </w:rPr>
        <w:t>到销售网点办妥变更手续。</w:t>
      </w:r>
    </w:p>
    <w:p w:rsidR="00000000" w:rsidRDefault="00F63306">
      <w:pPr>
        <w:widowControl/>
        <w:jc w:val="left"/>
        <w:rPr>
          <w:rFonts w:ascii="宋体" w:hAnsi="宋体" w:cs="宋体" w:hint="eastAsia"/>
          <w:kern w:val="0"/>
          <w:sz w:val="24"/>
          <w:szCs w:val="24"/>
        </w:rPr>
      </w:pPr>
    </w:p>
    <w:p w:rsidR="00000000" w:rsidRDefault="00F63306">
      <w:pPr>
        <w:pStyle w:val="dazhangjie"/>
        <w:rPr>
          <w:rFonts w:hint="eastAsia"/>
        </w:rPr>
      </w:pPr>
      <w:r>
        <w:rPr>
          <w:rFonts w:hint="eastAsia"/>
          <w:b/>
          <w:bCs/>
        </w:rPr>
        <w:t xml:space="preserve">3 </w:t>
      </w:r>
      <w:r>
        <w:rPr>
          <w:rFonts w:hint="eastAsia"/>
          <w:b/>
          <w:bCs/>
        </w:rPr>
        <w:t>其他需要提示的事项</w:t>
      </w:r>
    </w:p>
    <w:p w:rsidR="00000000" w:rsidRDefault="00F63306">
      <w:pPr>
        <w:pStyle w:val="neirong"/>
        <w:ind w:firstLineChars="200" w:firstLine="480"/>
        <w:rPr>
          <w:rStyle w:val="a3"/>
          <w:rFonts w:hint="eastAsia"/>
          <w:color w:val="auto"/>
        </w:rPr>
      </w:pPr>
      <w:r>
        <w:rPr>
          <w:rFonts w:hint="eastAsia"/>
        </w:rPr>
        <w:t>中加基金管理有限公司客户服务电话：</w:t>
      </w:r>
      <w:r>
        <w:rPr>
          <w:rFonts w:hint="eastAsia"/>
        </w:rPr>
        <w:t>400-00-95526</w:t>
      </w:r>
      <w:r>
        <w:rPr>
          <w:rFonts w:hint="eastAsia"/>
        </w:rPr>
        <w:t>（固定电话、移动电话均可拨打）网站：</w:t>
      </w:r>
      <w:r>
        <w:rPr>
          <w:rStyle w:val="a3"/>
          <w:rFonts w:hint="eastAsia"/>
          <w:color w:val="auto"/>
          <w:u w:val="none"/>
        </w:rPr>
        <w:t>http://www.bobbns.com/</w:t>
      </w:r>
    </w:p>
    <w:p w:rsidR="00000000" w:rsidRDefault="00F63306">
      <w:pPr>
        <w:pStyle w:val="neirong"/>
        <w:ind w:firstLineChars="200" w:firstLine="480"/>
        <w:rPr>
          <w:rFonts w:hint="eastAsia"/>
        </w:rPr>
      </w:pPr>
      <w:r>
        <w:rPr>
          <w:rFonts w:hint="eastAsia"/>
        </w:rPr>
        <w:lastRenderedPageBreak/>
        <w:t>风险提示：本基金管理人承诺以诚实信用、勤勉尽责的原则管理和运用基</w:t>
      </w:r>
      <w:r>
        <w:rPr>
          <w:rFonts w:hint="eastAsia"/>
        </w:rPr>
        <w:t>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阅读本基金的《基金合同》、《招募说明书》等相关法律文件，并根据自身的投资目的、投资期限、投资经验、资产状况等判断基金是否和投资者的风险承受能力相适应，自主判断基金的投资价值，自主做出投资决策，自行承担投资风险。</w:t>
      </w:r>
    </w:p>
    <w:p w:rsidR="00000000" w:rsidRDefault="00F63306">
      <w:pPr>
        <w:pStyle w:val="neirong"/>
        <w:ind w:firstLineChars="200" w:firstLine="480"/>
        <w:rPr>
          <w:rFonts w:hint="eastAsia"/>
        </w:rPr>
      </w:pPr>
    </w:p>
    <w:p w:rsidR="00000000" w:rsidRDefault="00F63306">
      <w:pPr>
        <w:pStyle w:val="neirong"/>
        <w:ind w:firstLineChars="200" w:firstLine="480"/>
        <w:rPr>
          <w:rFonts w:hint="eastAsia"/>
        </w:rPr>
      </w:pPr>
      <w:r>
        <w:rPr>
          <w:rFonts w:hint="eastAsia"/>
        </w:rPr>
        <w:t>特此公告。</w:t>
      </w:r>
    </w:p>
    <w:p w:rsidR="00000000" w:rsidRDefault="00F63306">
      <w:pPr>
        <w:pStyle w:val="neirong"/>
        <w:rPr>
          <w:rFonts w:hint="eastAsia"/>
        </w:rPr>
      </w:pPr>
    </w:p>
    <w:p w:rsidR="00000000" w:rsidRDefault="00F63306">
      <w:pPr>
        <w:pStyle w:val="biaogeright"/>
        <w:rPr>
          <w:rFonts w:hint="eastAsia"/>
        </w:rPr>
      </w:pPr>
      <w:r>
        <w:rPr>
          <w:rFonts w:hAnsi="Calibri" w:hint="eastAsia"/>
          <w:color w:val="000000"/>
        </w:rPr>
        <w:t>中加基金管理有限公司</w:t>
      </w:r>
    </w:p>
    <w:p w:rsidR="00000000" w:rsidRDefault="00F63306">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25</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02140"/>
    <w:multiLevelType w:val="singleLevel"/>
    <w:tmpl w:val="FB20214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E42"/>
    <w:rsid w:val="00741A6E"/>
    <w:rsid w:val="00F33E42"/>
    <w:rsid w:val="00F63306"/>
    <w:rsid w:val="50D17CA9"/>
    <w:rsid w:val="67E634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Char">
    <w:name w:val="页眉 Char"/>
    <w:basedOn w:val="a0"/>
    <w:link w:val="a4"/>
    <w:uiPriority w:val="99"/>
    <w:semiHidden/>
    <w:locked/>
    <w:rPr>
      <w:rFonts w:ascii="Times New Roman" w:hAnsi="Times New Roman" w:cs="Times New Roman" w:hint="default"/>
      <w:sz w:val="18"/>
      <w:szCs w:val="18"/>
    </w:rPr>
  </w:style>
  <w:style w:type="character" w:customStyle="1" w:styleId="Char0">
    <w:name w:val="页脚 Char"/>
    <w:basedOn w:val="a0"/>
    <w:link w:val="a5"/>
    <w:uiPriority w:val="99"/>
    <w:semiHidden/>
    <w:locked/>
    <w:rPr>
      <w:rFonts w:ascii="Times New Roman" w:hAnsi="Times New Roman" w:cs="Times New Roman" w:hint="default"/>
      <w:sz w:val="18"/>
      <w:szCs w:val="18"/>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msonormal1">
    <w:name w:val="msonormal1"/>
    <w:qFormat/>
    <w:pPr>
      <w:widowControl w:val="0"/>
      <w:jc w:val="both"/>
    </w:pPr>
    <w:rPr>
      <w:rFonts w:cs="Times New Roman"/>
      <w:kern w:val="2"/>
      <w:sz w:val="21"/>
      <w:szCs w:val="22"/>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none">
    <w:name w:val="msonormal_none"/>
    <w:qFormat/>
    <w:pPr>
      <w:widowControl w:val="0"/>
    </w:pPr>
    <w:rPr>
      <w:rFonts w:cs="Times New Roman"/>
      <w:kern w:val="2"/>
      <w:sz w:val="21"/>
      <w:szCs w:val="22"/>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1293</Characters>
  <Application>Microsoft Office Word</Application>
  <DocSecurity>4</DocSecurity>
  <PresentationFormat/>
  <Lines>10</Lines>
  <Paragraphs>3</Paragraphs>
  <Slides>0</Slides>
  <Notes>0</Notes>
  <HiddenSlides>0</HiddenSlides>
  <MMClips>0</MMClips>
  <ScaleCrop>false</ScaleCrop>
  <Manager/>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2025-11-24T16:02:00Z</dcterms:created>
  <dcterms:modified xsi:type="dcterms:W3CDTF">2025-11-24T16:02:00Z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2052-10.8.0.5603</vt:lpwstr>
  </property>
  <property fmtid="{D5CDD505-2E9C-101B-9397-08002B2CF9AE}" pid="4" name="ICV">
    <vt:lpwstr>6C88DAFE441B40569DB65AC390198696_12</vt:lpwstr>
  </property>
</Properties>
</file>