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07A" w:rsidRDefault="00E8307A">
      <w:pPr>
        <w:pStyle w:val="biaogecenter"/>
        <w:rPr>
          <w:sz w:val="30"/>
          <w:szCs w:val="30"/>
        </w:rPr>
      </w:pPr>
      <w:r>
        <w:rPr>
          <w:rFonts w:hint="eastAsia"/>
          <w:b/>
          <w:bCs/>
          <w:sz w:val="30"/>
          <w:szCs w:val="30"/>
        </w:rPr>
        <w:t>富安达富利纯债债券型证券投资基金分红公告</w:t>
      </w:r>
    </w:p>
    <w:p w:rsidR="00E8307A" w:rsidRDefault="00E8307A">
      <w:pPr>
        <w:pStyle w:val="biaogecenter"/>
        <w:rPr>
          <w:rFonts w:hint="eastAsia"/>
        </w:rPr>
      </w:pPr>
    </w:p>
    <w:p w:rsidR="00E8307A" w:rsidRDefault="00E8307A">
      <w:pPr>
        <w:pStyle w:val="biaogecenter"/>
        <w:rPr>
          <w:rFonts w:hint="eastAsia"/>
        </w:rPr>
      </w:pPr>
      <w:r>
        <w:rPr>
          <w:rFonts w:hint="eastAsia"/>
        </w:rPr>
        <w:t>公告送出日期：2025年11月25日</w:t>
      </w:r>
    </w:p>
    <w:p w:rsidR="00E8307A" w:rsidRDefault="00E8307A">
      <w:pPr>
        <w:pStyle w:val="dazhangjie"/>
        <w:rPr>
          <w:rFonts w:hint="eastAsia"/>
        </w:rPr>
      </w:pPr>
      <w:r w:rsidRPr="008E01F7">
        <w:rPr>
          <w:rFonts w:hAnsi="等线" w:hint="eastAsia"/>
          <w:b/>
          <w:color w:val="000000"/>
        </w:rPr>
        <w:t>1 公告基本信息</w:t>
      </w:r>
    </w:p>
    <w:p w:rsidR="00E8307A" w:rsidRDefault="00E8307A">
      <w:pPr>
        <w:widowControl/>
        <w:jc w:val="left"/>
        <w:rPr>
          <w:rFonts w:ascii="宋体" w:eastAsia="宋体" w:hAnsi="宋体" w:cs="宋体" w:hint="eastAsia"/>
          <w:kern w:val="0"/>
          <w:sz w:val="24"/>
          <w:szCs w:val="24"/>
        </w:rPr>
      </w:pPr>
    </w:p>
    <w:tbl>
      <w:tblPr>
        <w:tblW w:w="8250" w:type="dxa"/>
        <w:tblInd w:w="108" w:type="dxa"/>
        <w:tblLook w:val="04A0"/>
      </w:tblPr>
      <w:tblGrid>
        <w:gridCol w:w="992"/>
        <w:gridCol w:w="2308"/>
        <w:gridCol w:w="2475"/>
        <w:gridCol w:w="2475"/>
      </w:tblGrid>
      <w:tr w:rsidR="00E8307A" w:rsidRPr="008E01F7" w:rsidTr="00841850">
        <w:tc>
          <w:tcPr>
            <w:tcW w:w="2000" w:type="pct"/>
            <w:gridSpan w:val="2"/>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基金名称</w:t>
            </w:r>
          </w:p>
        </w:tc>
        <w:tc>
          <w:tcPr>
            <w:tcW w:w="3000" w:type="pct"/>
            <w:gridSpan w:val="2"/>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富安达富利纯债债券型证券投资基金</w:t>
            </w:r>
          </w:p>
        </w:tc>
      </w:tr>
      <w:tr w:rsidR="00E8307A" w:rsidRPr="008E01F7" w:rsidTr="00841850">
        <w:tc>
          <w:tcPr>
            <w:tcW w:w="2000" w:type="pct"/>
            <w:gridSpan w:val="2"/>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基金简称</w:t>
            </w:r>
          </w:p>
        </w:tc>
        <w:tc>
          <w:tcPr>
            <w:tcW w:w="3000" w:type="pct"/>
            <w:gridSpan w:val="2"/>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富安达富利纯债债券</w:t>
            </w:r>
          </w:p>
        </w:tc>
      </w:tr>
      <w:tr w:rsidR="00E8307A" w:rsidRPr="008E01F7" w:rsidTr="00841850">
        <w:tc>
          <w:tcPr>
            <w:tcW w:w="2000" w:type="pct"/>
            <w:gridSpan w:val="2"/>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基金主代码</w:t>
            </w:r>
          </w:p>
        </w:tc>
        <w:tc>
          <w:tcPr>
            <w:tcW w:w="3000" w:type="pct"/>
            <w:gridSpan w:val="2"/>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007520</w:t>
            </w:r>
          </w:p>
        </w:tc>
      </w:tr>
      <w:tr w:rsidR="00E8307A" w:rsidRPr="008E01F7" w:rsidTr="00841850">
        <w:tc>
          <w:tcPr>
            <w:tcW w:w="2000" w:type="pct"/>
            <w:gridSpan w:val="2"/>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基金合同生效日</w:t>
            </w:r>
          </w:p>
        </w:tc>
        <w:tc>
          <w:tcPr>
            <w:tcW w:w="3000" w:type="pct"/>
            <w:gridSpan w:val="2"/>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2019年07月23日</w:t>
            </w:r>
          </w:p>
        </w:tc>
      </w:tr>
      <w:tr w:rsidR="00E8307A" w:rsidRPr="008E01F7" w:rsidTr="00841850">
        <w:tc>
          <w:tcPr>
            <w:tcW w:w="2000" w:type="pct"/>
            <w:gridSpan w:val="2"/>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基金管理人名称</w:t>
            </w:r>
          </w:p>
        </w:tc>
        <w:tc>
          <w:tcPr>
            <w:tcW w:w="3000" w:type="pct"/>
            <w:gridSpan w:val="2"/>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富安达基金管理有限公司</w:t>
            </w:r>
          </w:p>
        </w:tc>
      </w:tr>
      <w:tr w:rsidR="00E8307A" w:rsidRPr="008E01F7" w:rsidTr="00841850">
        <w:tc>
          <w:tcPr>
            <w:tcW w:w="2000" w:type="pct"/>
            <w:gridSpan w:val="2"/>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基金托管人名称</w:t>
            </w:r>
          </w:p>
        </w:tc>
        <w:tc>
          <w:tcPr>
            <w:tcW w:w="3000" w:type="pct"/>
            <w:gridSpan w:val="2"/>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交通银行股份有限公司</w:t>
            </w:r>
          </w:p>
        </w:tc>
      </w:tr>
      <w:tr w:rsidR="00E8307A" w:rsidRPr="008E01F7" w:rsidTr="00841850">
        <w:tc>
          <w:tcPr>
            <w:tcW w:w="2000" w:type="pct"/>
            <w:gridSpan w:val="2"/>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公告依据</w:t>
            </w:r>
          </w:p>
        </w:tc>
        <w:tc>
          <w:tcPr>
            <w:tcW w:w="3000" w:type="pct"/>
            <w:gridSpan w:val="2"/>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根据《中华人民共和国证券投资基金法》、《公开募集证券投资基金运作管理办法》等法律法规及《富安达富利纯债债券型证券投资基金基金合同》、《富安达富利纯债债券型证券投资基金招募说明书》的有关规定。</w:t>
            </w:r>
          </w:p>
        </w:tc>
      </w:tr>
      <w:tr w:rsidR="00E8307A" w:rsidRPr="008E01F7" w:rsidTr="00841850">
        <w:tc>
          <w:tcPr>
            <w:tcW w:w="2000" w:type="pct"/>
            <w:gridSpan w:val="2"/>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收益分配基准日</w:t>
            </w:r>
          </w:p>
        </w:tc>
        <w:tc>
          <w:tcPr>
            <w:tcW w:w="3000" w:type="pct"/>
            <w:gridSpan w:val="2"/>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2025年11月21日</w:t>
            </w:r>
          </w:p>
        </w:tc>
      </w:tr>
      <w:tr w:rsidR="00E8307A" w:rsidRPr="008E01F7" w:rsidTr="00841850">
        <w:tc>
          <w:tcPr>
            <w:tcW w:w="2000" w:type="pct"/>
            <w:gridSpan w:val="2"/>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有关年度分红次数的说明</w:t>
            </w:r>
          </w:p>
        </w:tc>
        <w:tc>
          <w:tcPr>
            <w:tcW w:w="3000" w:type="pct"/>
            <w:gridSpan w:val="2"/>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本次分红为2025年度的第1次分红</w:t>
            </w:r>
          </w:p>
        </w:tc>
      </w:tr>
      <w:tr w:rsidR="00E8307A" w:rsidRPr="008E01F7" w:rsidTr="00841850">
        <w:tc>
          <w:tcPr>
            <w:tcW w:w="2000" w:type="pct"/>
            <w:gridSpan w:val="2"/>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下属分级基金的基金简称</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富安达富利纯债债券A</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富安达富利纯债债券C</w:t>
            </w:r>
          </w:p>
        </w:tc>
      </w:tr>
      <w:tr w:rsidR="00E8307A" w:rsidRPr="008E01F7" w:rsidTr="00841850">
        <w:tc>
          <w:tcPr>
            <w:tcW w:w="2000" w:type="pct"/>
            <w:gridSpan w:val="2"/>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下属分级基金的交易代码</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007520</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012603</w:t>
            </w:r>
          </w:p>
        </w:tc>
      </w:tr>
      <w:tr w:rsidR="00E8307A" w:rsidRPr="008E01F7" w:rsidTr="00841850">
        <w:tc>
          <w:tcPr>
            <w:tcW w:w="601" w:type="pct"/>
            <w:vMerge w:val="restart"/>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截止基准日下属分级基金的相关指标</w:t>
            </w:r>
          </w:p>
        </w:tc>
        <w:tc>
          <w:tcPr>
            <w:tcW w:w="1399" w:type="pct"/>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基准日下属分级基金份额净值（单位:人民币元）</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1.1556</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1.1660</w:t>
            </w:r>
          </w:p>
        </w:tc>
      </w:tr>
      <w:tr w:rsidR="00E8307A" w:rsidRPr="008E01F7" w:rsidTr="00841850">
        <w:tc>
          <w:tcPr>
            <w:tcW w:w="601" w:type="pct"/>
            <w:vMerge/>
            <w:tcBorders>
              <w:top w:val="single" w:sz="8" w:space="0" w:color="000000"/>
              <w:left w:val="single" w:sz="8" w:space="0" w:color="000000"/>
              <w:bottom w:val="single" w:sz="6" w:space="0" w:color="000000"/>
              <w:right w:val="single" w:sz="8" w:space="0" w:color="000000"/>
            </w:tcBorders>
            <w:vAlign w:val="center"/>
            <w:hideMark/>
          </w:tcPr>
          <w:p w:rsidR="00E8307A" w:rsidRDefault="00E8307A">
            <w:pPr>
              <w:widowControl/>
              <w:jc w:val="left"/>
              <w:rPr>
                <w:rFonts w:ascii="宋体" w:eastAsia="宋体" w:hAnsi="宋体" w:cs="宋体"/>
                <w:kern w:val="0"/>
                <w:sz w:val="24"/>
                <w:szCs w:val="24"/>
              </w:rPr>
            </w:pPr>
          </w:p>
        </w:tc>
        <w:tc>
          <w:tcPr>
            <w:tcW w:w="1399" w:type="pct"/>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基准日下属分级基金可供分配利润（单位:人民币元）</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122,732,799.37</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29,379,376.01</w:t>
            </w:r>
          </w:p>
        </w:tc>
      </w:tr>
      <w:tr w:rsidR="00E8307A" w:rsidRPr="008E01F7" w:rsidTr="00841850">
        <w:tc>
          <w:tcPr>
            <w:tcW w:w="2000" w:type="pct"/>
            <w:gridSpan w:val="2"/>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本次下属分级基金分红方案（单位:元/10份基金份额）</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0.13</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0.13</w:t>
            </w:r>
          </w:p>
        </w:tc>
      </w:tr>
    </w:tbl>
    <w:p w:rsidR="00E8307A" w:rsidRDefault="00E8307A">
      <w:pPr>
        <w:pStyle w:val="neirong"/>
        <w:rPr>
          <w:rFonts w:hint="eastAsia"/>
        </w:rPr>
      </w:pPr>
      <w:r>
        <w:rPr>
          <w:rFonts w:hint="eastAsia"/>
        </w:rPr>
        <w:t>注：本基金A类基金份额每10份基金份额发放红利0.13元人民币，本基金C类基金份额每10份基金份额发放红利0.13元人民币。</w:t>
      </w:r>
    </w:p>
    <w:p w:rsidR="00E8307A" w:rsidRDefault="00E8307A">
      <w:pPr>
        <w:widowControl/>
        <w:jc w:val="left"/>
        <w:rPr>
          <w:rFonts w:ascii="宋体" w:eastAsia="宋体" w:hAnsi="宋体" w:cs="宋体" w:hint="eastAsia"/>
          <w:kern w:val="0"/>
          <w:sz w:val="24"/>
          <w:szCs w:val="24"/>
        </w:rPr>
      </w:pPr>
    </w:p>
    <w:p w:rsidR="00E8307A" w:rsidRDefault="00E8307A">
      <w:pPr>
        <w:pStyle w:val="dazhangjie"/>
        <w:divId w:val="1822192150"/>
        <w:rPr>
          <w:rFonts w:hint="eastAsia"/>
        </w:rPr>
      </w:pPr>
      <w:r w:rsidRPr="008E01F7">
        <w:rPr>
          <w:rFonts w:hAnsi="等线" w:hint="eastAsia"/>
          <w:b/>
          <w:color w:val="000000"/>
        </w:rPr>
        <w:t>2 与分红相关的其他信息</w:t>
      </w:r>
    </w:p>
    <w:p w:rsidR="00E8307A" w:rsidRDefault="00E8307A">
      <w:pPr>
        <w:widowControl/>
        <w:jc w:val="left"/>
        <w:divId w:val="1822192150"/>
        <w:rPr>
          <w:rFonts w:ascii="宋体" w:eastAsia="宋体" w:hAnsi="宋体" w:cs="宋体" w:hint="eastAsia"/>
          <w:kern w:val="0"/>
          <w:sz w:val="24"/>
          <w:szCs w:val="24"/>
        </w:rPr>
      </w:pPr>
    </w:p>
    <w:tbl>
      <w:tblPr>
        <w:tblW w:w="8250" w:type="dxa"/>
        <w:tblInd w:w="108" w:type="dxa"/>
        <w:tblLook w:val="04A0"/>
      </w:tblPr>
      <w:tblGrid>
        <w:gridCol w:w="3300"/>
        <w:gridCol w:w="4950"/>
      </w:tblGrid>
      <w:tr w:rsidR="00E8307A" w:rsidRPr="008E01F7">
        <w:trPr>
          <w:divId w:val="1822192150"/>
        </w:trPr>
        <w:tc>
          <w:tcPr>
            <w:tcW w:w="2000" w:type="pct"/>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权益登记日</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sidRPr="008E01F7">
              <w:rPr>
                <w:rFonts w:hAnsi="等线" w:hint="eastAsia"/>
                <w:color w:val="000000"/>
              </w:rPr>
              <w:t>2025年11月25日</w:t>
            </w:r>
          </w:p>
        </w:tc>
      </w:tr>
      <w:tr w:rsidR="00841850" w:rsidRPr="008E01F7">
        <w:trPr>
          <w:divId w:val="1822192150"/>
        </w:trPr>
        <w:tc>
          <w:tcPr>
            <w:tcW w:w="0" w:type="auto"/>
            <w:tcBorders>
              <w:top w:val="single" w:sz="8" w:space="0" w:color="000000"/>
              <w:left w:val="single" w:sz="8" w:space="0" w:color="000000"/>
              <w:bottom w:val="single" w:sz="6" w:space="0" w:color="000000"/>
              <w:right w:val="single" w:sz="8" w:space="0" w:color="000000"/>
            </w:tcBorders>
            <w:vAlign w:val="center"/>
            <w:hideMark/>
          </w:tcPr>
          <w:p w:rsidR="00841850" w:rsidRDefault="00841850">
            <w:pPr>
              <w:pStyle w:val="biaogeleft"/>
              <w:wordWrap w:val="0"/>
              <w:rPr>
                <w:rFonts w:hint="eastAsia"/>
              </w:rPr>
            </w:pPr>
            <w:r>
              <w:rPr>
                <w:rFonts w:hint="eastAsia"/>
              </w:rPr>
              <w:t>除息日</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841850" w:rsidRDefault="00841850">
            <w:pPr>
              <w:pStyle w:val="biaogeleft"/>
              <w:wordWrap w:val="0"/>
              <w:rPr>
                <w:rFonts w:hint="eastAsia"/>
              </w:rPr>
            </w:pPr>
            <w:r w:rsidRPr="008E01F7">
              <w:rPr>
                <w:rFonts w:hAnsi="等线" w:hint="eastAsia"/>
                <w:color w:val="000000"/>
              </w:rPr>
              <w:t>2025年11月25日</w:t>
            </w:r>
          </w:p>
        </w:tc>
      </w:tr>
      <w:tr w:rsidR="00E8307A" w:rsidRPr="008E01F7">
        <w:trPr>
          <w:divId w:val="1822192150"/>
        </w:trPr>
        <w:tc>
          <w:tcPr>
            <w:tcW w:w="0" w:type="auto"/>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现金红利发放日</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sidRPr="008E01F7">
              <w:rPr>
                <w:rFonts w:hAnsi="等线" w:hint="eastAsia"/>
                <w:color w:val="000000"/>
              </w:rPr>
              <w:t>2025年11月27日</w:t>
            </w:r>
          </w:p>
        </w:tc>
      </w:tr>
      <w:tr w:rsidR="00E8307A" w:rsidRPr="008E01F7">
        <w:trPr>
          <w:divId w:val="1822192150"/>
        </w:trPr>
        <w:tc>
          <w:tcPr>
            <w:tcW w:w="0" w:type="auto"/>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分红对象</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sidRPr="008E01F7">
              <w:rPr>
                <w:rFonts w:hAnsi="等线" w:hint="eastAsia"/>
                <w:color w:val="000000"/>
              </w:rPr>
              <w:t>权益登记日登记在册的本基金份额持有人</w:t>
            </w:r>
          </w:p>
        </w:tc>
      </w:tr>
      <w:tr w:rsidR="00E8307A" w:rsidRPr="008E01F7">
        <w:trPr>
          <w:divId w:val="1822192150"/>
        </w:trPr>
        <w:tc>
          <w:tcPr>
            <w:tcW w:w="0" w:type="auto"/>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红利再投资相关事项的说明</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sidRPr="008E01F7">
              <w:rPr>
                <w:rFonts w:hAnsi="等线" w:hint="eastAsia"/>
                <w:color w:val="000000"/>
              </w:rPr>
              <w:t>选择红利再投资方式的投资者所转换的基金份额将以2025年11月25日的基金份额净值为计算基准确定再投资份额，红利再投资所转换的基金份额于2025年11月26日直接计入其基金账户，2025年11月27日起投资者可以查询、赎回。</w:t>
            </w:r>
          </w:p>
        </w:tc>
      </w:tr>
      <w:tr w:rsidR="00E8307A" w:rsidRPr="008E01F7">
        <w:trPr>
          <w:divId w:val="1822192150"/>
        </w:trPr>
        <w:tc>
          <w:tcPr>
            <w:tcW w:w="0" w:type="auto"/>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税收相关事项的说明</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根据相关法律法规规定，基金向投资者分配的基金利润，暂免征收所得税。</w:t>
            </w:r>
          </w:p>
        </w:tc>
      </w:tr>
      <w:tr w:rsidR="00E8307A" w:rsidRPr="008E01F7">
        <w:trPr>
          <w:divId w:val="1822192150"/>
        </w:trPr>
        <w:tc>
          <w:tcPr>
            <w:tcW w:w="0" w:type="auto"/>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费用相关事项的说明</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E8307A" w:rsidRDefault="00E8307A">
            <w:pPr>
              <w:pStyle w:val="biaogeleft"/>
              <w:wordWrap w:val="0"/>
              <w:rPr>
                <w:rFonts w:hint="eastAsia"/>
              </w:rPr>
            </w:pPr>
            <w:r>
              <w:rPr>
                <w:rFonts w:hint="eastAsia"/>
              </w:rPr>
              <w:t>本基金本次分红免收分红手续费。选择红利再投资方式的投资者其红利所转换的基金份额免收申购费用。</w:t>
            </w:r>
          </w:p>
        </w:tc>
      </w:tr>
    </w:tbl>
    <w:p w:rsidR="00E8307A" w:rsidRDefault="00E8307A">
      <w:pPr>
        <w:widowControl/>
        <w:jc w:val="left"/>
        <w:rPr>
          <w:rFonts w:ascii="宋体" w:eastAsia="宋体" w:hAnsi="宋体" w:cs="宋体" w:hint="eastAsia"/>
          <w:kern w:val="0"/>
          <w:sz w:val="24"/>
          <w:szCs w:val="24"/>
        </w:rPr>
      </w:pPr>
    </w:p>
    <w:p w:rsidR="00E8307A" w:rsidRDefault="00E8307A">
      <w:pPr>
        <w:pStyle w:val="dazhangjie"/>
        <w:rPr>
          <w:rFonts w:hint="eastAsia"/>
        </w:rPr>
      </w:pPr>
      <w:r>
        <w:rPr>
          <w:rFonts w:hint="eastAsia"/>
          <w:b/>
          <w:bCs/>
        </w:rPr>
        <w:t>3 其他需要提示的事项</w:t>
      </w:r>
    </w:p>
    <w:p w:rsidR="00E8307A" w:rsidRDefault="00E8307A">
      <w:pPr>
        <w:pStyle w:val="neirong"/>
        <w:rPr>
          <w:rFonts w:hint="eastAsia"/>
        </w:rPr>
      </w:pPr>
      <w:r>
        <w:rPr>
          <w:rFonts w:hint="eastAsia"/>
        </w:rPr>
        <w:t>  </w:t>
      </w:r>
      <w:r>
        <w:rPr>
          <w:rFonts w:hint="eastAsia"/>
        </w:rPr>
        <w:br/>
        <w:t>  （1）权益登记日申购或转换转入的基金份额不享有本次分红权益，赎回或转换转出的基金份额享有本次分红权益。</w:t>
      </w:r>
      <w:r>
        <w:rPr>
          <w:rFonts w:hint="eastAsia"/>
        </w:rPr>
        <w:br/>
        <w:t>  （2）对于未选择本基金具体分红方式的投资者，本基金默认的分红方式为现金红利方式。</w:t>
      </w:r>
      <w:r>
        <w:rPr>
          <w:rFonts w:hint="eastAsia"/>
        </w:rPr>
        <w:br/>
        <w:t>  （3）投资者可以在基金开放日的交易时间内到销售网点修改分红方式，本次分红确认的方式将按照投资者在权益登记日之前（不含2025年11月25日）最后一次选择的分红方式为准。</w:t>
      </w:r>
      <w:r>
        <w:rPr>
          <w:rFonts w:hint="eastAsia"/>
        </w:rPr>
        <w:br/>
        <w:t>  （4）若投资者选择红利再投资方式并在2025年11月25日申请赎回基金份额的，其账户余额（包括红利再投资份额）低于1份时，本基金将自动计算其分红收益，并与赎回款一起以现金形式支付。</w:t>
      </w:r>
      <w:r>
        <w:rPr>
          <w:rFonts w:hint="eastAsia"/>
        </w:rPr>
        <w:br/>
        <w:t>  （5）本基金份额持有人及希望了解本基金其他有关信息的投资者,可以登录本基金管理人网站（https://www.fadfunds.com）或拨打客服电话（400-630-6999）咨询相关事宜。</w:t>
      </w:r>
      <w:r>
        <w:rPr>
          <w:rFonts w:hint="eastAsia"/>
        </w:rPr>
        <w:br/>
      </w:r>
      <w:r w:rsidR="004A6732">
        <w:rPr>
          <w:rFonts w:hint="eastAsia"/>
        </w:rPr>
        <w:lastRenderedPageBreak/>
        <w:t xml:space="preserve">    </w:t>
      </w:r>
      <w:r>
        <w:rPr>
          <w:rFonts w:hint="eastAsia"/>
        </w:rPr>
        <w:t>风险提示：</w:t>
      </w:r>
      <w:r>
        <w:rPr>
          <w:rFonts w:hint="eastAsia"/>
        </w:rPr>
        <w:br/>
        <w:t>  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w:t>
      </w:r>
      <w:r>
        <w:rPr>
          <w:rFonts w:hint="eastAsia"/>
        </w:rPr>
        <w:br/>
        <w:t>  </w:t>
      </w:r>
      <w:r>
        <w:rPr>
          <w:rFonts w:hint="eastAsia"/>
        </w:rPr>
        <w:br/>
        <w:t>  特此公告。</w:t>
      </w:r>
      <w:r>
        <w:rPr>
          <w:rFonts w:hint="eastAsia"/>
        </w:rPr>
        <w:br/>
        <w:t>  </w:t>
      </w:r>
    </w:p>
    <w:p w:rsidR="00E8307A" w:rsidRDefault="00E8307A">
      <w:pPr>
        <w:pStyle w:val="biaogeright"/>
        <w:rPr>
          <w:rFonts w:hint="eastAsia"/>
        </w:rPr>
      </w:pPr>
      <w:r w:rsidRPr="008E01F7">
        <w:rPr>
          <w:rFonts w:hAnsi="等线" w:hint="eastAsia"/>
          <w:color w:val="000000"/>
        </w:rPr>
        <w:t>富安达基金管理有限公司</w:t>
      </w:r>
    </w:p>
    <w:p w:rsidR="00E8307A" w:rsidRDefault="00E8307A">
      <w:pPr>
        <w:pStyle w:val="biaogeright"/>
        <w:rPr>
          <w:rFonts w:hint="eastAsia"/>
        </w:rPr>
      </w:pPr>
      <w:r w:rsidRPr="008E01F7">
        <w:rPr>
          <w:rFonts w:hAnsi="等线" w:hint="eastAsia"/>
          <w:color w:val="000000"/>
        </w:rPr>
        <w:t>2025年11月25日</w:t>
      </w:r>
    </w:p>
    <w:sectPr w:rsidR="00E8307A">
      <w:pgSz w:w="11926" w:h="15840"/>
      <w:pgMar w:top="1418" w:right="1418" w:bottom="853"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A99" w:rsidRDefault="00072A99" w:rsidP="008E01F7">
      <w:r>
        <w:separator/>
      </w:r>
    </w:p>
  </w:endnote>
  <w:endnote w:type="continuationSeparator" w:id="0">
    <w:p w:rsidR="00072A99" w:rsidRDefault="00072A99" w:rsidP="008E01F7">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A99" w:rsidRDefault="00072A99" w:rsidP="008E01F7">
      <w:r>
        <w:separator/>
      </w:r>
    </w:p>
  </w:footnote>
  <w:footnote w:type="continuationSeparator" w:id="0">
    <w:p w:rsidR="00072A99" w:rsidRDefault="00072A99" w:rsidP="008E01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720"/>
  <w:noPunctuationKerning/>
  <w:characterSpacingControl w:val="compressPunctuation"/>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E01F7"/>
    <w:rsid w:val="00072A99"/>
    <w:rsid w:val="00190C1D"/>
    <w:rsid w:val="003151E6"/>
    <w:rsid w:val="003970A0"/>
    <w:rsid w:val="004A6732"/>
    <w:rsid w:val="00623EEB"/>
    <w:rsid w:val="00670E32"/>
    <w:rsid w:val="0079260D"/>
    <w:rsid w:val="00841850"/>
    <w:rsid w:val="00887D69"/>
    <w:rsid w:val="008E01F7"/>
    <w:rsid w:val="00983A8E"/>
    <w:rsid w:val="00AE74ED"/>
    <w:rsid w:val="00D2743D"/>
    <w:rsid w:val="00D83C2B"/>
    <w:rsid w:val="00E8307A"/>
  </w:rsids>
  <m:mathPr>
    <m:mathFont m:val="Cambria Math"/>
    <m:brkBin m:val="before"/>
    <m:brkBinSub m:val="--"/>
    <m:smallFrac m:val="off"/>
    <m:dispDef/>
    <m:lMargin m:val="0"/>
    <m:rMargin m:val="0"/>
    <m:defJc m:val="centerGroup"/>
    <m:wrapIndent m:val="1440"/>
    <m:intLim m:val="subSup"/>
    <m:naryLim m:val="undOvr"/>
  </m:mathPr>
  <w:uiCompat97To2003/>
  <w:attachedSchema w:val="ht$tp://schemas.microsoft.com/office/2004/12/omml"/>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widowControl/>
      <w:spacing w:before="100" w:beforeAutospacing="1" w:after="100" w:afterAutospacing="1"/>
      <w:jc w:val="left"/>
    </w:pPr>
    <w:rPr>
      <w:rFonts w:ascii="宋体" w:eastAsia="宋体" w:hAnsi="宋体" w:cs="宋体"/>
      <w:kern w:val="0"/>
      <w:sz w:val="24"/>
      <w:szCs w:val="24"/>
    </w:rPr>
  </w:style>
  <w:style w:type="paragraph" w:customStyle="1" w:styleId="msonormalfy">
    <w:name w:val="msonormalfy"/>
    <w:qFormat/>
    <w:pPr>
      <w:widowControl w:val="0"/>
      <w:jc w:val="center"/>
    </w:pPr>
    <w:rPr>
      <w:rFonts w:cs="Times New Roman"/>
      <w:kern w:val="2"/>
      <w:sz w:val="33"/>
      <w:szCs w:val="22"/>
    </w:rPr>
  </w:style>
  <w:style w:type="paragraph" w:customStyle="1" w:styleId="msonormalnone">
    <w:name w:val="msonormal_none"/>
    <w:qFormat/>
    <w:pPr>
      <w:widowControl w:val="0"/>
    </w:pPr>
    <w:rPr>
      <w:rFonts w:cs="Times New Roman"/>
      <w:kern w:val="2"/>
      <w:sz w:val="21"/>
      <w:szCs w:val="22"/>
    </w:rPr>
  </w:style>
  <w:style w:type="paragraph" w:styleId="a3">
    <w:name w:val="header"/>
    <w:basedOn w:val="a"/>
    <w:link w:val="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semiHidden/>
    <w:rPr>
      <w:rFonts w:cs="Times New Roman"/>
      <w:sz w:val="18"/>
      <w:szCs w:val="18"/>
    </w:rPr>
  </w:style>
  <w:style w:type="paragraph" w:styleId="a5">
    <w:name w:val="footer"/>
    <w:basedOn w:val="a"/>
    <w:link w:val="10"/>
    <w:uiPriority w:val="99"/>
    <w:unhideWhenUsed/>
    <w:pPr>
      <w:tabs>
        <w:tab w:val="center" w:pos="4153"/>
        <w:tab w:val="right" w:pos="8306"/>
      </w:tabs>
      <w:snapToGrid w:val="0"/>
      <w:jc w:val="left"/>
    </w:pPr>
    <w:rPr>
      <w:sz w:val="18"/>
      <w:szCs w:val="18"/>
    </w:rPr>
  </w:style>
  <w:style w:type="character" w:customStyle="1" w:styleId="a6">
    <w:name w:val="页脚 字符"/>
    <w:link w:val="a5"/>
    <w:uiPriority w:val="99"/>
    <w:semiHidden/>
    <w:rPr>
      <w:rFonts w:cs="Times New Roman"/>
      <w:sz w:val="18"/>
      <w:szCs w:val="18"/>
    </w:rPr>
  </w:style>
  <w:style w:type="paragraph" w:customStyle="1" w:styleId="msonormal1">
    <w:name w:val="msonormal1"/>
    <w:qFormat/>
    <w:pPr>
      <w:widowControl w:val="0"/>
      <w:jc w:val="both"/>
    </w:pPr>
    <w:rPr>
      <w:rFonts w:cs="Times New Roman"/>
      <w:kern w:val="2"/>
      <w:sz w:val="21"/>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eastAsia="宋体" w:hAnsi="宋体" w:cs="宋体"/>
      <w:kern w:val="0"/>
      <w:sz w:val="24"/>
      <w:szCs w:val="24"/>
    </w:rPr>
  </w:style>
  <w:style w:type="paragraph" w:customStyle="1" w:styleId="zhangjiep">
    <w:name w:val="zhangjie_p"/>
    <w:basedOn w:val="a"/>
    <w:pPr>
      <w:widowControl/>
      <w:autoSpaceDE w:val="0"/>
      <w:autoSpaceDN w:val="0"/>
      <w:adjustRightInd w:val="0"/>
      <w:spacing w:before="24" w:line="288" w:lineRule="auto"/>
      <w:ind w:left="15"/>
      <w:jc w:val="left"/>
      <w:outlineLvl w:val="1"/>
    </w:pPr>
    <w:rPr>
      <w:rFonts w:ascii="宋体" w:eastAsia="宋体" w:hAnsi="宋体" w:cs="宋体"/>
      <w:kern w:val="0"/>
      <w:sz w:val="24"/>
      <w:szCs w:val="24"/>
    </w:rPr>
  </w:style>
  <w:style w:type="paragraph" w:customStyle="1" w:styleId="zhangjiep2">
    <w:name w:val="zhangjie_p2"/>
    <w:basedOn w:val="a"/>
    <w:pPr>
      <w:widowControl/>
      <w:autoSpaceDE w:val="0"/>
      <w:autoSpaceDN w:val="0"/>
      <w:adjustRightInd w:val="0"/>
      <w:spacing w:before="24" w:line="288" w:lineRule="auto"/>
      <w:ind w:left="15"/>
      <w:jc w:val="left"/>
    </w:pPr>
    <w:rPr>
      <w:rFonts w:ascii="宋体" w:eastAsia="宋体" w:hAnsi="宋体" w:cs="宋体"/>
      <w:kern w:val="0"/>
      <w:sz w:val="24"/>
      <w:szCs w:val="24"/>
    </w:rPr>
  </w:style>
  <w:style w:type="paragraph" w:customStyle="1" w:styleId="zhongyaotishi">
    <w:name w:val="zhongyaotishi"/>
    <w:basedOn w:val="a"/>
    <w:pPr>
      <w:widowControl/>
      <w:autoSpaceDE w:val="0"/>
      <w:autoSpaceDN w:val="0"/>
      <w:adjustRightInd w:val="0"/>
      <w:spacing w:before="30" w:line="288" w:lineRule="auto"/>
      <w:ind w:left="15" w:firstLine="482"/>
      <w:jc w:val="left"/>
    </w:pPr>
    <w:rPr>
      <w:rFonts w:ascii="宋体" w:eastAsia="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eastAsia="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eastAsia="宋体" w:hAnsi="宋体" w:cs="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eastAsia="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eastAsia="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eastAsia="宋体" w:hAnsi="宋体" w:cs="宋体"/>
      <w:kern w:val="0"/>
      <w:sz w:val="24"/>
      <w:szCs w:val="24"/>
    </w:rPr>
  </w:style>
  <w:style w:type="paragraph" w:customStyle="1" w:styleId="biaogeright1">
    <w:name w:val="biaoge_right1"/>
    <w:basedOn w:val="a"/>
    <w:pPr>
      <w:widowControl/>
      <w:autoSpaceDE w:val="0"/>
      <w:autoSpaceDN w:val="0"/>
      <w:adjustRightInd w:val="0"/>
      <w:spacing w:before="29" w:line="288" w:lineRule="auto"/>
      <w:ind w:left="15"/>
      <w:jc w:val="right"/>
    </w:pPr>
    <w:rPr>
      <w:rFonts w:ascii="宋体" w:eastAsia="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eastAsia="宋体" w:hAnsi="宋体" w:cs="宋体"/>
      <w:kern w:val="0"/>
      <w:sz w:val="24"/>
      <w:szCs w:val="24"/>
    </w:rPr>
  </w:style>
  <w:style w:type="character" w:customStyle="1" w:styleId="1">
    <w:name w:val="页眉 字符1"/>
    <w:link w:val="a3"/>
    <w:uiPriority w:val="99"/>
    <w:locked/>
    <w:rPr>
      <w:rFonts w:ascii="Times New Roman" w:hAnsi="Times New Roman" w:cs="Times New Roman" w:hint="default"/>
      <w:sz w:val="18"/>
      <w:szCs w:val="18"/>
    </w:rPr>
  </w:style>
  <w:style w:type="character" w:customStyle="1" w:styleId="10">
    <w:name w:val="页脚 字符1"/>
    <w:link w:val="a5"/>
    <w:uiPriority w:val="99"/>
    <w:locked/>
    <w:rPr>
      <w:rFonts w:ascii="Times New Roman" w:hAnsi="Times New Roman" w:cs="Times New Roman" w:hint="default"/>
      <w:sz w:val="18"/>
      <w:szCs w:val="18"/>
    </w:rPr>
  </w:style>
  <w:style w:type="paragraph" w:styleId="a7">
    <w:name w:val="Revision"/>
    <w:hidden/>
    <w:uiPriority w:val="99"/>
    <w:semiHidden/>
    <w:rsid w:val="00887D69"/>
    <w:rPr>
      <w:rFonts w:cs="Times New Roman"/>
      <w:kern w:val="2"/>
      <w:sz w:val="21"/>
      <w:szCs w:val="22"/>
    </w:rPr>
  </w:style>
</w:styles>
</file>

<file path=word/webSettings.xml><?xml version="1.0" encoding="utf-8"?>
<w:webSettings xmlns:r="http://schemas.openxmlformats.org/officeDocument/2006/relationships" xmlns:w="http://schemas.openxmlformats.org/wordprocessingml/2006/main">
  <w:divs>
    <w:div w:id="182219215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222</Words>
  <Characters>1270</Characters>
  <Application>Microsoft Office Word</Application>
  <DocSecurity>4</DocSecurity>
  <Lines>10</Lines>
  <Paragraphs>2</Paragraphs>
  <ScaleCrop>false</ScaleCrop>
  <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Huan</dc:creator>
  <cp:keywords/>
  <dc:description/>
  <cp:lastModifiedBy>ZHONGM</cp:lastModifiedBy>
  <cp:revision>2</cp:revision>
  <cp:lastPrinted>2025-11-24T10:39:00Z</cp:lastPrinted>
  <dcterms:created xsi:type="dcterms:W3CDTF">2025-11-24T16:03:00Z</dcterms:created>
  <dcterms:modified xsi:type="dcterms:W3CDTF">2025-11-24T16:03:00Z</dcterms:modified>
</cp:coreProperties>
</file>