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C2" w:rsidRPr="00AC7D4B" w:rsidRDefault="00982BC2">
      <w:pPr>
        <w:spacing w:line="360" w:lineRule="auto"/>
        <w:jc w:val="center"/>
        <w:rPr>
          <w:b/>
          <w:bCs/>
          <w:color w:val="000000"/>
          <w:sz w:val="30"/>
          <w:szCs w:val="30"/>
        </w:rPr>
      </w:pPr>
      <w:bookmarkStart w:id="0" w:name="_GoBack"/>
      <w:bookmarkEnd w:id="0"/>
      <w:r w:rsidRPr="00AC7D4B">
        <w:rPr>
          <w:rFonts w:hAnsi="宋体"/>
          <w:b/>
          <w:bCs/>
          <w:color w:val="000000"/>
          <w:sz w:val="30"/>
          <w:szCs w:val="30"/>
        </w:rPr>
        <w:t>关于</w:t>
      </w:r>
      <w:r w:rsidRPr="00AC7D4B">
        <w:rPr>
          <w:rFonts w:hAnsi="宋体"/>
          <w:b/>
          <w:bCs/>
          <w:noProof/>
          <w:color w:val="000000"/>
          <w:sz w:val="30"/>
          <w:szCs w:val="30"/>
        </w:rPr>
        <w:t>农银汇理瑞康</w:t>
      </w:r>
      <w:r w:rsidRPr="00AC7D4B">
        <w:rPr>
          <w:rFonts w:hAnsi="宋体"/>
          <w:b/>
          <w:bCs/>
          <w:noProof/>
          <w:color w:val="000000"/>
          <w:sz w:val="30"/>
          <w:szCs w:val="30"/>
        </w:rPr>
        <w:t>6</w:t>
      </w:r>
      <w:r w:rsidRPr="00AC7D4B">
        <w:rPr>
          <w:rFonts w:hAnsi="宋体"/>
          <w:b/>
          <w:bCs/>
          <w:noProof/>
          <w:color w:val="000000"/>
          <w:sz w:val="30"/>
          <w:szCs w:val="30"/>
        </w:rPr>
        <w:t>个月持有期混合型证券投资基金</w:t>
      </w:r>
    </w:p>
    <w:p w:rsidR="00982BC2" w:rsidRPr="00AC7D4B" w:rsidRDefault="00982BC2">
      <w:pPr>
        <w:spacing w:line="360" w:lineRule="auto"/>
        <w:jc w:val="center"/>
        <w:rPr>
          <w:b/>
          <w:bCs/>
          <w:color w:val="000000"/>
          <w:sz w:val="30"/>
          <w:szCs w:val="30"/>
        </w:rPr>
      </w:pPr>
      <w:r w:rsidRPr="00AC7D4B">
        <w:rPr>
          <w:rFonts w:hAnsi="宋体" w:hint="eastAsia"/>
          <w:b/>
          <w:bCs/>
          <w:color w:val="000000"/>
          <w:sz w:val="30"/>
          <w:szCs w:val="30"/>
        </w:rPr>
        <w:t>暂停</w:t>
      </w:r>
      <w:r w:rsidRPr="00AC7D4B">
        <w:rPr>
          <w:rFonts w:hAnsi="宋体"/>
          <w:b/>
          <w:bCs/>
          <w:color w:val="000000"/>
          <w:sz w:val="30"/>
          <w:szCs w:val="30"/>
        </w:rPr>
        <w:t>大额申购、转换转入和定期定额投资</w:t>
      </w:r>
      <w:r w:rsidRPr="00AC7D4B">
        <w:rPr>
          <w:rFonts w:hAnsi="宋体" w:hint="eastAsia"/>
          <w:b/>
          <w:bCs/>
          <w:color w:val="000000"/>
          <w:sz w:val="30"/>
          <w:szCs w:val="30"/>
        </w:rPr>
        <w:t>业务</w:t>
      </w:r>
      <w:r w:rsidRPr="00AC7D4B">
        <w:rPr>
          <w:rFonts w:hAnsi="宋体"/>
          <w:b/>
          <w:bCs/>
          <w:color w:val="000000"/>
          <w:sz w:val="30"/>
          <w:szCs w:val="30"/>
        </w:rPr>
        <w:t>的公告</w:t>
      </w:r>
    </w:p>
    <w:p w:rsidR="00982BC2" w:rsidRPr="00AC7D4B" w:rsidRDefault="00982BC2">
      <w:pPr>
        <w:spacing w:line="360" w:lineRule="auto"/>
        <w:jc w:val="center"/>
        <w:rPr>
          <w:b/>
          <w:sz w:val="24"/>
        </w:rPr>
      </w:pPr>
      <w:r w:rsidRPr="00AC7D4B">
        <w:rPr>
          <w:rFonts w:hAnsi="宋体"/>
          <w:b/>
          <w:sz w:val="24"/>
        </w:rPr>
        <w:t>公告送出日期：</w:t>
      </w:r>
      <w:r w:rsidRPr="00AC7D4B">
        <w:rPr>
          <w:b/>
          <w:sz w:val="24"/>
        </w:rPr>
        <w:t>20</w:t>
      </w:r>
      <w:r w:rsidRPr="00AC7D4B">
        <w:rPr>
          <w:rFonts w:hint="eastAsia"/>
          <w:b/>
          <w:sz w:val="24"/>
        </w:rPr>
        <w:t>2</w:t>
      </w:r>
      <w:r w:rsidRPr="00AC7D4B">
        <w:rPr>
          <w:b/>
          <w:sz w:val="24"/>
        </w:rPr>
        <w:t>5</w:t>
      </w:r>
      <w:r w:rsidRPr="00AC7D4B">
        <w:rPr>
          <w:rFonts w:hAnsi="宋体"/>
          <w:b/>
          <w:sz w:val="24"/>
        </w:rPr>
        <w:t>年</w:t>
      </w:r>
      <w:r w:rsidR="0097778E" w:rsidRPr="00AC7D4B">
        <w:rPr>
          <w:rFonts w:hAnsi="宋体"/>
          <w:b/>
          <w:sz w:val="24"/>
        </w:rPr>
        <w:t>11</w:t>
      </w:r>
      <w:r w:rsidRPr="00AC7D4B">
        <w:rPr>
          <w:rFonts w:hAnsi="宋体"/>
          <w:b/>
          <w:sz w:val="24"/>
        </w:rPr>
        <w:t>月</w:t>
      </w:r>
      <w:r w:rsidR="0097778E" w:rsidRPr="00AC7D4B">
        <w:rPr>
          <w:rFonts w:hAnsi="宋体"/>
          <w:b/>
          <w:sz w:val="24"/>
        </w:rPr>
        <w:t>25</w:t>
      </w:r>
      <w:r w:rsidRPr="00AC7D4B">
        <w:rPr>
          <w:rFonts w:hAnsi="宋体"/>
          <w:b/>
          <w:sz w:val="24"/>
        </w:rPr>
        <w:t>日</w:t>
      </w:r>
    </w:p>
    <w:p w:rsidR="00982BC2" w:rsidRPr="00AC7D4B" w:rsidRDefault="00982BC2">
      <w:pPr>
        <w:spacing w:line="360" w:lineRule="auto"/>
        <w:jc w:val="center"/>
        <w:rPr>
          <w:color w:val="000000"/>
          <w:sz w:val="24"/>
        </w:rPr>
      </w:pPr>
    </w:p>
    <w:p w:rsidR="00982BC2" w:rsidRPr="00AC7D4B" w:rsidRDefault="00982BC2">
      <w:pPr>
        <w:spacing w:line="360" w:lineRule="auto"/>
        <w:jc w:val="center"/>
        <w:rPr>
          <w:color w:val="000000"/>
          <w:sz w:val="24"/>
        </w:rPr>
      </w:pPr>
    </w:p>
    <w:p w:rsidR="00982BC2" w:rsidRPr="00AC7D4B" w:rsidRDefault="00982BC2">
      <w:pPr>
        <w:pStyle w:val="3"/>
        <w:keepNext w:val="0"/>
        <w:keepLines w:val="0"/>
        <w:spacing w:before="0" w:after="0" w:line="360" w:lineRule="auto"/>
        <w:rPr>
          <w:bCs w:val="0"/>
          <w:sz w:val="24"/>
          <w:szCs w:val="24"/>
        </w:rPr>
      </w:pPr>
      <w:r w:rsidRPr="00AC7D4B">
        <w:rPr>
          <w:bCs w:val="0"/>
          <w:sz w:val="24"/>
          <w:szCs w:val="24"/>
        </w:rPr>
        <w:t>1</w:t>
      </w:r>
      <w:r w:rsidRPr="00AC7D4B">
        <w:rPr>
          <w:rFonts w:hAnsi="宋体"/>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42"/>
        <w:gridCol w:w="3150"/>
        <w:gridCol w:w="7"/>
        <w:gridCol w:w="3157"/>
      </w:tblGrid>
      <w:tr w:rsidR="00982BC2" w:rsidRPr="00AC7D4B">
        <w:trPr>
          <w:jc w:val="center"/>
        </w:trPr>
        <w:tc>
          <w:tcPr>
            <w:tcW w:w="3042" w:type="dxa"/>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noProof/>
                <w:sz w:val="24"/>
              </w:rPr>
              <w:t>农银汇理瑞康</w:t>
            </w:r>
            <w:r w:rsidRPr="00AC7D4B">
              <w:rPr>
                <w:rFonts w:hAnsi="宋体"/>
                <w:noProof/>
                <w:sz w:val="24"/>
              </w:rPr>
              <w:t>6</w:t>
            </w:r>
            <w:r w:rsidRPr="00AC7D4B">
              <w:rPr>
                <w:rFonts w:hAnsi="宋体"/>
                <w:noProof/>
                <w:sz w:val="24"/>
              </w:rPr>
              <w:t>个月持有期混合型证券投资基金</w:t>
            </w:r>
          </w:p>
        </w:tc>
      </w:tr>
      <w:tr w:rsidR="00982BC2" w:rsidRPr="00AC7D4B">
        <w:trPr>
          <w:jc w:val="center"/>
        </w:trPr>
        <w:tc>
          <w:tcPr>
            <w:tcW w:w="3042" w:type="dxa"/>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tcPr>
          <w:p w:rsidR="00982BC2" w:rsidRPr="00AC7D4B" w:rsidRDefault="00982BC2" w:rsidP="00A7720C">
            <w:pPr>
              <w:rPr>
                <w:sz w:val="24"/>
              </w:rPr>
            </w:pPr>
            <w:r w:rsidRPr="00AC7D4B">
              <w:rPr>
                <w:rFonts w:hAnsi="宋体"/>
                <w:noProof/>
                <w:sz w:val="24"/>
              </w:rPr>
              <w:t>农银瑞康</w:t>
            </w:r>
            <w:r w:rsidRPr="00AC7D4B">
              <w:rPr>
                <w:rFonts w:hAnsi="宋体"/>
                <w:noProof/>
                <w:sz w:val="24"/>
              </w:rPr>
              <w:t>6</w:t>
            </w:r>
            <w:r w:rsidRPr="00AC7D4B">
              <w:rPr>
                <w:rFonts w:hAnsi="宋体"/>
                <w:noProof/>
                <w:sz w:val="24"/>
              </w:rPr>
              <w:t>个月持有混合</w:t>
            </w:r>
          </w:p>
        </w:tc>
      </w:tr>
      <w:tr w:rsidR="00982BC2" w:rsidRPr="00AC7D4B">
        <w:trPr>
          <w:jc w:val="center"/>
        </w:trPr>
        <w:tc>
          <w:tcPr>
            <w:tcW w:w="3042" w:type="dxa"/>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noProof/>
                <w:sz w:val="24"/>
              </w:rPr>
              <w:t>012430</w:t>
            </w:r>
          </w:p>
        </w:tc>
      </w:tr>
      <w:tr w:rsidR="00982BC2" w:rsidRPr="00AC7D4B">
        <w:trPr>
          <w:jc w:val="center"/>
        </w:trPr>
        <w:tc>
          <w:tcPr>
            <w:tcW w:w="3042" w:type="dxa"/>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农银汇理基金管理有限公司</w:t>
            </w:r>
          </w:p>
        </w:tc>
      </w:tr>
      <w:tr w:rsidR="00982BC2" w:rsidRPr="00AC7D4B">
        <w:trPr>
          <w:jc w:val="center"/>
        </w:trPr>
        <w:tc>
          <w:tcPr>
            <w:tcW w:w="3042" w:type="dxa"/>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sz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tcPr>
          <w:p w:rsidR="00982BC2" w:rsidRPr="00AC7D4B" w:rsidRDefault="00982BC2" w:rsidP="003B3020">
            <w:pPr>
              <w:rPr>
                <w:sz w:val="24"/>
              </w:rPr>
            </w:pPr>
            <w:r w:rsidRPr="00AC7D4B">
              <w:rPr>
                <w:rFonts w:hAnsi="宋体" w:hint="eastAsia"/>
                <w:sz w:val="24"/>
              </w:rPr>
              <w:t>有关法律法规、《</w:t>
            </w:r>
            <w:r w:rsidRPr="00AC7D4B">
              <w:rPr>
                <w:rFonts w:hAnsi="宋体"/>
                <w:noProof/>
                <w:sz w:val="24"/>
              </w:rPr>
              <w:t>农银汇理瑞康</w:t>
            </w:r>
            <w:r w:rsidRPr="00AC7D4B">
              <w:rPr>
                <w:rFonts w:hAnsi="宋体"/>
                <w:noProof/>
                <w:sz w:val="24"/>
              </w:rPr>
              <w:t>6</w:t>
            </w:r>
            <w:r w:rsidRPr="00AC7D4B">
              <w:rPr>
                <w:rFonts w:hAnsi="宋体"/>
                <w:noProof/>
                <w:sz w:val="24"/>
              </w:rPr>
              <w:t>个月持有期混合型证券投资基金</w:t>
            </w:r>
            <w:r w:rsidRPr="00AC7D4B">
              <w:rPr>
                <w:rFonts w:hAnsi="宋体" w:hint="eastAsia"/>
                <w:sz w:val="24"/>
              </w:rPr>
              <w:t>基金合同》及《</w:t>
            </w:r>
            <w:r w:rsidRPr="00AC7D4B">
              <w:rPr>
                <w:rFonts w:hAnsi="宋体"/>
                <w:noProof/>
                <w:sz w:val="24"/>
              </w:rPr>
              <w:t>农银汇理瑞康</w:t>
            </w:r>
            <w:r w:rsidRPr="00AC7D4B">
              <w:rPr>
                <w:rFonts w:hAnsi="宋体"/>
                <w:noProof/>
                <w:sz w:val="24"/>
              </w:rPr>
              <w:t>6</w:t>
            </w:r>
            <w:r w:rsidRPr="00AC7D4B">
              <w:rPr>
                <w:rFonts w:hAnsi="宋体"/>
                <w:noProof/>
                <w:sz w:val="24"/>
              </w:rPr>
              <w:t>个月持有期混合型证券投资基金</w:t>
            </w:r>
            <w:r w:rsidRPr="00AC7D4B">
              <w:rPr>
                <w:rFonts w:hAnsi="宋体" w:hint="eastAsia"/>
                <w:sz w:val="24"/>
              </w:rPr>
              <w:t>招募说明书（更新）》</w:t>
            </w:r>
          </w:p>
        </w:tc>
      </w:tr>
      <w:tr w:rsidR="00982BC2" w:rsidRPr="00AC7D4B">
        <w:tblPrEx>
          <w:tblBorders>
            <w:top w:val="none" w:sz="0" w:space="0" w:color="auto"/>
            <w:bottom w:val="none" w:sz="0" w:space="0" w:color="auto"/>
            <w:insideH w:val="none" w:sz="0" w:space="0" w:color="auto"/>
          </w:tblBorders>
        </w:tblPrEx>
        <w:trPr>
          <w:trHeight w:val="423"/>
          <w:jc w:val="center"/>
        </w:trPr>
        <w:tc>
          <w:tcPr>
            <w:tcW w:w="3042" w:type="dxa"/>
            <w:vMerge w:val="restart"/>
            <w:tcBorders>
              <w:left w:val="single" w:sz="4" w:space="0" w:color="000000"/>
              <w:right w:val="single" w:sz="4" w:space="0" w:color="000000"/>
            </w:tcBorders>
            <w:vAlign w:val="center"/>
          </w:tcPr>
          <w:p w:rsidR="00982BC2" w:rsidRPr="00AC7D4B" w:rsidRDefault="00982BC2">
            <w:pPr>
              <w:rPr>
                <w:sz w:val="24"/>
              </w:rPr>
            </w:pPr>
            <w:r w:rsidRPr="00AC7D4B">
              <w:rPr>
                <w:rFonts w:hAnsi="宋体" w:hint="eastAsia"/>
                <w:sz w:val="24"/>
              </w:rPr>
              <w:t>调整</w:t>
            </w:r>
            <w:r w:rsidRPr="00AC7D4B">
              <w:rPr>
                <w:rFonts w:hAnsi="宋体"/>
                <w:sz w:val="24"/>
              </w:rPr>
              <w:t>相关业务的起始日、金额及原因说明</w:t>
            </w:r>
          </w:p>
        </w:tc>
        <w:tc>
          <w:tcPr>
            <w:tcW w:w="3157" w:type="dxa"/>
            <w:gridSpan w:val="2"/>
            <w:tcBorders>
              <w:top w:val="single" w:sz="4" w:space="0" w:color="000000"/>
              <w:left w:val="single" w:sz="4" w:space="0" w:color="000000"/>
              <w:bottom w:val="single" w:sz="4" w:space="0" w:color="000000"/>
              <w:right w:val="single" w:sz="4" w:space="0" w:color="000000"/>
            </w:tcBorders>
          </w:tcPr>
          <w:p w:rsidR="00982BC2" w:rsidRPr="00AC7D4B" w:rsidRDefault="00982BC2">
            <w:pPr>
              <w:rPr>
                <w:sz w:val="24"/>
              </w:rPr>
            </w:pPr>
            <w:r w:rsidRPr="00AC7D4B">
              <w:rPr>
                <w:rFonts w:hAnsi="宋体" w:hint="eastAsia"/>
                <w:kern w:val="0"/>
                <w:sz w:val="24"/>
              </w:rPr>
              <w:t>暂停</w:t>
            </w:r>
            <w:r w:rsidRPr="00AC7D4B">
              <w:rPr>
                <w:rFonts w:hAnsi="宋体"/>
                <w:kern w:val="0"/>
                <w:sz w:val="24"/>
              </w:rPr>
              <w:t>大额申购（含大额转换转入和大额定期定额申购）起始日</w:t>
            </w:r>
          </w:p>
        </w:tc>
        <w:tc>
          <w:tcPr>
            <w:tcW w:w="3157" w:type="dxa"/>
            <w:tcBorders>
              <w:top w:val="single" w:sz="4" w:space="0" w:color="000000"/>
              <w:left w:val="single" w:sz="4" w:space="0" w:color="000000"/>
              <w:bottom w:val="single" w:sz="4" w:space="0" w:color="000000"/>
              <w:right w:val="single" w:sz="4" w:space="0" w:color="000000"/>
            </w:tcBorders>
          </w:tcPr>
          <w:p w:rsidR="00982BC2" w:rsidRPr="00AC7D4B" w:rsidRDefault="00982BC2" w:rsidP="00A7720C">
            <w:pPr>
              <w:rPr>
                <w:sz w:val="24"/>
              </w:rPr>
            </w:pPr>
            <w:r w:rsidRPr="00AC7D4B">
              <w:rPr>
                <w:noProof/>
                <w:sz w:val="24"/>
              </w:rPr>
              <w:t>2025</w:t>
            </w:r>
            <w:r w:rsidRPr="00AC7D4B">
              <w:rPr>
                <w:noProof/>
                <w:sz w:val="24"/>
              </w:rPr>
              <w:t>年</w:t>
            </w:r>
            <w:r w:rsidRPr="00AC7D4B">
              <w:rPr>
                <w:noProof/>
                <w:sz w:val="24"/>
              </w:rPr>
              <w:t>11</w:t>
            </w:r>
            <w:r w:rsidRPr="00AC7D4B">
              <w:rPr>
                <w:noProof/>
                <w:sz w:val="24"/>
              </w:rPr>
              <w:t>月</w:t>
            </w:r>
            <w:r w:rsidRPr="00AC7D4B">
              <w:rPr>
                <w:noProof/>
                <w:sz w:val="24"/>
              </w:rPr>
              <w:t>25</w:t>
            </w:r>
            <w:r w:rsidRPr="00AC7D4B">
              <w:rPr>
                <w:noProof/>
                <w:sz w:val="24"/>
              </w:rPr>
              <w:t>日</w:t>
            </w:r>
          </w:p>
        </w:tc>
      </w:tr>
      <w:tr w:rsidR="00982BC2" w:rsidRPr="00AC7D4B" w:rsidTr="00CD7326">
        <w:tblPrEx>
          <w:tblBorders>
            <w:top w:val="none" w:sz="0" w:space="0" w:color="auto"/>
            <w:bottom w:val="none" w:sz="0" w:space="0" w:color="auto"/>
            <w:insideH w:val="none" w:sz="0" w:space="0" w:color="auto"/>
          </w:tblBorders>
        </w:tblPrEx>
        <w:trPr>
          <w:trHeight w:val="936"/>
          <w:jc w:val="center"/>
        </w:trPr>
        <w:tc>
          <w:tcPr>
            <w:tcW w:w="3042" w:type="dxa"/>
            <w:vMerge/>
            <w:tcBorders>
              <w:left w:val="single" w:sz="4" w:space="0" w:color="000000"/>
              <w:right w:val="single" w:sz="4" w:space="0" w:color="000000"/>
            </w:tcBorders>
            <w:vAlign w:val="center"/>
          </w:tcPr>
          <w:p w:rsidR="00982BC2" w:rsidRPr="00AC7D4B" w:rsidRDefault="00982BC2">
            <w:pPr>
              <w:rPr>
                <w:sz w:val="24"/>
              </w:rPr>
            </w:pPr>
          </w:p>
        </w:tc>
        <w:tc>
          <w:tcPr>
            <w:tcW w:w="3157" w:type="dxa"/>
            <w:gridSpan w:val="2"/>
            <w:tcBorders>
              <w:top w:val="single" w:sz="4" w:space="0" w:color="000000"/>
              <w:left w:val="single" w:sz="4" w:space="0" w:color="000000"/>
              <w:right w:val="single" w:sz="4" w:space="0" w:color="000000"/>
            </w:tcBorders>
          </w:tcPr>
          <w:p w:rsidR="00982BC2" w:rsidRPr="00AC7D4B" w:rsidRDefault="00982BC2">
            <w:pPr>
              <w:rPr>
                <w:sz w:val="24"/>
              </w:rPr>
            </w:pPr>
            <w:r w:rsidRPr="00AC7D4B">
              <w:rPr>
                <w:rFonts w:hAnsi="宋体"/>
                <w:sz w:val="24"/>
              </w:rPr>
              <w:t>限制申购（含转换转入和定期定额申购）金额（单位：</w:t>
            </w:r>
            <w:r w:rsidRPr="00AC7D4B">
              <w:rPr>
                <w:rFonts w:hAnsi="宋体" w:hint="eastAsia"/>
                <w:sz w:val="24"/>
              </w:rPr>
              <w:t>人民币</w:t>
            </w:r>
            <w:r w:rsidRPr="00AC7D4B">
              <w:rPr>
                <w:rFonts w:hAnsi="宋体"/>
                <w:sz w:val="24"/>
              </w:rPr>
              <w:t>元）</w:t>
            </w:r>
          </w:p>
        </w:tc>
        <w:tc>
          <w:tcPr>
            <w:tcW w:w="3157" w:type="dxa"/>
            <w:tcBorders>
              <w:top w:val="single" w:sz="4" w:space="0" w:color="000000"/>
              <w:left w:val="single" w:sz="4" w:space="0" w:color="000000"/>
              <w:right w:val="single" w:sz="4" w:space="0" w:color="000000"/>
            </w:tcBorders>
            <w:shd w:val="clear" w:color="auto" w:fill="auto"/>
          </w:tcPr>
          <w:p w:rsidR="00982BC2" w:rsidRPr="00AC7D4B" w:rsidRDefault="00982BC2" w:rsidP="00A01023">
            <w:pPr>
              <w:rPr>
                <w:sz w:val="24"/>
              </w:rPr>
            </w:pPr>
            <w:r w:rsidRPr="00AC7D4B">
              <w:rPr>
                <w:noProof/>
                <w:sz w:val="24"/>
              </w:rPr>
              <w:t>1,000,000.00</w:t>
            </w:r>
          </w:p>
        </w:tc>
      </w:tr>
      <w:tr w:rsidR="00982BC2" w:rsidRPr="00AC7D4B" w:rsidTr="005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tcPr>
          <w:p w:rsidR="00982BC2" w:rsidRPr="00AC7D4B" w:rsidRDefault="00982BC2">
            <w:pPr>
              <w:rPr>
                <w:sz w:val="24"/>
              </w:rPr>
            </w:pPr>
          </w:p>
        </w:tc>
        <w:tc>
          <w:tcPr>
            <w:tcW w:w="3150" w:type="dxa"/>
            <w:tcBorders>
              <w:top w:val="single" w:sz="4" w:space="0" w:color="auto"/>
              <w:left w:val="single" w:sz="4" w:space="0" w:color="000000"/>
              <w:bottom w:val="single" w:sz="4" w:space="0" w:color="auto"/>
              <w:right w:val="single" w:sz="4" w:space="0" w:color="auto"/>
            </w:tcBorders>
          </w:tcPr>
          <w:p w:rsidR="00982BC2" w:rsidRPr="00AC7D4B" w:rsidRDefault="00982BC2">
            <w:pPr>
              <w:rPr>
                <w:color w:val="000000"/>
                <w:kern w:val="0"/>
                <w:sz w:val="24"/>
              </w:rPr>
            </w:pPr>
            <w:r w:rsidRPr="00AC7D4B">
              <w:rPr>
                <w:rFonts w:hAnsi="宋体"/>
                <w:sz w:val="24"/>
              </w:rPr>
              <w:t>限制申购（含转换转入和定期定额申购）的原因说明</w:t>
            </w:r>
          </w:p>
        </w:tc>
        <w:tc>
          <w:tcPr>
            <w:tcW w:w="3164" w:type="dxa"/>
            <w:gridSpan w:val="2"/>
            <w:tcBorders>
              <w:top w:val="single" w:sz="4" w:space="0" w:color="auto"/>
              <w:left w:val="single" w:sz="4" w:space="0" w:color="auto"/>
              <w:bottom w:val="single" w:sz="4" w:space="0" w:color="auto"/>
              <w:right w:val="single" w:sz="4" w:space="0" w:color="auto"/>
            </w:tcBorders>
          </w:tcPr>
          <w:p w:rsidR="00982BC2" w:rsidRPr="00AC7D4B" w:rsidRDefault="00982BC2">
            <w:pPr>
              <w:rPr>
                <w:sz w:val="24"/>
              </w:rPr>
            </w:pPr>
            <w:r w:rsidRPr="00AC7D4B">
              <w:rPr>
                <w:rFonts w:hAnsi="宋体"/>
                <w:noProof/>
                <w:sz w:val="24"/>
              </w:rPr>
              <w:t>为了保证基金的平稳运作，保护基金份额持有人利益。</w:t>
            </w:r>
          </w:p>
        </w:tc>
      </w:tr>
    </w:tbl>
    <w:p w:rsidR="00982BC2" w:rsidRPr="00AC7D4B" w:rsidRDefault="00982BC2">
      <w:pPr>
        <w:spacing w:line="360" w:lineRule="auto"/>
        <w:ind w:firstLineChars="200" w:firstLine="480"/>
        <w:rPr>
          <w:color w:val="000000"/>
          <w:sz w:val="24"/>
        </w:rPr>
      </w:pPr>
    </w:p>
    <w:p w:rsidR="00982BC2" w:rsidRPr="00AC7D4B" w:rsidRDefault="00982BC2">
      <w:pPr>
        <w:pStyle w:val="3"/>
        <w:keepNext w:val="0"/>
        <w:keepLines w:val="0"/>
        <w:spacing w:before="0" w:after="0" w:line="360" w:lineRule="auto"/>
        <w:rPr>
          <w:color w:val="000000"/>
          <w:sz w:val="24"/>
          <w:szCs w:val="24"/>
        </w:rPr>
      </w:pPr>
      <w:r w:rsidRPr="00AC7D4B">
        <w:rPr>
          <w:color w:val="000000"/>
          <w:sz w:val="24"/>
          <w:szCs w:val="24"/>
        </w:rPr>
        <w:t>2</w:t>
      </w:r>
      <w:r w:rsidRPr="00AC7D4B">
        <w:rPr>
          <w:rFonts w:hAnsi="宋体"/>
          <w:color w:val="000000"/>
          <w:sz w:val="24"/>
          <w:szCs w:val="24"/>
        </w:rPr>
        <w:t>、其他需要提示的事项</w:t>
      </w:r>
    </w:p>
    <w:p w:rsidR="00982BC2" w:rsidRPr="00AC7D4B" w:rsidRDefault="00982BC2" w:rsidP="00920CEC">
      <w:pPr>
        <w:spacing w:line="360" w:lineRule="auto"/>
        <w:ind w:firstLineChars="200" w:firstLine="480"/>
        <w:rPr>
          <w:color w:val="000000"/>
          <w:sz w:val="24"/>
        </w:rPr>
      </w:pPr>
      <w:r w:rsidRPr="00AC7D4B">
        <w:rPr>
          <w:rFonts w:hAnsi="宋体"/>
          <w:color w:val="000000"/>
          <w:sz w:val="24"/>
        </w:rPr>
        <w:t>（</w:t>
      </w:r>
      <w:r w:rsidRPr="00AC7D4B">
        <w:rPr>
          <w:color w:val="000000"/>
          <w:sz w:val="24"/>
        </w:rPr>
        <w:t>1</w:t>
      </w:r>
      <w:r w:rsidRPr="00AC7D4B">
        <w:rPr>
          <w:rFonts w:hAnsi="宋体"/>
          <w:color w:val="000000"/>
          <w:sz w:val="24"/>
        </w:rPr>
        <w:t>）暂停本基金单日单个账户单笔或累计高于</w:t>
      </w:r>
      <w:r w:rsidRPr="00AC7D4B">
        <w:rPr>
          <w:noProof/>
          <w:color w:val="000000"/>
          <w:sz w:val="24"/>
        </w:rPr>
        <w:t>100</w:t>
      </w:r>
      <w:r w:rsidRPr="00AC7D4B">
        <w:rPr>
          <w:rFonts w:hAnsi="宋体"/>
          <w:color w:val="000000"/>
          <w:sz w:val="24"/>
        </w:rPr>
        <w:t>万元</w:t>
      </w:r>
      <w:r w:rsidRPr="00AC7D4B">
        <w:rPr>
          <w:rFonts w:hAnsi="宋体" w:hint="eastAsia"/>
          <w:color w:val="000000"/>
          <w:sz w:val="24"/>
        </w:rPr>
        <w:t>（不含）</w:t>
      </w:r>
      <w:r w:rsidRPr="00AC7D4B">
        <w:rPr>
          <w:rFonts w:hAnsi="宋体"/>
          <w:color w:val="000000"/>
          <w:sz w:val="24"/>
        </w:rPr>
        <w:t>的申购（含转换转入和定期定额申购），如单日单个基金账户单笔申购（含转换转入和定期定额申购）的金额超过</w:t>
      </w:r>
      <w:r w:rsidRPr="00AC7D4B">
        <w:rPr>
          <w:noProof/>
          <w:color w:val="000000"/>
          <w:sz w:val="24"/>
        </w:rPr>
        <w:t>100</w:t>
      </w:r>
      <w:r w:rsidRPr="00AC7D4B">
        <w:rPr>
          <w:rFonts w:hAnsi="宋体"/>
          <w:color w:val="000000"/>
          <w:sz w:val="24"/>
        </w:rPr>
        <w:t>万元（不含），或者单日单个基金账户多笔累计申购（含转换转入和定期定额申购）的金额超过</w:t>
      </w:r>
      <w:r w:rsidRPr="00AC7D4B">
        <w:rPr>
          <w:noProof/>
          <w:color w:val="000000"/>
          <w:sz w:val="24"/>
        </w:rPr>
        <w:t>100</w:t>
      </w:r>
      <w:r w:rsidRPr="00AC7D4B">
        <w:rPr>
          <w:rFonts w:hAnsi="宋体"/>
          <w:color w:val="000000"/>
          <w:sz w:val="24"/>
        </w:rPr>
        <w:t>万元（不含），本基金管理人有权予以拒绝。</w:t>
      </w:r>
    </w:p>
    <w:p w:rsidR="00982BC2" w:rsidRPr="00AC7D4B" w:rsidRDefault="00982BC2">
      <w:pPr>
        <w:spacing w:line="360" w:lineRule="auto"/>
        <w:ind w:firstLineChars="200" w:firstLine="480"/>
        <w:rPr>
          <w:rFonts w:hAnsi="宋体"/>
          <w:color w:val="000000"/>
          <w:sz w:val="24"/>
        </w:rPr>
      </w:pPr>
      <w:r w:rsidRPr="00AC7D4B">
        <w:rPr>
          <w:rFonts w:hAnsi="宋体" w:hint="eastAsia"/>
          <w:color w:val="000000"/>
          <w:sz w:val="24"/>
        </w:rPr>
        <w:t>（</w:t>
      </w:r>
      <w:r w:rsidRPr="00AC7D4B">
        <w:rPr>
          <w:rFonts w:hAnsi="宋体"/>
          <w:color w:val="000000"/>
          <w:sz w:val="24"/>
        </w:rPr>
        <w:t>2</w:t>
      </w:r>
      <w:r w:rsidRPr="00AC7D4B">
        <w:rPr>
          <w:rFonts w:hAnsi="宋体" w:hint="eastAsia"/>
          <w:color w:val="000000"/>
          <w:sz w:val="24"/>
        </w:rPr>
        <w:t>）</w:t>
      </w:r>
      <w:r w:rsidR="0097778E" w:rsidRPr="00AC7D4B">
        <w:rPr>
          <w:rFonts w:hAnsi="宋体" w:hint="eastAsia"/>
          <w:color w:val="000000"/>
          <w:sz w:val="24"/>
        </w:rPr>
        <w:t>本基金将于</w:t>
      </w:r>
      <w:r w:rsidR="0097778E" w:rsidRPr="00AC7D4B">
        <w:rPr>
          <w:rFonts w:hAnsi="宋体" w:hint="eastAsia"/>
          <w:color w:val="000000"/>
          <w:sz w:val="24"/>
        </w:rPr>
        <w:t>2</w:t>
      </w:r>
      <w:r w:rsidR="0097778E" w:rsidRPr="00AC7D4B">
        <w:rPr>
          <w:rFonts w:hAnsi="宋体"/>
          <w:color w:val="000000"/>
          <w:sz w:val="24"/>
        </w:rPr>
        <w:t>025</w:t>
      </w:r>
      <w:r w:rsidR="0097778E" w:rsidRPr="00AC7D4B">
        <w:rPr>
          <w:rFonts w:hAnsi="宋体" w:hint="eastAsia"/>
          <w:color w:val="000000"/>
          <w:sz w:val="24"/>
        </w:rPr>
        <w:t>年</w:t>
      </w:r>
      <w:r w:rsidR="0097778E" w:rsidRPr="00AC7D4B">
        <w:rPr>
          <w:rFonts w:hAnsi="宋体"/>
          <w:color w:val="000000"/>
          <w:sz w:val="24"/>
        </w:rPr>
        <w:t>12</w:t>
      </w:r>
      <w:r w:rsidR="0097778E" w:rsidRPr="00AC7D4B">
        <w:rPr>
          <w:rFonts w:hAnsi="宋体" w:hint="eastAsia"/>
          <w:color w:val="000000"/>
          <w:sz w:val="24"/>
        </w:rPr>
        <w:t>月</w:t>
      </w:r>
      <w:r w:rsidR="0097778E" w:rsidRPr="00AC7D4B">
        <w:rPr>
          <w:rFonts w:hAnsi="宋体"/>
          <w:color w:val="000000"/>
          <w:sz w:val="24"/>
        </w:rPr>
        <w:t>1</w:t>
      </w:r>
      <w:r w:rsidR="0097778E" w:rsidRPr="00AC7D4B">
        <w:rPr>
          <w:rFonts w:hAnsi="宋体" w:hint="eastAsia"/>
          <w:color w:val="000000"/>
          <w:sz w:val="24"/>
        </w:rPr>
        <w:t>日起</w:t>
      </w:r>
      <w:r w:rsidR="00C43257" w:rsidRPr="00AC7D4B">
        <w:rPr>
          <w:rFonts w:hAnsi="宋体" w:hint="eastAsia"/>
          <w:color w:val="000000"/>
          <w:sz w:val="24"/>
        </w:rPr>
        <w:t>取消</w:t>
      </w:r>
      <w:r w:rsidR="0097778E" w:rsidRPr="00AC7D4B">
        <w:rPr>
          <w:rFonts w:hAnsi="宋体" w:hint="eastAsia"/>
          <w:color w:val="000000"/>
          <w:sz w:val="24"/>
        </w:rPr>
        <w:t>大额申购、转换转入和定期定额投资业务限制。</w:t>
      </w:r>
    </w:p>
    <w:p w:rsidR="00982BC2" w:rsidRPr="00AC7D4B" w:rsidRDefault="00982BC2">
      <w:pPr>
        <w:spacing w:line="360" w:lineRule="auto"/>
        <w:ind w:firstLineChars="200" w:firstLine="480"/>
        <w:rPr>
          <w:color w:val="000000"/>
          <w:sz w:val="24"/>
        </w:rPr>
      </w:pPr>
      <w:r w:rsidRPr="00AC7D4B">
        <w:rPr>
          <w:rFonts w:hAnsi="宋体"/>
          <w:color w:val="000000"/>
          <w:sz w:val="24"/>
        </w:rPr>
        <w:t>（</w:t>
      </w:r>
      <w:r w:rsidRPr="00AC7D4B">
        <w:rPr>
          <w:color w:val="000000"/>
          <w:sz w:val="24"/>
        </w:rPr>
        <w:t>3</w:t>
      </w:r>
      <w:r w:rsidRPr="00AC7D4B">
        <w:rPr>
          <w:rFonts w:hAnsi="宋体"/>
          <w:color w:val="000000"/>
          <w:sz w:val="24"/>
        </w:rPr>
        <w:t>）投资者可拨打本公司客户服务电话（</w:t>
      </w:r>
      <w:r w:rsidRPr="00AC7D4B">
        <w:rPr>
          <w:color w:val="000000"/>
          <w:sz w:val="24"/>
        </w:rPr>
        <w:t>4006895599</w:t>
      </w:r>
      <w:r w:rsidRPr="00AC7D4B">
        <w:rPr>
          <w:rFonts w:hAnsi="宋体"/>
          <w:color w:val="000000"/>
          <w:sz w:val="24"/>
        </w:rPr>
        <w:t>、</w:t>
      </w:r>
      <w:r w:rsidRPr="00AC7D4B">
        <w:rPr>
          <w:color w:val="000000"/>
          <w:sz w:val="24"/>
        </w:rPr>
        <w:t>021-61095599</w:t>
      </w:r>
      <w:r w:rsidRPr="00AC7D4B">
        <w:rPr>
          <w:rFonts w:hAnsi="宋体"/>
          <w:color w:val="000000"/>
          <w:sz w:val="24"/>
        </w:rPr>
        <w:t>）或登</w:t>
      </w:r>
      <w:r w:rsidRPr="00AC7D4B">
        <w:rPr>
          <w:rFonts w:hAnsi="宋体" w:hint="eastAsia"/>
          <w:color w:val="000000"/>
          <w:sz w:val="24"/>
        </w:rPr>
        <w:t>录</w:t>
      </w:r>
      <w:r w:rsidRPr="00AC7D4B">
        <w:rPr>
          <w:rFonts w:hAnsi="宋体"/>
          <w:color w:val="000000"/>
          <w:sz w:val="24"/>
        </w:rPr>
        <w:t>本公司网站（</w:t>
      </w:r>
      <w:r w:rsidRPr="00AC7D4B">
        <w:rPr>
          <w:color w:val="000000"/>
          <w:sz w:val="24"/>
        </w:rPr>
        <w:t>www.abc-ca.com</w:t>
      </w:r>
      <w:r w:rsidRPr="00AC7D4B">
        <w:rPr>
          <w:rFonts w:hAnsi="宋体"/>
          <w:color w:val="000000"/>
          <w:sz w:val="24"/>
        </w:rPr>
        <w:t>）咨询相关事宜。</w:t>
      </w:r>
    </w:p>
    <w:p w:rsidR="00982BC2" w:rsidRPr="00AC7D4B" w:rsidRDefault="00982BC2">
      <w:pPr>
        <w:spacing w:line="360" w:lineRule="auto"/>
        <w:ind w:firstLineChars="200" w:firstLine="480"/>
        <w:rPr>
          <w:color w:val="000000"/>
          <w:sz w:val="24"/>
        </w:rPr>
      </w:pPr>
      <w:r w:rsidRPr="00AC7D4B">
        <w:rPr>
          <w:rFonts w:hint="eastAsia"/>
          <w:color w:val="000000"/>
          <w:sz w:val="24"/>
        </w:rPr>
        <w:t>本公告仅对</w:t>
      </w:r>
      <w:r w:rsidRPr="00AC7D4B">
        <w:rPr>
          <w:noProof/>
          <w:color w:val="000000"/>
          <w:sz w:val="24"/>
        </w:rPr>
        <w:t>农银汇理瑞康</w:t>
      </w:r>
      <w:r w:rsidRPr="00AC7D4B">
        <w:rPr>
          <w:noProof/>
          <w:color w:val="000000"/>
          <w:sz w:val="24"/>
        </w:rPr>
        <w:t>6</w:t>
      </w:r>
      <w:r w:rsidRPr="00AC7D4B">
        <w:rPr>
          <w:noProof/>
          <w:color w:val="000000"/>
          <w:sz w:val="24"/>
        </w:rPr>
        <w:t>个月持有期混合型证券投资基金</w:t>
      </w:r>
      <w:r w:rsidRPr="00AC7D4B">
        <w:rPr>
          <w:rFonts w:hint="eastAsia"/>
          <w:noProof/>
          <w:color w:val="000000"/>
          <w:sz w:val="24"/>
        </w:rPr>
        <w:t>暂停</w:t>
      </w:r>
      <w:r w:rsidRPr="00AC7D4B">
        <w:rPr>
          <w:rFonts w:hint="eastAsia"/>
          <w:color w:val="000000"/>
          <w:sz w:val="24"/>
        </w:rPr>
        <w:t>大额申购、转换转入和定期定额投资业务的有关事项予以说明。投资者欲了解本基金的详细</w:t>
      </w:r>
      <w:r w:rsidRPr="00AC7D4B">
        <w:rPr>
          <w:rFonts w:hint="eastAsia"/>
          <w:color w:val="000000"/>
          <w:sz w:val="24"/>
        </w:rPr>
        <w:lastRenderedPageBreak/>
        <w:t>情况，请仔细阅读本基金的《基金合同》、《招募说明书（更新）》、《基金产品资料概要（更新）》及相关法律文件。</w:t>
      </w:r>
    </w:p>
    <w:p w:rsidR="00982BC2" w:rsidRPr="00AC7D4B" w:rsidRDefault="00982BC2">
      <w:pPr>
        <w:spacing w:line="360" w:lineRule="auto"/>
        <w:rPr>
          <w:color w:val="000000"/>
          <w:sz w:val="24"/>
        </w:rPr>
      </w:pPr>
    </w:p>
    <w:p w:rsidR="00982BC2" w:rsidRPr="00AC7D4B" w:rsidRDefault="00982BC2">
      <w:pPr>
        <w:pStyle w:val="3"/>
        <w:keepNext w:val="0"/>
        <w:keepLines w:val="0"/>
        <w:spacing w:before="0" w:after="0" w:line="360" w:lineRule="auto"/>
        <w:rPr>
          <w:color w:val="000000"/>
          <w:sz w:val="24"/>
          <w:szCs w:val="24"/>
        </w:rPr>
      </w:pPr>
      <w:r w:rsidRPr="00AC7D4B">
        <w:rPr>
          <w:color w:val="000000"/>
          <w:sz w:val="24"/>
          <w:szCs w:val="24"/>
        </w:rPr>
        <w:t>3</w:t>
      </w:r>
      <w:r w:rsidRPr="00AC7D4B">
        <w:rPr>
          <w:rFonts w:hAnsi="宋体"/>
          <w:color w:val="000000"/>
          <w:sz w:val="24"/>
          <w:szCs w:val="24"/>
        </w:rPr>
        <w:t>、风险提示</w:t>
      </w:r>
    </w:p>
    <w:p w:rsidR="00982BC2" w:rsidRPr="00AC7D4B" w:rsidRDefault="00982BC2">
      <w:pPr>
        <w:spacing w:line="360" w:lineRule="auto"/>
        <w:ind w:firstLineChars="200" w:firstLine="480"/>
        <w:rPr>
          <w:color w:val="000000"/>
          <w:sz w:val="24"/>
        </w:rPr>
      </w:pPr>
      <w:r w:rsidRPr="00AC7D4B">
        <w:rPr>
          <w:rFonts w:hAnsi="宋体"/>
          <w:color w:val="000000"/>
          <w:sz w:val="24"/>
        </w:rPr>
        <w:t>本公司承诺以诚实信用、勤勉尽责的原则管理和运用基金资产，但不保证基金一定盈利，也不保证最低收益。基金的过往业绩不代表未来表现，</w:t>
      </w:r>
      <w:r w:rsidRPr="00AC7D4B">
        <w:rPr>
          <w:rFonts w:hAnsi="宋体" w:hint="eastAsia"/>
          <w:color w:val="000000"/>
          <w:sz w:val="24"/>
        </w:rPr>
        <w:t>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敬请投资者于投资前认真阅读本基金的《基金合同》和《招募说明书（更新）》及《基金产品资料概要（更新）》等法律文件，了解本基金的风险收益特征，并根据自身的投资目的、投资期限、投资经验、资产状况等判断本基金是否和投资人的风险承受能力相适应。</w:t>
      </w:r>
      <w:r w:rsidRPr="00AC7D4B">
        <w:rPr>
          <w:rFonts w:hAnsi="宋体"/>
          <w:color w:val="000000"/>
          <w:sz w:val="24"/>
        </w:rPr>
        <w:t>敬请投资者注意投资风险。</w:t>
      </w:r>
    </w:p>
    <w:p w:rsidR="00982BC2" w:rsidRPr="00AC7D4B" w:rsidRDefault="00982BC2">
      <w:pPr>
        <w:spacing w:line="360" w:lineRule="auto"/>
        <w:ind w:firstLineChars="200" w:firstLine="480"/>
        <w:rPr>
          <w:color w:val="000000"/>
          <w:sz w:val="24"/>
        </w:rPr>
      </w:pPr>
    </w:p>
    <w:p w:rsidR="00982BC2" w:rsidRPr="00AC7D4B" w:rsidRDefault="00982BC2" w:rsidP="00EF4546">
      <w:pPr>
        <w:spacing w:line="360" w:lineRule="auto"/>
        <w:ind w:firstLineChars="200" w:firstLine="480"/>
        <w:rPr>
          <w:sz w:val="24"/>
        </w:rPr>
      </w:pPr>
      <w:r w:rsidRPr="00AC7D4B">
        <w:rPr>
          <w:rFonts w:hAnsi="宋体"/>
          <w:sz w:val="24"/>
        </w:rPr>
        <w:t>特此公告。</w:t>
      </w:r>
    </w:p>
    <w:p w:rsidR="00982BC2" w:rsidRPr="00AC7D4B" w:rsidRDefault="00982BC2" w:rsidP="00EF4546">
      <w:pPr>
        <w:spacing w:line="360" w:lineRule="auto"/>
        <w:rPr>
          <w:sz w:val="24"/>
        </w:rPr>
      </w:pPr>
    </w:p>
    <w:p w:rsidR="00982BC2" w:rsidRPr="00AC7D4B" w:rsidRDefault="00982BC2" w:rsidP="00EF4546">
      <w:pPr>
        <w:spacing w:line="360" w:lineRule="auto"/>
        <w:rPr>
          <w:sz w:val="24"/>
        </w:rPr>
      </w:pPr>
    </w:p>
    <w:p w:rsidR="00982BC2" w:rsidRPr="00AC7D4B" w:rsidRDefault="00982BC2" w:rsidP="00EF4546">
      <w:pPr>
        <w:spacing w:line="360" w:lineRule="auto"/>
        <w:rPr>
          <w:sz w:val="24"/>
        </w:rPr>
      </w:pPr>
    </w:p>
    <w:p w:rsidR="00982BC2" w:rsidRPr="00AC7D4B" w:rsidRDefault="00982BC2" w:rsidP="00EF4546">
      <w:pPr>
        <w:spacing w:line="360" w:lineRule="auto"/>
        <w:jc w:val="right"/>
        <w:rPr>
          <w:sz w:val="24"/>
        </w:rPr>
      </w:pPr>
      <w:r w:rsidRPr="00AC7D4B">
        <w:rPr>
          <w:rFonts w:hAnsi="宋体"/>
          <w:sz w:val="24"/>
        </w:rPr>
        <w:t>农银汇理基金管理有限公司</w:t>
      </w:r>
    </w:p>
    <w:p w:rsidR="00982BC2" w:rsidRPr="00F63598" w:rsidRDefault="00982BC2" w:rsidP="00191917">
      <w:pPr>
        <w:wordWrap w:val="0"/>
        <w:spacing w:line="360" w:lineRule="auto"/>
        <w:jc w:val="right"/>
        <w:rPr>
          <w:sz w:val="24"/>
        </w:rPr>
      </w:pPr>
      <w:r w:rsidRPr="00AC7D4B">
        <w:rPr>
          <w:sz w:val="24"/>
        </w:rPr>
        <w:t>2025</w:t>
      </w:r>
      <w:r w:rsidRPr="00AC7D4B">
        <w:rPr>
          <w:sz w:val="24"/>
        </w:rPr>
        <w:t>年</w:t>
      </w:r>
      <w:r w:rsidR="0097778E" w:rsidRPr="00AC7D4B">
        <w:rPr>
          <w:sz w:val="24"/>
        </w:rPr>
        <w:t>11</w:t>
      </w:r>
      <w:r w:rsidRPr="00AC7D4B">
        <w:rPr>
          <w:sz w:val="24"/>
        </w:rPr>
        <w:t>月</w:t>
      </w:r>
      <w:r w:rsidR="0097778E" w:rsidRPr="00AC7D4B">
        <w:rPr>
          <w:sz w:val="24"/>
        </w:rPr>
        <w:t>25</w:t>
      </w:r>
      <w:r w:rsidRPr="00AC7D4B">
        <w:rPr>
          <w:sz w:val="24"/>
        </w:rPr>
        <w:t>日</w:t>
      </w:r>
    </w:p>
    <w:p w:rsidR="00982BC2" w:rsidRDefault="00982BC2">
      <w:pPr>
        <w:sectPr w:rsidR="00982BC2">
          <w:footerReference w:type="default" r:id="rId8"/>
          <w:pgSz w:w="11906" w:h="16838"/>
          <w:pgMar w:top="1440" w:right="1797" w:bottom="1440" w:left="1797" w:header="851" w:footer="992" w:gutter="0"/>
          <w:pgNumType w:start="1"/>
          <w:cols w:space="425"/>
          <w:docGrid w:type="lines" w:linePitch="312"/>
        </w:sectPr>
      </w:pPr>
    </w:p>
    <w:p w:rsidR="00982BC2" w:rsidRDefault="00982BC2">
      <w:pPr>
        <w:sectPr w:rsidR="00982BC2" w:rsidSect="00D32336">
          <w:headerReference w:type="default" r:id="rId9"/>
          <w:footerReference w:type="default" r:id="rId10"/>
          <w:type w:val="continuous"/>
          <w:pgSz w:w="11906" w:h="16838"/>
          <w:pgMar w:top="1440" w:right="1797" w:bottom="1440" w:left="1797" w:header="851" w:footer="992" w:gutter="0"/>
          <w:pgNumType w:start="1"/>
          <w:cols w:space="425"/>
          <w:docGrid w:type="lines" w:linePitch="312"/>
        </w:sectPr>
      </w:pPr>
    </w:p>
    <w:p w:rsidR="00982BC2" w:rsidRDefault="00982BC2"/>
    <w:sectPr w:rsidR="00982BC2" w:rsidSect="00982BC2">
      <w:headerReference w:type="default" r:id="rId11"/>
      <w:footerReference w:type="default" r:id="rId12"/>
      <w:type w:val="continuous"/>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37B" w:rsidRDefault="006E537B">
      <w:r>
        <w:separator/>
      </w:r>
    </w:p>
  </w:endnote>
  <w:endnote w:type="continuationSeparator" w:id="0">
    <w:p w:rsidR="006E537B" w:rsidRDefault="006E5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C2" w:rsidRDefault="00F402BE">
    <w:pPr>
      <w:pStyle w:val="a4"/>
      <w:jc w:val="center"/>
    </w:pPr>
    <w:r>
      <w:rPr>
        <w:rStyle w:val="a6"/>
      </w:rPr>
      <w:fldChar w:fldCharType="begin"/>
    </w:r>
    <w:r w:rsidR="00982BC2">
      <w:rPr>
        <w:rStyle w:val="a6"/>
      </w:rPr>
      <w:instrText xml:space="preserve"> PAGE </w:instrText>
    </w:r>
    <w:r>
      <w:rPr>
        <w:rStyle w:val="a6"/>
      </w:rPr>
      <w:fldChar w:fldCharType="separate"/>
    </w:r>
    <w:r w:rsidR="0046077E">
      <w:rPr>
        <w:rStyle w:val="a6"/>
        <w:noProof/>
      </w:rPr>
      <w:t>1</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C2" w:rsidRDefault="00F402BE">
    <w:pPr>
      <w:pStyle w:val="a4"/>
      <w:jc w:val="center"/>
    </w:pPr>
    <w:r>
      <w:rPr>
        <w:rStyle w:val="a6"/>
      </w:rPr>
      <w:fldChar w:fldCharType="begin"/>
    </w:r>
    <w:r w:rsidR="00982BC2">
      <w:rPr>
        <w:rStyle w:val="a6"/>
      </w:rPr>
      <w:instrText xml:space="preserve"> PAGE </w:instrText>
    </w:r>
    <w:r>
      <w:rPr>
        <w:rStyle w:val="a6"/>
      </w:rPr>
      <w:fldChar w:fldCharType="separate"/>
    </w:r>
    <w:r w:rsidR="00982BC2">
      <w:rPr>
        <w:rStyle w:val="a6"/>
        <w:noProof/>
      </w:rPr>
      <w:t>1</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26" w:rsidRDefault="00F402BE">
    <w:pPr>
      <w:pStyle w:val="a4"/>
      <w:jc w:val="center"/>
    </w:pPr>
    <w:r>
      <w:rPr>
        <w:rStyle w:val="a6"/>
      </w:rPr>
      <w:fldChar w:fldCharType="begin"/>
    </w:r>
    <w:r w:rsidR="00CD7326">
      <w:rPr>
        <w:rStyle w:val="a6"/>
      </w:rPr>
      <w:instrText xml:space="preserve"> PAGE </w:instrText>
    </w:r>
    <w:r>
      <w:rPr>
        <w:rStyle w:val="a6"/>
      </w:rPr>
      <w:fldChar w:fldCharType="separate"/>
    </w:r>
    <w:r w:rsidR="00982BC2">
      <w:rPr>
        <w:rStyle w:val="a6"/>
        <w:noProof/>
      </w:rPr>
      <w:t>1</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37B" w:rsidRDefault="006E537B">
      <w:r>
        <w:separator/>
      </w:r>
    </w:p>
  </w:footnote>
  <w:footnote w:type="continuationSeparator" w:id="0">
    <w:p w:rsidR="006E537B" w:rsidRDefault="006E5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C2" w:rsidRDefault="00982BC2">
    <w:pPr>
      <w:pStyle w:val="a5"/>
      <w:rPr>
        <w:rStyle w:val="a6"/>
      </w:rPr>
    </w:pPr>
    <w:r>
      <w:rPr>
        <w:rStyle w:val="a6"/>
        <w:rFonts w:hint="eastAsia"/>
      </w:rPr>
      <w:t xml:space="preserve">                                             </w:t>
    </w:r>
  </w:p>
  <w:p w:rsidR="00982BC2" w:rsidRDefault="00982BC2">
    <w:pPr>
      <w:pStyle w:val="a5"/>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326" w:rsidRDefault="00CD7326">
    <w:pPr>
      <w:pStyle w:val="a5"/>
      <w:rPr>
        <w:rStyle w:val="a6"/>
      </w:rPr>
    </w:pPr>
    <w:r>
      <w:rPr>
        <w:rStyle w:val="a6"/>
        <w:rFonts w:hint="eastAsia"/>
      </w:rPr>
      <w:t xml:space="preserve">                                             </w:t>
    </w:r>
  </w:p>
  <w:p w:rsidR="00CD7326" w:rsidRDefault="00CD7326">
    <w:pPr>
      <w:pStyle w:val="a5"/>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B4F"/>
    <w:rsid w:val="0000346E"/>
    <w:rsid w:val="00013B55"/>
    <w:rsid w:val="000140FE"/>
    <w:rsid w:val="00032165"/>
    <w:rsid w:val="00033875"/>
    <w:rsid w:val="00035772"/>
    <w:rsid w:val="000768B4"/>
    <w:rsid w:val="00083C0F"/>
    <w:rsid w:val="00097295"/>
    <w:rsid w:val="000A07EA"/>
    <w:rsid w:val="000A64BB"/>
    <w:rsid w:val="000D0097"/>
    <w:rsid w:val="000D1E6B"/>
    <w:rsid w:val="000E426B"/>
    <w:rsid w:val="0010434C"/>
    <w:rsid w:val="0011055C"/>
    <w:rsid w:val="00115613"/>
    <w:rsid w:val="00125D75"/>
    <w:rsid w:val="00132CBE"/>
    <w:rsid w:val="00144CDD"/>
    <w:rsid w:val="00153996"/>
    <w:rsid w:val="001639B1"/>
    <w:rsid w:val="00170D6F"/>
    <w:rsid w:val="00176525"/>
    <w:rsid w:val="00191917"/>
    <w:rsid w:val="00195D97"/>
    <w:rsid w:val="001A2211"/>
    <w:rsid w:val="001A7B73"/>
    <w:rsid w:val="001C1F18"/>
    <w:rsid w:val="001D4C51"/>
    <w:rsid w:val="001E3CD5"/>
    <w:rsid w:val="001E7D6D"/>
    <w:rsid w:val="001F43F4"/>
    <w:rsid w:val="001F4EE5"/>
    <w:rsid w:val="001F6AFB"/>
    <w:rsid w:val="00201D18"/>
    <w:rsid w:val="00203267"/>
    <w:rsid w:val="00210F07"/>
    <w:rsid w:val="00221D43"/>
    <w:rsid w:val="00227502"/>
    <w:rsid w:val="00250F07"/>
    <w:rsid w:val="00254B40"/>
    <w:rsid w:val="00273D93"/>
    <w:rsid w:val="0027511A"/>
    <w:rsid w:val="00286571"/>
    <w:rsid w:val="002926C6"/>
    <w:rsid w:val="00293CE8"/>
    <w:rsid w:val="002A590D"/>
    <w:rsid w:val="002B0D01"/>
    <w:rsid w:val="002B305F"/>
    <w:rsid w:val="002B6879"/>
    <w:rsid w:val="002C0FE2"/>
    <w:rsid w:val="002C460B"/>
    <w:rsid w:val="00302824"/>
    <w:rsid w:val="0030569D"/>
    <w:rsid w:val="003241F2"/>
    <w:rsid w:val="0032491F"/>
    <w:rsid w:val="00333A29"/>
    <w:rsid w:val="00353D11"/>
    <w:rsid w:val="003709A0"/>
    <w:rsid w:val="0037242E"/>
    <w:rsid w:val="00372F17"/>
    <w:rsid w:val="00375E18"/>
    <w:rsid w:val="00376C8A"/>
    <w:rsid w:val="00383590"/>
    <w:rsid w:val="00393396"/>
    <w:rsid w:val="00393C73"/>
    <w:rsid w:val="003965FA"/>
    <w:rsid w:val="003973ED"/>
    <w:rsid w:val="00397F68"/>
    <w:rsid w:val="003B3020"/>
    <w:rsid w:val="003B553D"/>
    <w:rsid w:val="003B5C0C"/>
    <w:rsid w:val="003C291C"/>
    <w:rsid w:val="003F16C9"/>
    <w:rsid w:val="003F2FCD"/>
    <w:rsid w:val="004077D3"/>
    <w:rsid w:val="00412FFC"/>
    <w:rsid w:val="00415CFD"/>
    <w:rsid w:val="00416044"/>
    <w:rsid w:val="0043081A"/>
    <w:rsid w:val="004316AC"/>
    <w:rsid w:val="00440DBE"/>
    <w:rsid w:val="0044100D"/>
    <w:rsid w:val="0046077E"/>
    <w:rsid w:val="004672C3"/>
    <w:rsid w:val="00474A88"/>
    <w:rsid w:val="00493DA9"/>
    <w:rsid w:val="004958A1"/>
    <w:rsid w:val="004A5B91"/>
    <w:rsid w:val="004B1F18"/>
    <w:rsid w:val="004F77CA"/>
    <w:rsid w:val="00511FCE"/>
    <w:rsid w:val="00532A13"/>
    <w:rsid w:val="0054276A"/>
    <w:rsid w:val="00543C6F"/>
    <w:rsid w:val="00546B3A"/>
    <w:rsid w:val="00547FC2"/>
    <w:rsid w:val="00550F7A"/>
    <w:rsid w:val="005604FF"/>
    <w:rsid w:val="00596EC5"/>
    <w:rsid w:val="005F2AFF"/>
    <w:rsid w:val="0061516B"/>
    <w:rsid w:val="00621802"/>
    <w:rsid w:val="00630814"/>
    <w:rsid w:val="00644677"/>
    <w:rsid w:val="00653D14"/>
    <w:rsid w:val="006579A0"/>
    <w:rsid w:val="006668DA"/>
    <w:rsid w:val="006804D1"/>
    <w:rsid w:val="0069655E"/>
    <w:rsid w:val="006A31FC"/>
    <w:rsid w:val="006A66F1"/>
    <w:rsid w:val="006B772E"/>
    <w:rsid w:val="006C29C5"/>
    <w:rsid w:val="006C4D1C"/>
    <w:rsid w:val="006E4776"/>
    <w:rsid w:val="006E537B"/>
    <w:rsid w:val="00703661"/>
    <w:rsid w:val="00707D51"/>
    <w:rsid w:val="007161B5"/>
    <w:rsid w:val="00730198"/>
    <w:rsid w:val="00751C55"/>
    <w:rsid w:val="0076086E"/>
    <w:rsid w:val="00777A26"/>
    <w:rsid w:val="007C29BE"/>
    <w:rsid w:val="007D1A91"/>
    <w:rsid w:val="007D72ED"/>
    <w:rsid w:val="007E0590"/>
    <w:rsid w:val="007E7EF3"/>
    <w:rsid w:val="00806C8B"/>
    <w:rsid w:val="00813D01"/>
    <w:rsid w:val="0081590A"/>
    <w:rsid w:val="00825D58"/>
    <w:rsid w:val="00827C50"/>
    <w:rsid w:val="008343DF"/>
    <w:rsid w:val="00837AEC"/>
    <w:rsid w:val="00850E6E"/>
    <w:rsid w:val="008614DE"/>
    <w:rsid w:val="00873358"/>
    <w:rsid w:val="00881256"/>
    <w:rsid w:val="00897535"/>
    <w:rsid w:val="00897D23"/>
    <w:rsid w:val="008A606C"/>
    <w:rsid w:val="008A72EF"/>
    <w:rsid w:val="008B35DB"/>
    <w:rsid w:val="008B5C3D"/>
    <w:rsid w:val="008B7A03"/>
    <w:rsid w:val="008C0B59"/>
    <w:rsid w:val="008D021D"/>
    <w:rsid w:val="008E0EBF"/>
    <w:rsid w:val="008E239C"/>
    <w:rsid w:val="008E63B7"/>
    <w:rsid w:val="008E6774"/>
    <w:rsid w:val="00920CEC"/>
    <w:rsid w:val="0093229B"/>
    <w:rsid w:val="00944DBB"/>
    <w:rsid w:val="00946E9B"/>
    <w:rsid w:val="00951F00"/>
    <w:rsid w:val="009649C6"/>
    <w:rsid w:val="009761BB"/>
    <w:rsid w:val="0097778E"/>
    <w:rsid w:val="00982BC2"/>
    <w:rsid w:val="00983C41"/>
    <w:rsid w:val="00987AF0"/>
    <w:rsid w:val="0099140E"/>
    <w:rsid w:val="009A3C92"/>
    <w:rsid w:val="009A5DB2"/>
    <w:rsid w:val="009C07EE"/>
    <w:rsid w:val="009D5C82"/>
    <w:rsid w:val="009E7B4F"/>
    <w:rsid w:val="009F5B0E"/>
    <w:rsid w:val="009F6154"/>
    <w:rsid w:val="00A00564"/>
    <w:rsid w:val="00A01023"/>
    <w:rsid w:val="00A05E06"/>
    <w:rsid w:val="00A07A9D"/>
    <w:rsid w:val="00A133E8"/>
    <w:rsid w:val="00A14423"/>
    <w:rsid w:val="00A17342"/>
    <w:rsid w:val="00A35E1E"/>
    <w:rsid w:val="00A37D2D"/>
    <w:rsid w:val="00A4530A"/>
    <w:rsid w:val="00A54EAE"/>
    <w:rsid w:val="00A7720C"/>
    <w:rsid w:val="00A92420"/>
    <w:rsid w:val="00AC0C7F"/>
    <w:rsid w:val="00AC1C2D"/>
    <w:rsid w:val="00AC28FD"/>
    <w:rsid w:val="00AC2DB5"/>
    <w:rsid w:val="00AC2E6E"/>
    <w:rsid w:val="00AC7D4B"/>
    <w:rsid w:val="00AF479F"/>
    <w:rsid w:val="00B06646"/>
    <w:rsid w:val="00B17B27"/>
    <w:rsid w:val="00B22465"/>
    <w:rsid w:val="00B34661"/>
    <w:rsid w:val="00B45AD3"/>
    <w:rsid w:val="00B506BB"/>
    <w:rsid w:val="00B73C54"/>
    <w:rsid w:val="00BC62EF"/>
    <w:rsid w:val="00BC6CDE"/>
    <w:rsid w:val="00BC70FF"/>
    <w:rsid w:val="00BD3FFE"/>
    <w:rsid w:val="00BF0A59"/>
    <w:rsid w:val="00BF61F5"/>
    <w:rsid w:val="00C21B3B"/>
    <w:rsid w:val="00C22132"/>
    <w:rsid w:val="00C27EC9"/>
    <w:rsid w:val="00C43257"/>
    <w:rsid w:val="00C47F1C"/>
    <w:rsid w:val="00C5596B"/>
    <w:rsid w:val="00C55A87"/>
    <w:rsid w:val="00C67FB3"/>
    <w:rsid w:val="00C815FA"/>
    <w:rsid w:val="00CA1D58"/>
    <w:rsid w:val="00CA615A"/>
    <w:rsid w:val="00CC3186"/>
    <w:rsid w:val="00CD7326"/>
    <w:rsid w:val="00D0663C"/>
    <w:rsid w:val="00D14E16"/>
    <w:rsid w:val="00D32336"/>
    <w:rsid w:val="00D401C1"/>
    <w:rsid w:val="00D46223"/>
    <w:rsid w:val="00D71ED1"/>
    <w:rsid w:val="00D875FF"/>
    <w:rsid w:val="00D921A1"/>
    <w:rsid w:val="00D94FF4"/>
    <w:rsid w:val="00DA2404"/>
    <w:rsid w:val="00DA3C3E"/>
    <w:rsid w:val="00DB3E0B"/>
    <w:rsid w:val="00DB7367"/>
    <w:rsid w:val="00DC6F2E"/>
    <w:rsid w:val="00DD6548"/>
    <w:rsid w:val="00DF5374"/>
    <w:rsid w:val="00E0521F"/>
    <w:rsid w:val="00E125CC"/>
    <w:rsid w:val="00E13B7B"/>
    <w:rsid w:val="00E1717D"/>
    <w:rsid w:val="00E44F43"/>
    <w:rsid w:val="00E45CF1"/>
    <w:rsid w:val="00E62E74"/>
    <w:rsid w:val="00E73D8E"/>
    <w:rsid w:val="00E85402"/>
    <w:rsid w:val="00E93953"/>
    <w:rsid w:val="00E95967"/>
    <w:rsid w:val="00E96334"/>
    <w:rsid w:val="00EB7D82"/>
    <w:rsid w:val="00EC1BC2"/>
    <w:rsid w:val="00EC70FD"/>
    <w:rsid w:val="00ED3C63"/>
    <w:rsid w:val="00ED3CFD"/>
    <w:rsid w:val="00EE3D42"/>
    <w:rsid w:val="00EF14CA"/>
    <w:rsid w:val="00EF4546"/>
    <w:rsid w:val="00F01C79"/>
    <w:rsid w:val="00F1034E"/>
    <w:rsid w:val="00F25124"/>
    <w:rsid w:val="00F25C9B"/>
    <w:rsid w:val="00F30017"/>
    <w:rsid w:val="00F402BE"/>
    <w:rsid w:val="00F40827"/>
    <w:rsid w:val="00F63598"/>
    <w:rsid w:val="00F64DBC"/>
    <w:rsid w:val="00F659E2"/>
    <w:rsid w:val="00F65E8D"/>
    <w:rsid w:val="00F67C11"/>
    <w:rsid w:val="00F705D8"/>
    <w:rsid w:val="00F74D68"/>
    <w:rsid w:val="00F81860"/>
    <w:rsid w:val="00FB6677"/>
    <w:rsid w:val="00FC0017"/>
    <w:rsid w:val="00FC0869"/>
    <w:rsid w:val="00FE15EA"/>
    <w:rsid w:val="00FF056E"/>
    <w:rsid w:val="028E5B1F"/>
    <w:rsid w:val="051D246F"/>
    <w:rsid w:val="05C97AF1"/>
    <w:rsid w:val="07E632DA"/>
    <w:rsid w:val="0AC419E8"/>
    <w:rsid w:val="0FE26813"/>
    <w:rsid w:val="10FA227F"/>
    <w:rsid w:val="14916941"/>
    <w:rsid w:val="16172799"/>
    <w:rsid w:val="170E26CC"/>
    <w:rsid w:val="22E549A4"/>
    <w:rsid w:val="28CE577C"/>
    <w:rsid w:val="2BD472E1"/>
    <w:rsid w:val="2DDF4106"/>
    <w:rsid w:val="30A528DC"/>
    <w:rsid w:val="312E1BBC"/>
    <w:rsid w:val="32BC2D35"/>
    <w:rsid w:val="34EA2D3D"/>
    <w:rsid w:val="3CD41C57"/>
    <w:rsid w:val="3E761ADD"/>
    <w:rsid w:val="3F070563"/>
    <w:rsid w:val="425B68D0"/>
    <w:rsid w:val="46A9793F"/>
    <w:rsid w:val="47CE6F15"/>
    <w:rsid w:val="481968DF"/>
    <w:rsid w:val="488D5B8A"/>
    <w:rsid w:val="4DE03B44"/>
    <w:rsid w:val="50182700"/>
    <w:rsid w:val="52C0520A"/>
    <w:rsid w:val="66CD1CB7"/>
    <w:rsid w:val="68E27C03"/>
    <w:rsid w:val="69A024B6"/>
    <w:rsid w:val="6E756C8D"/>
    <w:rsid w:val="6F1C599B"/>
    <w:rsid w:val="70E95123"/>
    <w:rsid w:val="78AF5731"/>
    <w:rsid w:val="79FB020C"/>
    <w:rsid w:val="7F344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BE"/>
    <w:pPr>
      <w:widowControl w:val="0"/>
      <w:jc w:val="both"/>
    </w:pPr>
    <w:rPr>
      <w:kern w:val="2"/>
      <w:sz w:val="21"/>
      <w:szCs w:val="24"/>
    </w:rPr>
  </w:style>
  <w:style w:type="paragraph" w:styleId="3">
    <w:name w:val="heading 3"/>
    <w:basedOn w:val="a"/>
    <w:next w:val="a"/>
    <w:link w:val="3Char"/>
    <w:qFormat/>
    <w:rsid w:val="00F402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402BE"/>
    <w:rPr>
      <w:sz w:val="18"/>
      <w:szCs w:val="18"/>
    </w:rPr>
  </w:style>
  <w:style w:type="paragraph" w:styleId="a4">
    <w:name w:val="footer"/>
    <w:basedOn w:val="a"/>
    <w:link w:val="Char0"/>
    <w:unhideWhenUsed/>
    <w:qFormat/>
    <w:rsid w:val="00F402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402B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402BE"/>
  </w:style>
  <w:style w:type="character" w:customStyle="1" w:styleId="Char1">
    <w:name w:val="页眉 Char"/>
    <w:basedOn w:val="a0"/>
    <w:link w:val="a5"/>
    <w:uiPriority w:val="99"/>
    <w:qFormat/>
    <w:rsid w:val="00F402BE"/>
    <w:rPr>
      <w:sz w:val="18"/>
      <w:szCs w:val="18"/>
    </w:rPr>
  </w:style>
  <w:style w:type="character" w:customStyle="1" w:styleId="Char0">
    <w:name w:val="页脚 Char"/>
    <w:basedOn w:val="a0"/>
    <w:link w:val="a4"/>
    <w:uiPriority w:val="99"/>
    <w:semiHidden/>
    <w:qFormat/>
    <w:rsid w:val="00F402BE"/>
    <w:rPr>
      <w:sz w:val="18"/>
      <w:szCs w:val="18"/>
    </w:rPr>
  </w:style>
  <w:style w:type="character" w:customStyle="1" w:styleId="3Char">
    <w:name w:val="标题 3 Char"/>
    <w:basedOn w:val="a0"/>
    <w:link w:val="3"/>
    <w:qFormat/>
    <w:rsid w:val="00F402BE"/>
    <w:rPr>
      <w:rFonts w:ascii="Times New Roman" w:eastAsia="宋体" w:hAnsi="Times New Roman" w:cs="Times New Roman"/>
      <w:b/>
      <w:bCs/>
      <w:sz w:val="32"/>
      <w:szCs w:val="32"/>
    </w:rPr>
  </w:style>
  <w:style w:type="character" w:customStyle="1" w:styleId="Char">
    <w:name w:val="批注框文本 Char"/>
    <w:basedOn w:val="a0"/>
    <w:link w:val="a3"/>
    <w:uiPriority w:val="99"/>
    <w:semiHidden/>
    <w:qFormat/>
    <w:rsid w:val="00F402BE"/>
    <w:rPr>
      <w:rFonts w:ascii="Times New Roman" w:eastAsia="宋体" w:hAnsi="Times New Roman" w:cs="Times New Roman"/>
      <w:sz w:val="18"/>
      <w:szCs w:val="18"/>
    </w:rPr>
  </w:style>
  <w:style w:type="paragraph" w:customStyle="1" w:styleId="1">
    <w:name w:val="修订1"/>
    <w:hidden/>
    <w:uiPriority w:val="99"/>
    <w:semiHidden/>
    <w:qFormat/>
    <w:rsid w:val="00F402BE"/>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DFAE6-C0F8-41C0-A991-CE8AC3D8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4</DocSecurity>
  <Lines>8</Lines>
  <Paragraphs>2</Paragraphs>
  <ScaleCrop>false</ScaleCrop>
  <Company>Lenovo</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叶忻/市场部/总部/ABCCA</dc:creator>
  <cp:lastModifiedBy>ZHONGM</cp:lastModifiedBy>
  <cp:revision>2</cp:revision>
  <cp:lastPrinted>2021-06-16T05:47:00Z</cp:lastPrinted>
  <dcterms:created xsi:type="dcterms:W3CDTF">2025-11-24T16:00:00Z</dcterms:created>
  <dcterms:modified xsi:type="dcterms:W3CDTF">2025-11-24T16:00:00Z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