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55" w:rsidRDefault="007E6999">
      <w:pPr>
        <w:spacing w:line="225" w:lineRule="atLeast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关于博时基金管理有限公司旗下部分上交所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ETF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申购赎回清单版本更新并修订招募说明书的公告</w:t>
      </w:r>
    </w:p>
    <w:p w:rsidR="00097755" w:rsidRDefault="00097755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根据上海证券交易所最新申购赎回清单格式规则，自</w:t>
      </w:r>
      <w:r>
        <w:rPr>
          <w:rFonts w:ascii="Arial" w:eastAsia="宋体" w:hAnsi="Arial" w:cs="Arial" w:hint="eastAsia"/>
          <w:sz w:val="24"/>
          <w:szCs w:val="20"/>
        </w:rPr>
        <w:t>2025</w:t>
      </w:r>
      <w:r>
        <w:rPr>
          <w:rFonts w:ascii="Arial" w:eastAsia="宋体" w:hAnsi="Arial" w:cs="Arial" w:hint="eastAsia"/>
          <w:sz w:val="24"/>
          <w:szCs w:val="20"/>
        </w:rPr>
        <w:t>年</w:t>
      </w:r>
      <w:r>
        <w:rPr>
          <w:rFonts w:ascii="Arial" w:eastAsia="宋体" w:hAnsi="Arial" w:cs="Arial" w:hint="eastAsia"/>
          <w:sz w:val="24"/>
          <w:szCs w:val="20"/>
        </w:rPr>
        <w:t>11</w:t>
      </w:r>
      <w:r>
        <w:rPr>
          <w:rFonts w:ascii="Arial" w:eastAsia="宋体" w:hAnsi="Arial" w:cs="Arial" w:hint="eastAsia"/>
          <w:sz w:val="24"/>
          <w:szCs w:val="20"/>
        </w:rPr>
        <w:t>月</w:t>
      </w:r>
      <w:r>
        <w:rPr>
          <w:rFonts w:ascii="Arial" w:eastAsia="宋体" w:hAnsi="Arial" w:cs="Arial" w:hint="eastAsia"/>
          <w:sz w:val="24"/>
          <w:szCs w:val="20"/>
        </w:rPr>
        <w:t>24</w:t>
      </w:r>
      <w:r>
        <w:rPr>
          <w:rFonts w:ascii="Arial" w:eastAsia="宋体" w:hAnsi="Arial" w:cs="Arial" w:hint="eastAsia"/>
          <w:sz w:val="24"/>
          <w:szCs w:val="20"/>
        </w:rPr>
        <w:t>日</w:t>
      </w:r>
      <w:r>
        <w:rPr>
          <w:rFonts w:ascii="Arial" w:eastAsia="宋体" w:hAnsi="Arial" w:cs="Arial" w:hint="eastAsia"/>
          <w:sz w:val="24"/>
          <w:szCs w:val="20"/>
        </w:rPr>
        <w:t>起，博时基金管理有限公司（以下简称“本公司”）对旗下部分上交所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 w:hint="eastAsia"/>
          <w:sz w:val="24"/>
          <w:szCs w:val="20"/>
        </w:rPr>
        <w:t>申购赎回清单进行版本更新，并相应修改招募说</w:t>
      </w:r>
      <w:bookmarkStart w:id="0" w:name="_GoBack"/>
      <w:bookmarkEnd w:id="0"/>
      <w:r>
        <w:rPr>
          <w:rFonts w:ascii="Arial" w:eastAsia="宋体" w:hAnsi="Arial" w:cs="Arial" w:hint="eastAsia"/>
          <w:sz w:val="24"/>
          <w:szCs w:val="20"/>
        </w:rPr>
        <w:t>明书。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现将相关事项公告如下：</w:t>
      </w:r>
    </w:p>
    <w:p w:rsidR="00097755" w:rsidRDefault="007E6999">
      <w:pPr>
        <w:pStyle w:val="ab"/>
        <w:numPr>
          <w:ilvl w:val="0"/>
          <w:numId w:val="1"/>
        </w:numPr>
        <w:adjustRightInd w:val="0"/>
        <w:spacing w:before="240" w:line="360" w:lineRule="auto"/>
        <w:ind w:firstLineChars="0"/>
        <w:rPr>
          <w:rFonts w:ascii="Arial" w:eastAsia="宋体" w:hAnsi="Arial" w:cs="Arial"/>
          <w:b/>
          <w:sz w:val="24"/>
          <w:szCs w:val="20"/>
        </w:rPr>
      </w:pPr>
      <w:r>
        <w:rPr>
          <w:rFonts w:ascii="Arial" w:eastAsia="宋体" w:hAnsi="Arial" w:cs="Arial" w:hint="eastAsia"/>
          <w:b/>
          <w:sz w:val="24"/>
          <w:szCs w:val="20"/>
        </w:rPr>
        <w:t>涉及本次申购赎回清单版本更新的</w:t>
      </w:r>
      <w:r>
        <w:rPr>
          <w:rFonts w:ascii="Arial" w:eastAsia="宋体" w:hAnsi="Arial" w:cs="Arial" w:hint="eastAsia"/>
          <w:b/>
          <w:sz w:val="24"/>
          <w:szCs w:val="20"/>
        </w:rPr>
        <w:t>ETF</w:t>
      </w:r>
      <w:r>
        <w:rPr>
          <w:rFonts w:ascii="Arial" w:eastAsia="宋体" w:hAnsi="Arial" w:cs="Arial" w:hint="eastAsia"/>
          <w:b/>
          <w:sz w:val="24"/>
          <w:szCs w:val="20"/>
        </w:rPr>
        <w:t>列表</w:t>
      </w:r>
    </w:p>
    <w:tbl>
      <w:tblPr>
        <w:tblW w:w="5567" w:type="pct"/>
        <w:jc w:val="center"/>
        <w:tblLayout w:type="fixed"/>
        <w:tblLook w:val="04A0"/>
      </w:tblPr>
      <w:tblGrid>
        <w:gridCol w:w="697"/>
        <w:gridCol w:w="1071"/>
        <w:gridCol w:w="4331"/>
        <w:gridCol w:w="1461"/>
        <w:gridCol w:w="1928"/>
      </w:tblGrid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基金代码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基金全称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场内简称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扩位简称</w:t>
            </w:r>
          </w:p>
        </w:tc>
      </w:tr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513060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博时恒生医疗保健交易型开放式指数证券投资基金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(QDII)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恒生医疗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恒生医疗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510020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上证超级大盘交易型开放式指数证券投资基金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超大盘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510410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上证自然资源交易型开放式指数证券投资基金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510710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588010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博时上证科创板新材料交易型开放式指数证券投资基金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科创材料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科创新材料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588030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科创指基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588790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博时上证科创板人工智能交易型开放式指数证券投资基金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科创智能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AIETF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588990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博时上证科创板芯片交易型开放式指数证券投资基金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科芯片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科创芯片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589900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博时上证科创板综合交易型开放式指数证券投资基金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博时科综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科创综指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512960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博时中证央企结构调整交易型开放式指数证券投资基金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央企结构调整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515090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博时中证可持续发展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可持续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可持续发展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515130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HS300E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515890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博时中证红利交易型开放式指数证券投资基金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红利博时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红利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515900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博时中证央企创新驱动交易型开放式指数证券投资基金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央企创新驱动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515920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博时中证智能消费主题交易型开放式指数证券投资基金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智能消费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智能消费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516580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博时中证新能源交易型开放式指数证券投资基金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BS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新能源主题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516860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博时中证金融科技主题交易型开放式指数证券投资基金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金融科技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金融科技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561700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博时中证全指电力公用事业交易型开放式指数证券投资基金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电力基金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</w:p>
        </w:tc>
      </w:tr>
      <w:tr w:rsidR="00097755">
        <w:trPr>
          <w:trHeight w:val="312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561750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561760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博时中证油气资源交易型开放式指数证券投资基金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油气博时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油气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561770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A100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561780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增强策略交易型开放式指数证券投资基金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指增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增强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561790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博时中证国新央企现代能源交易型开放式指数证券投资基金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现代能源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央企现代能源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563830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博时中证全指自由现金流交易型开放式指数证券投资基金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现金流基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全指现金流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</w:p>
        </w:tc>
      </w:tr>
      <w:tr w:rsidR="00097755">
        <w:trPr>
          <w:trHeight w:val="624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588390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博时中证科创创业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交易型开放式指数证券投资基金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科创创业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7755" w:rsidRDefault="007E69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科创创业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50ETF</w:t>
            </w:r>
          </w:p>
        </w:tc>
      </w:tr>
    </w:tbl>
    <w:p w:rsidR="00097755" w:rsidRDefault="007E6999">
      <w:pPr>
        <w:pStyle w:val="ab"/>
        <w:numPr>
          <w:ilvl w:val="0"/>
          <w:numId w:val="1"/>
        </w:numPr>
        <w:adjustRightInd w:val="0"/>
        <w:spacing w:before="240" w:line="360" w:lineRule="auto"/>
        <w:ind w:firstLineChars="0"/>
        <w:rPr>
          <w:rFonts w:ascii="Arial" w:eastAsia="宋体" w:hAnsi="Arial" w:cs="Arial"/>
          <w:b/>
          <w:sz w:val="24"/>
          <w:szCs w:val="20"/>
        </w:rPr>
      </w:pPr>
      <w:r>
        <w:rPr>
          <w:rFonts w:ascii="Arial" w:eastAsia="宋体" w:hAnsi="Arial" w:cs="Arial" w:hint="eastAsia"/>
          <w:b/>
          <w:sz w:val="24"/>
          <w:szCs w:val="20"/>
        </w:rPr>
        <w:t>修订情况说明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/>
          <w:sz w:val="24"/>
          <w:szCs w:val="20"/>
        </w:rPr>
        <w:t>上交所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/>
          <w:sz w:val="24"/>
          <w:szCs w:val="20"/>
        </w:rPr>
        <w:t>新版申购赎回清单格式修订如下：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/>
          <w:sz w:val="24"/>
          <w:szCs w:val="20"/>
        </w:rPr>
        <w:t>（</w:t>
      </w:r>
      <w:r>
        <w:rPr>
          <w:rFonts w:ascii="Arial" w:eastAsia="宋体" w:hAnsi="Arial" w:cs="Arial" w:hint="eastAsia"/>
          <w:sz w:val="24"/>
          <w:szCs w:val="20"/>
        </w:rPr>
        <w:t>1</w:t>
      </w:r>
      <w:r>
        <w:rPr>
          <w:rFonts w:ascii="Arial" w:eastAsia="宋体" w:hAnsi="Arial" w:cs="Arial"/>
          <w:sz w:val="24"/>
          <w:szCs w:val="20"/>
        </w:rPr>
        <w:t>）原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申购上限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赎回上限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字段调整为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当日累计可申购的基金份额上限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当日累计可赎回的基金份额上限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字段，并新增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当日净申购的基金份额上限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当日净赎回的基金份额上限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单个证券账户当日净申购的基金份额上限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单个证券账户当日净赎回的基金份额上限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单个证券账户当日累计可申购的基金份额上限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、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单个证券账户当日累计可赎回的基金份额上限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字段；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/>
          <w:sz w:val="24"/>
          <w:szCs w:val="20"/>
        </w:rPr>
        <w:t>（</w:t>
      </w:r>
      <w:r>
        <w:rPr>
          <w:rFonts w:ascii="Arial" w:eastAsia="宋体" w:hAnsi="Arial" w:cs="Arial" w:hint="eastAsia"/>
          <w:sz w:val="24"/>
          <w:szCs w:val="20"/>
        </w:rPr>
        <w:t>2</w:t>
      </w:r>
      <w:r>
        <w:rPr>
          <w:rFonts w:ascii="Arial" w:eastAsia="宋体" w:hAnsi="Arial" w:cs="Arial"/>
          <w:sz w:val="24"/>
          <w:szCs w:val="20"/>
        </w:rPr>
        <w:t>）新增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申购赎回模式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字段；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/>
          <w:sz w:val="24"/>
          <w:szCs w:val="20"/>
        </w:rPr>
        <w:t>（</w:t>
      </w:r>
      <w:r>
        <w:rPr>
          <w:rFonts w:ascii="Arial" w:eastAsia="宋体" w:hAnsi="Arial" w:cs="Arial" w:hint="eastAsia"/>
          <w:sz w:val="24"/>
          <w:szCs w:val="20"/>
        </w:rPr>
        <w:t>3</w:t>
      </w:r>
      <w:r>
        <w:rPr>
          <w:rFonts w:ascii="Arial" w:eastAsia="宋体" w:hAnsi="Arial" w:cs="Arial"/>
          <w:sz w:val="24"/>
          <w:szCs w:val="20"/>
        </w:rPr>
        <w:t>）新增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挂牌市场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标识；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/>
          <w:sz w:val="24"/>
          <w:szCs w:val="20"/>
        </w:rPr>
        <w:t>（</w:t>
      </w:r>
      <w:r>
        <w:rPr>
          <w:rFonts w:ascii="Arial" w:eastAsia="宋体" w:hAnsi="Arial" w:cs="Arial" w:hint="eastAsia"/>
          <w:sz w:val="24"/>
          <w:szCs w:val="20"/>
        </w:rPr>
        <w:t>4</w:t>
      </w:r>
      <w:r>
        <w:rPr>
          <w:rFonts w:ascii="Arial" w:eastAsia="宋体" w:hAnsi="Arial" w:cs="Arial"/>
          <w:sz w:val="24"/>
          <w:szCs w:val="20"/>
        </w:rPr>
        <w:t>）调整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现金替代标志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字段描述：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1</w:t>
      </w:r>
      <w:r>
        <w:rPr>
          <w:rFonts w:ascii="Arial" w:eastAsia="宋体" w:hAnsi="Arial" w:cs="Arial" w:hint="eastAsia"/>
          <w:sz w:val="24"/>
          <w:szCs w:val="20"/>
        </w:rPr>
        <w:t>）</w:t>
      </w:r>
      <w:r>
        <w:rPr>
          <w:rFonts w:ascii="Arial" w:eastAsia="宋体" w:hAnsi="Arial" w:cs="Arial"/>
          <w:sz w:val="24"/>
          <w:szCs w:val="20"/>
        </w:rPr>
        <w:t>若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/>
          <w:sz w:val="24"/>
          <w:szCs w:val="20"/>
        </w:rPr>
        <w:t>采用实物申赎模式，对于沪市成份证券，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允许现金替代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标志表示申购基金份额优先使用</w:t>
      </w:r>
      <w:r>
        <w:rPr>
          <w:rFonts w:ascii="Arial" w:eastAsia="宋体" w:hAnsi="Arial" w:cs="Arial"/>
          <w:sz w:val="24"/>
          <w:szCs w:val="20"/>
        </w:rPr>
        <w:t>成份券，成份券不足时差额部分用现金替代，赎回基金份额时该成份券不允许使用现金作为替代；对于非沪市成份证券，在申购赎回</w:t>
      </w:r>
      <w:r>
        <w:rPr>
          <w:rFonts w:ascii="Arial" w:eastAsia="宋体" w:hAnsi="Arial" w:cs="Arial"/>
          <w:sz w:val="24"/>
          <w:szCs w:val="20"/>
        </w:rPr>
        <w:lastRenderedPageBreak/>
        <w:t>基金份额时，该成份券只能使用现金作为替代，根据基金管理人代买卖情况，与投资者进行退款或补款。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2</w:t>
      </w:r>
      <w:r>
        <w:rPr>
          <w:rFonts w:ascii="Arial" w:eastAsia="宋体" w:hAnsi="Arial" w:cs="Arial" w:hint="eastAsia"/>
          <w:sz w:val="24"/>
          <w:szCs w:val="20"/>
        </w:rPr>
        <w:t>）</w:t>
      </w:r>
      <w:r>
        <w:rPr>
          <w:rFonts w:ascii="Arial" w:eastAsia="宋体" w:hAnsi="Arial" w:cs="Arial"/>
          <w:sz w:val="24"/>
          <w:szCs w:val="20"/>
        </w:rPr>
        <w:t>若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/>
          <w:sz w:val="24"/>
          <w:szCs w:val="20"/>
        </w:rPr>
        <w:t>采用现金申赎模式，</w:t>
      </w:r>
      <w:r>
        <w:rPr>
          <w:rFonts w:ascii="Arial" w:eastAsia="宋体" w:hAnsi="Arial" w:cs="Arial" w:hint="eastAsia"/>
          <w:sz w:val="24"/>
          <w:szCs w:val="20"/>
        </w:rPr>
        <w:t>“</w:t>
      </w:r>
      <w:r>
        <w:rPr>
          <w:rFonts w:ascii="Arial" w:eastAsia="宋体" w:hAnsi="Arial" w:cs="Arial"/>
          <w:sz w:val="24"/>
          <w:szCs w:val="20"/>
        </w:rPr>
        <w:t>允许现金替代</w:t>
      </w:r>
      <w:r>
        <w:rPr>
          <w:rFonts w:ascii="Arial" w:eastAsia="宋体" w:hAnsi="Arial" w:cs="Arial" w:hint="eastAsia"/>
          <w:sz w:val="24"/>
          <w:szCs w:val="20"/>
        </w:rPr>
        <w:t>”</w:t>
      </w:r>
      <w:r>
        <w:rPr>
          <w:rFonts w:ascii="Arial" w:eastAsia="宋体" w:hAnsi="Arial" w:cs="Arial"/>
          <w:sz w:val="24"/>
          <w:szCs w:val="20"/>
        </w:rPr>
        <w:t>标志表示在申购赎回基金份额时，该成份券只能使用现金作为替代，根据基金管理人代买卖情况，与投资者进行退款或补款。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自</w:t>
      </w:r>
      <w:r>
        <w:rPr>
          <w:rFonts w:ascii="Arial" w:eastAsia="宋体" w:hAnsi="Arial" w:cs="Arial" w:hint="eastAsia"/>
          <w:sz w:val="24"/>
          <w:szCs w:val="20"/>
        </w:rPr>
        <w:t>2025</w:t>
      </w:r>
      <w:r>
        <w:rPr>
          <w:rFonts w:ascii="Arial" w:eastAsia="宋体" w:hAnsi="Arial" w:cs="Arial" w:hint="eastAsia"/>
          <w:sz w:val="24"/>
          <w:szCs w:val="20"/>
        </w:rPr>
        <w:t>年</w:t>
      </w:r>
      <w:r>
        <w:rPr>
          <w:rFonts w:ascii="Arial" w:eastAsia="宋体" w:hAnsi="Arial" w:cs="Arial" w:hint="eastAsia"/>
          <w:sz w:val="24"/>
          <w:szCs w:val="20"/>
        </w:rPr>
        <w:t>11</w:t>
      </w:r>
      <w:r>
        <w:rPr>
          <w:rFonts w:ascii="Arial" w:eastAsia="宋体" w:hAnsi="Arial" w:cs="Arial" w:hint="eastAsia"/>
          <w:sz w:val="24"/>
          <w:szCs w:val="20"/>
        </w:rPr>
        <w:t>月</w:t>
      </w:r>
      <w:r>
        <w:rPr>
          <w:rFonts w:ascii="Arial" w:eastAsia="宋体" w:hAnsi="Arial" w:cs="Arial" w:hint="eastAsia"/>
          <w:sz w:val="24"/>
          <w:szCs w:val="20"/>
        </w:rPr>
        <w:t>24</w:t>
      </w:r>
      <w:r>
        <w:rPr>
          <w:rFonts w:ascii="Arial" w:eastAsia="宋体" w:hAnsi="Arial" w:cs="Arial" w:hint="eastAsia"/>
          <w:sz w:val="24"/>
          <w:szCs w:val="20"/>
        </w:rPr>
        <w:t>日</w:t>
      </w:r>
      <w:r>
        <w:rPr>
          <w:rFonts w:ascii="Arial" w:eastAsia="宋体" w:hAnsi="Arial" w:cs="Arial" w:hint="eastAsia"/>
          <w:sz w:val="24"/>
          <w:szCs w:val="20"/>
        </w:rPr>
        <w:t>起，本公司旗下上述上交所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 w:hint="eastAsia"/>
          <w:sz w:val="24"/>
          <w:szCs w:val="20"/>
        </w:rPr>
        <w:t>基金</w:t>
      </w:r>
      <w:r>
        <w:rPr>
          <w:rFonts w:ascii="Arial" w:eastAsia="宋体" w:hAnsi="Arial" w:cs="Arial" w:hint="eastAsia"/>
          <w:sz w:val="24"/>
          <w:szCs w:val="20"/>
        </w:rPr>
        <w:t>采用新版申购赎回清单。</w:t>
      </w:r>
      <w:r>
        <w:rPr>
          <w:rFonts w:ascii="Arial" w:eastAsia="宋体" w:hAnsi="Arial" w:cs="Arial"/>
          <w:sz w:val="24"/>
          <w:szCs w:val="20"/>
        </w:rPr>
        <w:t>各基金的</w:t>
      </w:r>
      <w:r>
        <w:rPr>
          <w:rFonts w:ascii="Arial" w:eastAsia="宋体" w:hAnsi="Arial" w:cs="Arial" w:hint="eastAsia"/>
          <w:sz w:val="24"/>
          <w:szCs w:val="20"/>
        </w:rPr>
        <w:t>招募说明书</w:t>
      </w:r>
      <w:r>
        <w:rPr>
          <w:rFonts w:ascii="Arial" w:eastAsia="宋体" w:hAnsi="Arial" w:cs="Arial"/>
          <w:sz w:val="24"/>
          <w:szCs w:val="20"/>
        </w:rPr>
        <w:t>也根据实际情况</w:t>
      </w:r>
      <w:r>
        <w:rPr>
          <w:rFonts w:ascii="Arial" w:eastAsia="宋体" w:hAnsi="Arial" w:cs="Arial" w:hint="eastAsia"/>
          <w:sz w:val="24"/>
          <w:szCs w:val="20"/>
        </w:rPr>
        <w:t>进行了</w:t>
      </w:r>
      <w:r>
        <w:rPr>
          <w:rFonts w:ascii="Arial" w:eastAsia="宋体" w:hAnsi="Arial" w:cs="Arial"/>
          <w:sz w:val="24"/>
          <w:szCs w:val="20"/>
        </w:rPr>
        <w:t>必要</w:t>
      </w:r>
      <w:r>
        <w:rPr>
          <w:rFonts w:ascii="Arial" w:eastAsia="宋体" w:hAnsi="Arial" w:cs="Arial" w:hint="eastAsia"/>
          <w:sz w:val="24"/>
          <w:szCs w:val="20"/>
        </w:rPr>
        <w:t>修改，相关修改自</w:t>
      </w:r>
      <w:r>
        <w:rPr>
          <w:rFonts w:ascii="Arial" w:eastAsia="宋体" w:hAnsi="Arial" w:cs="Arial" w:hint="eastAsia"/>
          <w:sz w:val="24"/>
          <w:szCs w:val="20"/>
        </w:rPr>
        <w:t>2025</w:t>
      </w:r>
      <w:r>
        <w:rPr>
          <w:rFonts w:ascii="Arial" w:eastAsia="宋体" w:hAnsi="Arial" w:cs="Arial" w:hint="eastAsia"/>
          <w:sz w:val="24"/>
          <w:szCs w:val="20"/>
        </w:rPr>
        <w:t>年</w:t>
      </w:r>
      <w:r>
        <w:rPr>
          <w:rFonts w:ascii="Arial" w:eastAsia="宋体" w:hAnsi="Arial" w:cs="Arial" w:hint="eastAsia"/>
          <w:sz w:val="24"/>
          <w:szCs w:val="20"/>
        </w:rPr>
        <w:t>11</w:t>
      </w:r>
      <w:r>
        <w:rPr>
          <w:rFonts w:ascii="Arial" w:eastAsia="宋体" w:hAnsi="Arial" w:cs="Arial" w:hint="eastAsia"/>
          <w:sz w:val="24"/>
          <w:szCs w:val="20"/>
        </w:rPr>
        <w:t>月</w:t>
      </w:r>
      <w:r>
        <w:rPr>
          <w:rFonts w:ascii="Arial" w:eastAsia="宋体" w:hAnsi="Arial" w:cs="Arial" w:hint="eastAsia"/>
          <w:sz w:val="24"/>
          <w:szCs w:val="20"/>
        </w:rPr>
        <w:t>24</w:t>
      </w:r>
      <w:r>
        <w:rPr>
          <w:rFonts w:ascii="Arial" w:eastAsia="宋体" w:hAnsi="Arial" w:cs="Arial" w:hint="eastAsia"/>
          <w:sz w:val="24"/>
          <w:szCs w:val="20"/>
        </w:rPr>
        <w:t>日</w:t>
      </w:r>
      <w:r>
        <w:rPr>
          <w:rFonts w:ascii="Arial" w:eastAsia="宋体" w:hAnsi="Arial" w:cs="Arial" w:hint="eastAsia"/>
          <w:sz w:val="24"/>
          <w:szCs w:val="20"/>
        </w:rPr>
        <w:t>生效。</w:t>
      </w:r>
    </w:p>
    <w:p w:rsidR="00097755" w:rsidRDefault="007E6999">
      <w:pPr>
        <w:pStyle w:val="ab"/>
        <w:numPr>
          <w:ilvl w:val="0"/>
          <w:numId w:val="1"/>
        </w:numPr>
        <w:adjustRightInd w:val="0"/>
        <w:spacing w:before="240" w:line="360" w:lineRule="auto"/>
        <w:ind w:firstLineChars="0"/>
        <w:rPr>
          <w:rFonts w:ascii="Arial" w:eastAsia="宋体" w:hAnsi="Arial" w:cs="Arial"/>
          <w:b/>
          <w:sz w:val="24"/>
          <w:szCs w:val="20"/>
        </w:rPr>
      </w:pPr>
      <w:r>
        <w:rPr>
          <w:rFonts w:ascii="Arial" w:eastAsia="宋体" w:hAnsi="Arial" w:cs="Arial" w:hint="eastAsia"/>
          <w:b/>
          <w:sz w:val="24"/>
          <w:szCs w:val="20"/>
        </w:rPr>
        <w:t>重要提示</w:t>
      </w: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本公告仅对本公司</w:t>
      </w:r>
      <w:r>
        <w:rPr>
          <w:rFonts w:ascii="宋体" w:eastAsia="宋体" w:hAnsi="宋体" w:cs="Times New Roman" w:hint="eastAsia"/>
          <w:sz w:val="24"/>
          <w:szCs w:val="24"/>
        </w:rPr>
        <w:t>旗下部分上交所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宋体" w:eastAsia="宋体" w:hAnsi="宋体" w:cs="Times New Roman" w:hint="eastAsia"/>
          <w:sz w:val="24"/>
          <w:szCs w:val="24"/>
        </w:rPr>
        <w:t>申购赎回清单版本更新并</w:t>
      </w:r>
      <w:r>
        <w:rPr>
          <w:rFonts w:ascii="Arial" w:eastAsia="宋体" w:hAnsi="Arial" w:cs="Arial" w:hint="eastAsia"/>
          <w:sz w:val="24"/>
          <w:szCs w:val="20"/>
        </w:rPr>
        <w:t>相应修改招募说明书的事项进行说明</w:t>
      </w:r>
      <w:r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 w:hint="eastAsia"/>
          <w:sz w:val="24"/>
          <w:szCs w:val="20"/>
        </w:rPr>
        <w:t>本公司旗下</w:t>
      </w:r>
      <w:r>
        <w:rPr>
          <w:rFonts w:ascii="Arial" w:eastAsia="宋体" w:hAnsi="Arial" w:cs="Arial" w:hint="eastAsia"/>
          <w:sz w:val="24"/>
          <w:szCs w:val="20"/>
        </w:rPr>
        <w:t>ETF</w:t>
      </w:r>
      <w:r>
        <w:rPr>
          <w:rFonts w:ascii="Arial" w:eastAsia="宋体" w:hAnsi="Arial" w:cs="Arial" w:hint="eastAsia"/>
          <w:sz w:val="24"/>
          <w:szCs w:val="20"/>
        </w:rPr>
        <w:t>申购赎回清单以证券交易所实际公布的为准，投资者可登录本公司网站进行查询。</w:t>
      </w:r>
    </w:p>
    <w:p w:rsidR="00097755" w:rsidRDefault="007E6999">
      <w:pPr>
        <w:adjustRightInd w:val="0"/>
        <w:spacing w:line="360" w:lineRule="auto"/>
        <w:ind w:firstLine="42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投资者可拨打博时一线通：</w:t>
      </w:r>
      <w:r>
        <w:rPr>
          <w:rFonts w:ascii="Arial" w:eastAsia="宋体" w:hAnsi="Arial" w:cs="Arial" w:hint="eastAsia"/>
          <w:sz w:val="24"/>
          <w:szCs w:val="20"/>
        </w:rPr>
        <w:t>95105568</w:t>
      </w:r>
      <w:r>
        <w:rPr>
          <w:rFonts w:ascii="Arial" w:eastAsia="宋体" w:hAnsi="Arial" w:cs="Arial" w:hint="eastAsia"/>
          <w:sz w:val="24"/>
          <w:szCs w:val="20"/>
        </w:rPr>
        <w:t>（免长途费）或可登录本公司网站</w:t>
      </w:r>
      <w:r>
        <w:rPr>
          <w:rFonts w:ascii="Arial" w:eastAsia="宋体" w:hAnsi="Arial" w:cs="Arial" w:hint="eastAsia"/>
          <w:sz w:val="24"/>
          <w:szCs w:val="20"/>
        </w:rPr>
        <w:t>www.bosera.com</w:t>
      </w:r>
      <w:r>
        <w:rPr>
          <w:rFonts w:ascii="Arial" w:eastAsia="宋体" w:hAnsi="Arial" w:cs="Arial" w:hint="eastAsia"/>
          <w:sz w:val="24"/>
          <w:szCs w:val="20"/>
        </w:rPr>
        <w:t>了解相关情况。</w:t>
      </w:r>
    </w:p>
    <w:p w:rsidR="00097755" w:rsidRDefault="00097755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</w:p>
    <w:p w:rsidR="00097755" w:rsidRDefault="007E6999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特此公告。</w:t>
      </w:r>
    </w:p>
    <w:p w:rsidR="00097755" w:rsidRDefault="00097755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</w:p>
    <w:p w:rsidR="00097755" w:rsidRDefault="00097755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</w:p>
    <w:p w:rsidR="00097755" w:rsidRDefault="00097755">
      <w:pPr>
        <w:adjustRightInd w:val="0"/>
        <w:spacing w:line="360" w:lineRule="auto"/>
        <w:ind w:firstLineChars="200" w:firstLine="480"/>
        <w:rPr>
          <w:rFonts w:ascii="Arial" w:eastAsia="宋体" w:hAnsi="Arial" w:cs="Arial"/>
          <w:sz w:val="24"/>
          <w:szCs w:val="20"/>
        </w:rPr>
      </w:pPr>
    </w:p>
    <w:p w:rsidR="00097755" w:rsidRDefault="007E6999">
      <w:pPr>
        <w:adjustRightInd w:val="0"/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博时基金管理有限公司</w:t>
      </w:r>
    </w:p>
    <w:p w:rsidR="00097755" w:rsidRDefault="007E6999">
      <w:pPr>
        <w:adjustRightInd w:val="0"/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0"/>
        </w:rPr>
      </w:pPr>
      <w:r>
        <w:rPr>
          <w:rFonts w:ascii="Arial" w:eastAsia="宋体" w:hAnsi="Arial" w:cs="Arial" w:hint="eastAsia"/>
          <w:sz w:val="24"/>
          <w:szCs w:val="20"/>
        </w:rPr>
        <w:t>2025</w:t>
      </w:r>
      <w:r>
        <w:rPr>
          <w:rFonts w:ascii="Arial" w:eastAsia="宋体" w:hAnsi="Arial" w:cs="Arial" w:hint="eastAsia"/>
          <w:sz w:val="24"/>
          <w:szCs w:val="20"/>
        </w:rPr>
        <w:t>年</w:t>
      </w:r>
      <w:r>
        <w:rPr>
          <w:rFonts w:ascii="Arial" w:eastAsia="宋体" w:hAnsi="Arial" w:cs="Arial" w:hint="eastAsia"/>
          <w:sz w:val="24"/>
          <w:szCs w:val="20"/>
        </w:rPr>
        <w:t>11</w:t>
      </w:r>
      <w:r>
        <w:rPr>
          <w:rFonts w:ascii="Arial" w:eastAsia="宋体" w:hAnsi="Arial" w:cs="Arial" w:hint="eastAsia"/>
          <w:sz w:val="24"/>
          <w:szCs w:val="20"/>
        </w:rPr>
        <w:t>月</w:t>
      </w:r>
      <w:r>
        <w:rPr>
          <w:rFonts w:ascii="Arial" w:eastAsia="宋体" w:hAnsi="Arial" w:cs="Arial" w:hint="eastAsia"/>
          <w:sz w:val="24"/>
          <w:szCs w:val="20"/>
        </w:rPr>
        <w:t>24</w:t>
      </w:r>
      <w:r>
        <w:rPr>
          <w:rFonts w:ascii="Arial" w:eastAsia="宋体" w:hAnsi="Arial" w:cs="Arial" w:hint="eastAsia"/>
          <w:sz w:val="24"/>
          <w:szCs w:val="20"/>
        </w:rPr>
        <w:t>日</w:t>
      </w:r>
    </w:p>
    <w:sectPr w:rsidR="00097755" w:rsidSect="000977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55" w:rsidRDefault="00097755" w:rsidP="00097755">
      <w:r>
        <w:separator/>
      </w:r>
    </w:p>
  </w:endnote>
  <w:endnote w:type="continuationSeparator" w:id="0">
    <w:p w:rsidR="00097755" w:rsidRDefault="00097755" w:rsidP="0009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424037"/>
    </w:sdtPr>
    <w:sdtContent>
      <w:p w:rsidR="00097755" w:rsidRDefault="00097755">
        <w:pPr>
          <w:pStyle w:val="a5"/>
          <w:jc w:val="center"/>
        </w:pPr>
        <w:r>
          <w:fldChar w:fldCharType="begin"/>
        </w:r>
        <w:r w:rsidR="007E6999">
          <w:instrText>PAGE   \* MERGEFORMAT</w:instrText>
        </w:r>
        <w:r>
          <w:fldChar w:fldCharType="separate"/>
        </w:r>
        <w:r w:rsidR="007E6999" w:rsidRPr="007E6999">
          <w:rPr>
            <w:noProof/>
            <w:lang w:val="zh-CN"/>
          </w:rPr>
          <w:t>2</w:t>
        </w:r>
        <w:r>
          <w:fldChar w:fldCharType="end"/>
        </w:r>
      </w:p>
    </w:sdtContent>
  </w:sdt>
  <w:p w:rsidR="00097755" w:rsidRDefault="000977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55" w:rsidRDefault="00097755" w:rsidP="00097755">
      <w:r>
        <w:separator/>
      </w:r>
    </w:p>
  </w:footnote>
  <w:footnote w:type="continuationSeparator" w:id="0">
    <w:p w:rsidR="00097755" w:rsidRDefault="00097755" w:rsidP="00097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A167F"/>
    <w:multiLevelType w:val="multilevel"/>
    <w:tmpl w:val="233A167F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97755"/>
    <w:rsid w:val="00097755"/>
    <w:rsid w:val="007E6999"/>
    <w:rsid w:val="0F9F3C4F"/>
    <w:rsid w:val="1BD23C45"/>
    <w:rsid w:val="20062866"/>
    <w:rsid w:val="25822C22"/>
    <w:rsid w:val="2DC11B15"/>
    <w:rsid w:val="45A316AE"/>
    <w:rsid w:val="52966594"/>
    <w:rsid w:val="5C976466"/>
    <w:rsid w:val="6ECA6463"/>
    <w:rsid w:val="7361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9775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977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97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97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97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97755"/>
    <w:rPr>
      <w:b/>
      <w:bCs/>
    </w:rPr>
  </w:style>
  <w:style w:type="table" w:styleId="a9">
    <w:name w:val="Table Grid"/>
    <w:basedOn w:val="a1"/>
    <w:uiPriority w:val="59"/>
    <w:qFormat/>
    <w:rsid w:val="0009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09775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9775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97755"/>
    <w:rPr>
      <w:sz w:val="18"/>
      <w:szCs w:val="18"/>
    </w:rPr>
  </w:style>
  <w:style w:type="paragraph" w:styleId="ab">
    <w:name w:val="List Paragraph"/>
    <w:basedOn w:val="a"/>
    <w:uiPriority w:val="34"/>
    <w:qFormat/>
    <w:rsid w:val="00097755"/>
    <w:pPr>
      <w:ind w:firstLineChars="200" w:firstLine="420"/>
    </w:pPr>
  </w:style>
  <w:style w:type="paragraph" w:customStyle="1" w:styleId="Default">
    <w:name w:val="Default"/>
    <w:uiPriority w:val="99"/>
    <w:unhideWhenUsed/>
    <w:qFormat/>
    <w:rsid w:val="00097755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9775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9775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097755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AEFAD9-BFCB-4440-BD2B-84C2E466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1872</Characters>
  <Application>Microsoft Office Word</Application>
  <DocSecurity>4</DocSecurity>
  <Lines>15</Lines>
  <Paragraphs>4</Paragraphs>
  <ScaleCrop>false</ScaleCrop>
  <Company>CNSTOCK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符筱</dc:creator>
  <cp:lastModifiedBy>ZHONGM</cp:lastModifiedBy>
  <cp:revision>2</cp:revision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3002A453B8CE495082980979E77FBAE4</vt:lpwstr>
  </property>
</Properties>
</file>