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13" w:rsidRDefault="009E1B3F">
      <w:pPr>
        <w:spacing w:before="171" w:line="360" w:lineRule="auto"/>
        <w:jc w:val="center"/>
        <w:rPr>
          <w:rFonts w:ascii="宋体" w:hAnsi="宋体" w:cs="宋体"/>
          <w:b/>
          <w:spacing w:val="-6"/>
          <w:sz w:val="28"/>
          <w:szCs w:val="24"/>
        </w:rPr>
      </w:pPr>
      <w:r>
        <w:rPr>
          <w:rFonts w:ascii="宋体" w:hAnsi="宋体" w:cs="宋体" w:hint="eastAsia"/>
          <w:b/>
          <w:spacing w:val="-6"/>
          <w:sz w:val="28"/>
          <w:szCs w:val="24"/>
        </w:rPr>
        <w:t>兴业基金管理有限公司关于开展兴业兴和盛债券型证券投资基金C类份额销售服务费优惠活动的公告</w:t>
      </w:r>
    </w:p>
    <w:p w:rsidR="00165113" w:rsidRDefault="00165113">
      <w:pPr>
        <w:spacing w:line="250" w:lineRule="auto"/>
        <w:rPr>
          <w:rFonts w:ascii="宋体" w:hAnsi="宋体"/>
          <w:sz w:val="24"/>
          <w:szCs w:val="24"/>
        </w:rPr>
      </w:pPr>
    </w:p>
    <w:p w:rsidR="00165113" w:rsidRDefault="009E1B3F">
      <w:pPr>
        <w:spacing w:before="78" w:line="360" w:lineRule="auto"/>
        <w:ind w:left="23" w:right="14" w:firstLineChars="200" w:firstLine="43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12"/>
          <w:sz w:val="24"/>
          <w:szCs w:val="24"/>
        </w:rPr>
        <w:t>为更</w:t>
      </w:r>
      <w:r>
        <w:rPr>
          <w:rFonts w:ascii="宋体" w:hAnsi="宋体" w:cs="宋体" w:hint="eastAsia"/>
          <w:spacing w:val="-10"/>
          <w:sz w:val="24"/>
          <w:szCs w:val="24"/>
        </w:rPr>
        <w:t>好</w:t>
      </w:r>
      <w:r>
        <w:rPr>
          <w:rFonts w:ascii="宋体" w:hAnsi="宋体" w:cs="宋体" w:hint="eastAsia"/>
          <w:spacing w:val="-6"/>
          <w:sz w:val="24"/>
          <w:szCs w:val="24"/>
        </w:rPr>
        <w:t>满足投资者的理财需求，兴业基金管理有</w:t>
      </w:r>
      <w:r>
        <w:rPr>
          <w:rFonts w:ascii="宋体" w:hAnsi="宋体" w:cs="宋体" w:hint="eastAsia"/>
          <w:spacing w:val="-28"/>
          <w:sz w:val="24"/>
          <w:szCs w:val="24"/>
        </w:rPr>
        <w:t>限公</w:t>
      </w:r>
      <w:r>
        <w:rPr>
          <w:rFonts w:ascii="宋体" w:hAnsi="宋体" w:cs="宋体" w:hint="eastAsia"/>
          <w:spacing w:val="-19"/>
          <w:sz w:val="24"/>
          <w:szCs w:val="24"/>
        </w:rPr>
        <w:t>司</w:t>
      </w:r>
      <w:r>
        <w:rPr>
          <w:rFonts w:ascii="宋体" w:hAnsi="宋体" w:cs="宋体" w:hint="eastAsia"/>
          <w:spacing w:val="-14"/>
          <w:sz w:val="24"/>
          <w:szCs w:val="24"/>
        </w:rPr>
        <w:t>(以下简称“本公司”)决定自2025年</w:t>
      </w:r>
      <w:r>
        <w:rPr>
          <w:rFonts w:ascii="宋体" w:hAnsi="宋体" w:cs="宋体"/>
          <w:spacing w:val="-14"/>
          <w:sz w:val="24"/>
          <w:szCs w:val="24"/>
        </w:rPr>
        <w:t>11</w:t>
      </w:r>
      <w:r>
        <w:rPr>
          <w:rFonts w:ascii="宋体" w:hAnsi="宋体" w:cs="宋体" w:hint="eastAsia"/>
          <w:spacing w:val="-14"/>
          <w:sz w:val="24"/>
          <w:szCs w:val="24"/>
        </w:rPr>
        <w:t>月</w:t>
      </w:r>
      <w:r>
        <w:rPr>
          <w:rFonts w:ascii="宋体" w:hAnsi="宋体" w:cs="宋体"/>
          <w:spacing w:val="-14"/>
          <w:sz w:val="24"/>
          <w:szCs w:val="24"/>
        </w:rPr>
        <w:t>25</w:t>
      </w:r>
      <w:r>
        <w:rPr>
          <w:rFonts w:ascii="宋体" w:hAnsi="宋体" w:cs="宋体" w:hint="eastAsia"/>
          <w:spacing w:val="-14"/>
          <w:sz w:val="24"/>
          <w:szCs w:val="24"/>
        </w:rPr>
        <w:t>日起，将本基金C类基金</w:t>
      </w:r>
      <w:r>
        <w:rPr>
          <w:rFonts w:ascii="宋体" w:hAnsi="宋体" w:cs="宋体" w:hint="eastAsia"/>
          <w:spacing w:val="-10"/>
          <w:sz w:val="24"/>
          <w:szCs w:val="24"/>
        </w:rPr>
        <w:t>份额(</w:t>
      </w:r>
      <w:r>
        <w:rPr>
          <w:rFonts w:ascii="宋体" w:hAnsi="宋体" w:cs="宋体" w:hint="eastAsia"/>
          <w:spacing w:val="-5"/>
          <w:sz w:val="24"/>
          <w:szCs w:val="24"/>
        </w:rPr>
        <w:t>简称：兴业兴和盛债券C，代码：</w:t>
      </w:r>
      <w:bookmarkStart w:id="0" w:name="_GoBack"/>
      <w:r>
        <w:rPr>
          <w:rFonts w:ascii="宋体" w:hAnsi="宋体" w:cs="宋体"/>
          <w:spacing w:val="-5"/>
          <w:sz w:val="24"/>
          <w:szCs w:val="24"/>
        </w:rPr>
        <w:t>024307</w:t>
      </w:r>
      <w:bookmarkEnd w:id="0"/>
      <w:r>
        <w:rPr>
          <w:rFonts w:ascii="宋体" w:hAnsi="宋体" w:cs="宋体" w:hint="eastAsia"/>
          <w:spacing w:val="-5"/>
          <w:sz w:val="24"/>
          <w:szCs w:val="24"/>
        </w:rPr>
        <w:t>)的销售服务费</w:t>
      </w:r>
      <w:r>
        <w:rPr>
          <w:rFonts w:ascii="宋体" w:hAnsi="宋体" w:cs="宋体" w:hint="eastAsia"/>
          <w:spacing w:val="-2"/>
          <w:sz w:val="24"/>
          <w:szCs w:val="24"/>
        </w:rPr>
        <w:t>费率优惠至</w:t>
      </w:r>
      <w:r>
        <w:rPr>
          <w:rFonts w:ascii="宋体" w:hAnsi="宋体" w:cs="宋体"/>
          <w:spacing w:val="-2"/>
          <w:sz w:val="24"/>
          <w:szCs w:val="24"/>
        </w:rPr>
        <w:t>0.15%</w:t>
      </w:r>
      <w:r>
        <w:rPr>
          <w:rFonts w:ascii="宋体" w:hAnsi="宋体" w:cs="宋体" w:hint="eastAsia"/>
          <w:spacing w:val="-2"/>
          <w:sz w:val="24"/>
          <w:szCs w:val="24"/>
        </w:rPr>
        <w:t>/年。如本次优惠活动发生变更、优惠活动结束或开展</w:t>
      </w:r>
      <w:r>
        <w:rPr>
          <w:rFonts w:ascii="宋体" w:hAnsi="宋体" w:cs="宋体" w:hint="eastAsia"/>
          <w:sz w:val="24"/>
          <w:szCs w:val="24"/>
        </w:rPr>
        <w:t>新的优</w:t>
      </w:r>
      <w:r>
        <w:rPr>
          <w:rFonts w:ascii="宋体" w:hAnsi="宋体" w:cs="宋体" w:hint="eastAsia"/>
          <w:spacing w:val="-2"/>
          <w:sz w:val="24"/>
          <w:szCs w:val="24"/>
        </w:rPr>
        <w:t>惠活动等，本公司将另行公告，敬请投资者留意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65113" w:rsidRDefault="009E1B3F">
      <w:pPr>
        <w:spacing w:line="360" w:lineRule="auto"/>
        <w:ind w:firstLineChars="200" w:firstLine="408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cs="宋体" w:hint="eastAsia"/>
          <w:spacing w:val="-18"/>
          <w:sz w:val="24"/>
          <w:szCs w:val="24"/>
        </w:rPr>
        <w:t>投资</w:t>
      </w:r>
      <w:r>
        <w:rPr>
          <w:rFonts w:ascii="宋体" w:hAnsi="宋体" w:cs="宋体" w:hint="eastAsia"/>
          <w:spacing w:val="-13"/>
          <w:sz w:val="24"/>
          <w:szCs w:val="24"/>
        </w:rPr>
        <w:t>者</w:t>
      </w:r>
      <w:r>
        <w:rPr>
          <w:rFonts w:ascii="宋体" w:hAnsi="宋体" w:cs="宋体" w:hint="eastAsia"/>
          <w:spacing w:val="-9"/>
          <w:sz w:val="24"/>
          <w:szCs w:val="24"/>
        </w:rPr>
        <w:t>可通过销售机构购买本基金C类基金份额，具体的销售机构请详见基金</w:t>
      </w:r>
      <w:r>
        <w:rPr>
          <w:rFonts w:ascii="宋体" w:hAnsi="宋体" w:cs="宋体" w:hint="eastAsia"/>
          <w:spacing w:val="-6"/>
          <w:sz w:val="24"/>
          <w:szCs w:val="24"/>
        </w:rPr>
        <w:t>管理人官网公示的销售机构信息表。</w:t>
      </w:r>
      <w:r>
        <w:rPr>
          <w:rFonts w:ascii="宋体" w:hAnsi="宋体" w:cs="宋体" w:hint="eastAsia"/>
          <w:sz w:val="24"/>
          <w:szCs w:val="24"/>
        </w:rPr>
        <w:t xml:space="preserve">投资者办理本基金C类基金份额的投资事宜，具体业务规则及办理程序请遵循各销售机构的规定。 </w:t>
      </w:r>
    </w:p>
    <w:p w:rsidR="00165113" w:rsidRDefault="009E1B3F">
      <w:pPr>
        <w:spacing w:line="360" w:lineRule="auto"/>
        <w:ind w:firstLineChars="200" w:firstLine="408"/>
        <w:rPr>
          <w:rFonts w:ascii="宋体" w:hAnsi="宋体" w:cs="宋体"/>
          <w:spacing w:val="-18"/>
          <w:sz w:val="24"/>
          <w:szCs w:val="24"/>
        </w:rPr>
      </w:pPr>
      <w:r>
        <w:rPr>
          <w:rFonts w:ascii="宋体" w:hAnsi="宋体" w:cs="宋体" w:hint="eastAsia"/>
          <w:spacing w:val="-18"/>
          <w:sz w:val="24"/>
          <w:szCs w:val="24"/>
        </w:rPr>
        <w:t>投资者欲了解本基金的详细情况，请仔细阅读刊登于本公司网站(</w:t>
      </w:r>
      <w:hyperlink r:id="rId5" w:history="1">
        <w:r>
          <w:rPr>
            <w:rFonts w:ascii="宋体" w:hAnsi="宋体" w:cs="宋体" w:hint="eastAsia"/>
            <w:spacing w:val="-18"/>
            <w:sz w:val="24"/>
            <w:szCs w:val="24"/>
          </w:rPr>
          <w:t>www.cib-fund.com.cn</w:t>
        </w:r>
      </w:hyperlink>
      <w:r>
        <w:rPr>
          <w:rFonts w:ascii="宋体" w:hAnsi="宋体" w:cs="宋体" w:hint="eastAsia"/>
          <w:spacing w:val="-18"/>
          <w:sz w:val="24"/>
          <w:szCs w:val="24"/>
        </w:rPr>
        <w:t>)的本基金《基金合同》和《招募说明书》等法律文件，还可拨打客户服务热线(40000-95561)咨询相关信息。</w:t>
      </w:r>
    </w:p>
    <w:p w:rsidR="00165113" w:rsidRDefault="009E1B3F">
      <w:pPr>
        <w:spacing w:line="360" w:lineRule="auto"/>
        <w:ind w:firstLineChars="200" w:firstLine="408"/>
        <w:rPr>
          <w:rFonts w:ascii="宋体" w:hAnsi="宋体" w:cs="宋体"/>
          <w:spacing w:val="-1"/>
          <w:sz w:val="24"/>
          <w:szCs w:val="24"/>
        </w:rPr>
      </w:pPr>
      <w:r>
        <w:rPr>
          <w:rFonts w:ascii="宋体" w:hAnsi="宋体" w:cs="宋体" w:hint="eastAsia"/>
          <w:spacing w:val="-18"/>
          <w:sz w:val="24"/>
          <w:szCs w:val="24"/>
        </w:rPr>
        <w:t>风险提示：</w:t>
      </w:r>
      <w:r>
        <w:rPr>
          <w:rFonts w:ascii="宋体" w:hAnsi="宋体" w:cs="宋体" w:hint="eastAsia"/>
          <w:spacing w:val="-12"/>
          <w:sz w:val="24"/>
          <w:szCs w:val="24"/>
        </w:rPr>
        <w:t>基金管理人依照恪尽职守、诚实信用、谨慎勤勉的原则管理和运用基金财产，本基金管理人不保证投资于本基金一定盈利，也不保证最低收益。基金的过往业绩并不预示其未来表现，基金管理人管理的其他基金的业绩并不构成基金业绩表现的保证。本公司提醒投资人基金投资的“买者自负”原则，在投资者作出投资决策后，基金运营状况与基金净值变化导致的投资风险，由投资者自行负担。投资者或申购基金份额时应认真阅读招募说明书，全面认识本基金产品的风险收益特征，充分考虑投资者自身的风险承受能力</w:t>
      </w:r>
      <w:r>
        <w:rPr>
          <w:rFonts w:ascii="宋体" w:hAnsi="宋体" w:cs="宋体" w:hint="eastAsia"/>
          <w:spacing w:val="-1"/>
          <w:sz w:val="24"/>
          <w:szCs w:val="24"/>
        </w:rPr>
        <w:t>。</w:t>
      </w:r>
    </w:p>
    <w:p w:rsidR="00165113" w:rsidRDefault="00165113">
      <w:pPr>
        <w:spacing w:before="196" w:line="372" w:lineRule="auto"/>
        <w:ind w:left="23" w:right="14" w:firstLine="480"/>
        <w:rPr>
          <w:rFonts w:ascii="宋体" w:hAnsi="宋体" w:cs="宋体"/>
          <w:sz w:val="24"/>
          <w:szCs w:val="24"/>
        </w:rPr>
      </w:pPr>
    </w:p>
    <w:p w:rsidR="00165113" w:rsidRDefault="009E1B3F">
      <w:pPr>
        <w:ind w:firstLineChars="200" w:firstLine="472"/>
        <w:rPr>
          <w:rFonts w:ascii="宋体" w:hAnsi="宋体" w:cs="宋体"/>
          <w:spacing w:val="-2"/>
          <w:sz w:val="24"/>
          <w:szCs w:val="24"/>
        </w:rPr>
      </w:pPr>
      <w:r>
        <w:rPr>
          <w:rFonts w:ascii="宋体" w:hAnsi="宋体" w:cs="宋体" w:hint="eastAsia"/>
          <w:spacing w:val="-2"/>
          <w:sz w:val="24"/>
          <w:szCs w:val="24"/>
        </w:rPr>
        <w:t>特此公告</w:t>
      </w:r>
    </w:p>
    <w:p w:rsidR="00165113" w:rsidRDefault="00165113">
      <w:pPr>
        <w:rPr>
          <w:rFonts w:ascii="宋体" w:hAnsi="宋体"/>
          <w:sz w:val="24"/>
          <w:szCs w:val="24"/>
        </w:rPr>
      </w:pPr>
    </w:p>
    <w:p w:rsidR="00165113" w:rsidRDefault="00165113">
      <w:pPr>
        <w:rPr>
          <w:rFonts w:ascii="宋体" w:hAnsi="宋体"/>
          <w:sz w:val="24"/>
          <w:szCs w:val="24"/>
        </w:rPr>
      </w:pPr>
    </w:p>
    <w:p w:rsidR="00165113" w:rsidRDefault="009E1B3F">
      <w:pPr>
        <w:spacing w:before="78" w:line="377" w:lineRule="auto"/>
        <w:ind w:left="6592" w:right="14" w:hanging="65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2"/>
          <w:sz w:val="24"/>
          <w:szCs w:val="24"/>
        </w:rPr>
        <w:t>兴业基金管</w:t>
      </w:r>
      <w:r>
        <w:rPr>
          <w:rFonts w:ascii="宋体" w:hAnsi="宋体" w:cs="宋体" w:hint="eastAsia"/>
          <w:spacing w:val="-1"/>
          <w:sz w:val="24"/>
          <w:szCs w:val="24"/>
        </w:rPr>
        <w:t>理有限公司</w:t>
      </w:r>
      <w:r>
        <w:rPr>
          <w:rFonts w:ascii="宋体" w:hAnsi="宋体" w:cs="宋体" w:hint="eastAsia"/>
          <w:spacing w:val="-2"/>
          <w:sz w:val="24"/>
          <w:szCs w:val="24"/>
        </w:rPr>
        <w:t>2025年</w:t>
      </w:r>
      <w:r>
        <w:rPr>
          <w:rFonts w:ascii="宋体" w:hAnsi="宋体" w:cs="宋体"/>
          <w:spacing w:val="-2"/>
          <w:sz w:val="24"/>
          <w:szCs w:val="24"/>
        </w:rPr>
        <w:t>11</w:t>
      </w:r>
      <w:r>
        <w:rPr>
          <w:rFonts w:ascii="宋体" w:hAnsi="宋体" w:cs="宋体" w:hint="eastAsia"/>
          <w:spacing w:val="-2"/>
          <w:sz w:val="24"/>
          <w:szCs w:val="24"/>
        </w:rPr>
        <w:t>月</w:t>
      </w:r>
      <w:r>
        <w:rPr>
          <w:rFonts w:ascii="宋体" w:hAnsi="宋体" w:cs="宋体"/>
          <w:spacing w:val="-2"/>
          <w:sz w:val="24"/>
          <w:szCs w:val="24"/>
        </w:rPr>
        <w:t>24</w:t>
      </w:r>
      <w:r>
        <w:rPr>
          <w:rFonts w:ascii="宋体" w:hAnsi="宋体" w:cs="宋体" w:hint="eastAsia"/>
          <w:spacing w:val="-2"/>
          <w:sz w:val="24"/>
          <w:szCs w:val="24"/>
        </w:rPr>
        <w:t>日</w:t>
      </w:r>
    </w:p>
    <w:p w:rsidR="00165113" w:rsidRDefault="00165113">
      <w:pPr>
        <w:kinsoku/>
        <w:autoSpaceDE/>
        <w:autoSpaceDN/>
        <w:adjustRightInd/>
        <w:snapToGrid/>
        <w:spacing w:line="377" w:lineRule="auto"/>
        <w:rPr>
          <w:rFonts w:ascii="宋体" w:hAnsi="宋体" w:cs="宋体"/>
          <w:snapToGrid w:val="0"/>
          <w:sz w:val="24"/>
          <w:szCs w:val="24"/>
        </w:rPr>
        <w:sectPr w:rsidR="00165113">
          <w:pgSz w:w="11907" w:h="16839"/>
          <w:pgMar w:top="1431" w:right="1785" w:bottom="2476" w:left="1785" w:header="0" w:footer="2192" w:gutter="0"/>
          <w:cols w:space="720"/>
          <w:docGrid w:linePitch="312"/>
        </w:sectPr>
      </w:pPr>
    </w:p>
    <w:p w:rsidR="00165113" w:rsidRDefault="00165113"/>
    <w:sectPr w:rsidR="00165113" w:rsidSect="0042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165113"/>
    <w:rsid w:val="00123E29"/>
    <w:rsid w:val="00165113"/>
    <w:rsid w:val="001A2F6C"/>
    <w:rsid w:val="004211EC"/>
    <w:rsid w:val="009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EC"/>
    <w:pPr>
      <w:kinsoku w:val="0"/>
      <w:autoSpaceDE w:val="0"/>
      <w:autoSpaceDN w:val="0"/>
      <w:adjustRightInd w:val="0"/>
      <w:snapToGrid w:val="0"/>
    </w:pPr>
    <w:rPr>
      <w:rFonts w:ascii="Arial" w:hAnsi="Arial" w:cs="Arial"/>
      <w:color w:val="000000"/>
      <w:sz w:val="21"/>
      <w:szCs w:val="21"/>
    </w:rPr>
  </w:style>
  <w:style w:type="paragraph" w:styleId="1">
    <w:name w:val="heading 1"/>
    <w:basedOn w:val="a"/>
    <w:next w:val="a"/>
    <w:link w:val="1Char"/>
    <w:qFormat/>
    <w:rsid w:val="00421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211EC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211EC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11EC"/>
    <w:rPr>
      <w:rFonts w:ascii="Arial" w:eastAsia="宋体" w:hAnsi="Arial" w:cs="Arial"/>
      <w:b/>
      <w:bCs/>
      <w:color w:val="000000"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4211EC"/>
    <w:rPr>
      <w:rFonts w:ascii="Times New Roman" w:eastAsia="黑体" w:hAnsi="Arial" w:cs="Arial"/>
      <w:b/>
      <w:bCs/>
      <w:color w:val="000000"/>
      <w:kern w:val="0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4211EC"/>
    <w:rPr>
      <w:rFonts w:ascii="Arial" w:eastAsia="宋体" w:hAnsi="Arial" w:cs="Arial"/>
      <w:b/>
      <w:bCs/>
      <w:color w:val="000000"/>
      <w:kern w:val="0"/>
      <w:sz w:val="32"/>
      <w:szCs w:val="32"/>
      <w:lang w:val="en-US" w:eastAsia="zh-CN" w:bidi="ar-SA"/>
    </w:rPr>
  </w:style>
  <w:style w:type="character" w:styleId="a3">
    <w:name w:val="Hyperlink"/>
    <w:basedOn w:val="a0"/>
    <w:qFormat/>
    <w:rsid w:val="004211EC"/>
    <w:rPr>
      <w:color w:val="0000FF"/>
      <w:u w:val="single"/>
    </w:rPr>
  </w:style>
  <w:style w:type="paragraph" w:styleId="10">
    <w:name w:val="toc 1"/>
    <w:basedOn w:val="a"/>
    <w:next w:val="a"/>
    <w:autoRedefine/>
    <w:qFormat/>
    <w:rsid w:val="004211EC"/>
  </w:style>
  <w:style w:type="paragraph" w:styleId="20">
    <w:name w:val="toc 2"/>
    <w:basedOn w:val="a"/>
    <w:next w:val="a"/>
    <w:autoRedefine/>
    <w:qFormat/>
    <w:rsid w:val="004211EC"/>
    <w:pPr>
      <w:ind w:left="420"/>
    </w:pPr>
  </w:style>
  <w:style w:type="paragraph" w:styleId="30">
    <w:name w:val="toc 3"/>
    <w:basedOn w:val="a"/>
    <w:next w:val="a"/>
    <w:autoRedefine/>
    <w:qFormat/>
    <w:rsid w:val="004211EC"/>
    <w:pPr>
      <w:ind w:left="840"/>
    </w:pPr>
  </w:style>
  <w:style w:type="paragraph" w:styleId="4">
    <w:name w:val="toc 4"/>
    <w:basedOn w:val="a"/>
    <w:next w:val="a"/>
    <w:autoRedefine/>
    <w:qFormat/>
    <w:rsid w:val="004211EC"/>
    <w:pPr>
      <w:ind w:left="1260"/>
    </w:pPr>
  </w:style>
  <w:style w:type="paragraph" w:styleId="5">
    <w:name w:val="toc 5"/>
    <w:basedOn w:val="a"/>
    <w:next w:val="a"/>
    <w:autoRedefine/>
    <w:qFormat/>
    <w:rsid w:val="004211EC"/>
    <w:pPr>
      <w:ind w:left="1680"/>
    </w:pPr>
  </w:style>
  <w:style w:type="paragraph" w:styleId="a4">
    <w:name w:val="header"/>
    <w:basedOn w:val="a"/>
    <w:qFormat/>
    <w:rsid w:val="004211EC"/>
    <w:pPr>
      <w:pBdr>
        <w:bottom w:val="single" w:sz="6" w:space="1" w:color="auto"/>
      </w:pBdr>
      <w:tabs>
        <w:tab w:val="center" w:pos="4153"/>
        <w:tab w:val="right" w:pos="8307"/>
      </w:tabs>
      <w:jc w:val="center"/>
    </w:pPr>
    <w:rPr>
      <w:sz w:val="18"/>
      <w:szCs w:val="18"/>
    </w:rPr>
  </w:style>
  <w:style w:type="paragraph" w:styleId="a5">
    <w:name w:val="footer"/>
    <w:basedOn w:val="a"/>
    <w:qFormat/>
    <w:rsid w:val="004211EC"/>
    <w:pPr>
      <w:tabs>
        <w:tab w:val="center" w:pos="4153"/>
        <w:tab w:val="right" w:pos="8307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b-fund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5BEB02CE-0C55-44BF-8069-0B13A16B8A4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4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庄荣荣</dc:creator>
  <cp:lastModifiedBy>ZHONGM</cp:lastModifiedBy>
  <cp:revision>2</cp:revision>
  <dcterms:created xsi:type="dcterms:W3CDTF">2025-11-23T16:01:00Z</dcterms:created>
  <dcterms:modified xsi:type="dcterms:W3CDTF">2025-11-23T16:01:00Z</dcterms:modified>
</cp:coreProperties>
</file>