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E3FCC" w:rsidRPr="00F85095" w:rsidRDefault="009E3FCC" w:rsidP="0050093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eastAsia="黑体" w:hAnsi="Times New Roman"/>
          <w:b/>
          <w:bCs/>
          <w:color w:val="000000"/>
          <w:kern w:val="2"/>
          <w:sz w:val="30"/>
          <w:szCs w:val="30"/>
        </w:rPr>
      </w:pPr>
      <w:r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天弘</w:t>
      </w:r>
      <w:r>
        <w:rPr>
          <w:rFonts w:ascii="Times New Roman" w:eastAsia="黑体" w:hAnsi="Times New Roman"/>
          <w:b/>
          <w:bCs/>
          <w:color w:val="000000"/>
          <w:kern w:val="2"/>
          <w:sz w:val="30"/>
          <w:szCs w:val="30"/>
        </w:rPr>
        <w:t>基金管理有限公司关于</w:t>
      </w:r>
      <w:r w:rsidR="00FD4D62" w:rsidRPr="00FD4D62"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天弘中证红利低波动</w:t>
      </w:r>
      <w:r w:rsidR="00FD4D62" w:rsidRPr="00FD4D62"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100</w:t>
      </w:r>
      <w:r w:rsidR="00FD4D62" w:rsidRPr="00FD4D62"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交易型开放式指数证券投资基金联接基金</w:t>
      </w:r>
      <w:r w:rsidR="00500932" w:rsidRPr="00500932"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调整收益分配原则</w:t>
      </w:r>
      <w:r w:rsidRPr="00500932"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并</w:t>
      </w:r>
      <w:r>
        <w:rPr>
          <w:rFonts w:ascii="Times New Roman" w:eastAsia="黑体" w:hAnsi="Times New Roman" w:hint="eastAsia"/>
          <w:b/>
          <w:bCs/>
          <w:color w:val="000000"/>
          <w:kern w:val="2"/>
          <w:sz w:val="30"/>
          <w:szCs w:val="30"/>
        </w:rPr>
        <w:t>相应修改相关法律文件的公告</w:t>
      </w:r>
    </w:p>
    <w:p w:rsidR="009E3FCC" w:rsidRDefault="009E3FCC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/>
          <w:color w:val="000000"/>
          <w:kern w:val="2"/>
        </w:rPr>
        <w:t>为满足投资者的理财需求，提供更灵活的理财服务，根据《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天弘中证红利低波动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100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交易型开放式指数证券投资基金联接基金</w:t>
      </w:r>
      <w:r>
        <w:rPr>
          <w:rFonts w:ascii="Times New Roman" w:eastAsia="仿宋_GB2312" w:hAnsi="Times New Roman"/>
          <w:color w:val="000000"/>
          <w:kern w:val="2"/>
        </w:rPr>
        <w:t>基金合同》、《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天弘中证红利低波动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100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交易型开放式指数证券投资基金联接基金</w:t>
      </w:r>
      <w:r>
        <w:rPr>
          <w:rFonts w:ascii="Times New Roman" w:eastAsia="仿宋_GB2312" w:hAnsi="Times New Roman"/>
          <w:color w:val="000000"/>
          <w:kern w:val="2"/>
        </w:rPr>
        <w:t>招募说明书》及其更新的有关约定，</w:t>
      </w:r>
      <w:r>
        <w:rPr>
          <w:rFonts w:ascii="Times New Roman" w:eastAsia="仿宋_GB2312" w:hAnsi="Times New Roman" w:hint="eastAsia"/>
          <w:color w:val="000000"/>
          <w:kern w:val="2"/>
        </w:rPr>
        <w:t>天弘</w:t>
      </w:r>
      <w:r>
        <w:rPr>
          <w:rFonts w:ascii="Times New Roman" w:eastAsia="仿宋_GB2312" w:hAnsi="Times New Roman"/>
          <w:color w:val="000000"/>
          <w:kern w:val="2"/>
        </w:rPr>
        <w:t>基金管理有限公司（以下简称</w:t>
      </w:r>
      <w:r>
        <w:rPr>
          <w:rFonts w:ascii="Times New Roman" w:eastAsia="仿宋_GB2312" w:hAnsi="Times New Roman" w:hint="eastAsia"/>
          <w:color w:val="000000"/>
          <w:kern w:val="2"/>
        </w:rPr>
        <w:t>“基金管理人”</w:t>
      </w:r>
      <w:r>
        <w:rPr>
          <w:rFonts w:ascii="Times New Roman" w:eastAsia="仿宋_GB2312" w:hAnsi="Times New Roman"/>
          <w:color w:val="000000"/>
          <w:kern w:val="2"/>
        </w:rPr>
        <w:t>）经与基金托管人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国泰海通证券股份有限公司</w:t>
      </w:r>
      <w:r>
        <w:rPr>
          <w:rFonts w:ascii="Times New Roman" w:eastAsia="仿宋_GB2312" w:hAnsi="Times New Roman" w:hint="eastAsia"/>
          <w:color w:val="000000"/>
          <w:kern w:val="2"/>
        </w:rPr>
        <w:t>（以下简称“基金托管人”）</w:t>
      </w:r>
      <w:r>
        <w:rPr>
          <w:rFonts w:ascii="Times New Roman" w:eastAsia="仿宋_GB2312" w:hAnsi="Times New Roman"/>
          <w:color w:val="000000"/>
          <w:kern w:val="2"/>
        </w:rPr>
        <w:t>协商一致</w:t>
      </w:r>
      <w:r>
        <w:rPr>
          <w:rFonts w:ascii="Times New Roman" w:eastAsia="仿宋_GB2312" w:hAnsi="Times New Roman" w:hint="eastAsia"/>
          <w:color w:val="000000"/>
          <w:kern w:val="2"/>
        </w:rPr>
        <w:t>，决定自</w:t>
      </w:r>
      <w:r>
        <w:rPr>
          <w:rFonts w:ascii="Times New Roman" w:eastAsia="仿宋_GB2312" w:hAnsi="Times New Roman"/>
          <w:color w:val="000000"/>
          <w:kern w:val="2"/>
        </w:rPr>
        <w:t>202</w:t>
      </w:r>
      <w:r w:rsidR="00C52526">
        <w:rPr>
          <w:rFonts w:ascii="Times New Roman" w:eastAsia="仿宋_GB2312" w:hAnsi="Times New Roman" w:hint="eastAsia"/>
          <w:color w:val="000000"/>
          <w:kern w:val="2"/>
        </w:rPr>
        <w:t>5</w:t>
      </w:r>
      <w:r>
        <w:rPr>
          <w:rFonts w:ascii="Times New Roman" w:eastAsia="仿宋_GB2312" w:hAnsi="Times New Roman"/>
          <w:color w:val="000000"/>
          <w:kern w:val="2"/>
        </w:rPr>
        <w:t>年</w:t>
      </w:r>
      <w:r w:rsidR="00E7234D">
        <w:rPr>
          <w:rFonts w:ascii="Times New Roman" w:eastAsia="仿宋_GB2312" w:hAnsi="Times New Roman" w:hint="eastAsia"/>
          <w:color w:val="000000"/>
          <w:kern w:val="2"/>
        </w:rPr>
        <w:t>11</w:t>
      </w:r>
      <w:r>
        <w:rPr>
          <w:rFonts w:ascii="Times New Roman" w:eastAsia="仿宋_GB2312" w:hAnsi="Times New Roman"/>
          <w:color w:val="000000"/>
          <w:kern w:val="2"/>
        </w:rPr>
        <w:t>月</w:t>
      </w:r>
      <w:r w:rsidR="00E7234D">
        <w:rPr>
          <w:rFonts w:ascii="Times New Roman" w:eastAsia="仿宋_GB2312" w:hAnsi="Times New Roman" w:hint="eastAsia"/>
          <w:color w:val="000000"/>
          <w:kern w:val="2"/>
        </w:rPr>
        <w:t>24</w:t>
      </w:r>
      <w:r>
        <w:rPr>
          <w:rFonts w:ascii="Times New Roman" w:eastAsia="仿宋_GB2312" w:hAnsi="Times New Roman"/>
          <w:color w:val="000000"/>
          <w:kern w:val="2"/>
        </w:rPr>
        <w:t>日起</w:t>
      </w:r>
      <w:r w:rsidR="003C471C" w:rsidRPr="003C471C">
        <w:rPr>
          <w:rFonts w:ascii="Times New Roman" w:eastAsia="仿宋_GB2312" w:hAnsi="Times New Roman" w:hint="eastAsia"/>
          <w:color w:val="000000"/>
          <w:kern w:val="2"/>
        </w:rPr>
        <w:t>调整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天弘中证红利低波动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100</w:t>
      </w:r>
      <w:r w:rsidR="00CE0630" w:rsidRPr="00CE0630">
        <w:rPr>
          <w:rFonts w:ascii="Times New Roman" w:eastAsia="仿宋_GB2312" w:hAnsi="Times New Roman" w:hint="eastAsia"/>
          <w:color w:val="000000"/>
          <w:kern w:val="2"/>
        </w:rPr>
        <w:t>交易型开放式指数证券投资基金联接基金</w:t>
      </w:r>
      <w:r>
        <w:rPr>
          <w:rFonts w:ascii="Times New Roman" w:eastAsia="仿宋_GB2312" w:hAnsi="Times New Roman"/>
          <w:color w:val="000000"/>
          <w:kern w:val="2"/>
        </w:rPr>
        <w:t>（以下简称</w:t>
      </w:r>
      <w:r>
        <w:rPr>
          <w:rFonts w:ascii="Times New Roman" w:eastAsia="仿宋_GB2312" w:hAnsi="Times New Roman" w:hint="eastAsia"/>
          <w:color w:val="000000"/>
          <w:kern w:val="2"/>
        </w:rPr>
        <w:t>“</w:t>
      </w:r>
      <w:r>
        <w:rPr>
          <w:rFonts w:ascii="Times New Roman" w:eastAsia="仿宋_GB2312" w:hAnsi="Times New Roman"/>
          <w:color w:val="000000"/>
          <w:kern w:val="2"/>
        </w:rPr>
        <w:t>本基金</w:t>
      </w:r>
      <w:r>
        <w:rPr>
          <w:rFonts w:ascii="Times New Roman" w:eastAsia="仿宋_GB2312" w:hAnsi="Times New Roman" w:hint="eastAsia"/>
          <w:color w:val="000000"/>
          <w:kern w:val="2"/>
        </w:rPr>
        <w:t>”</w:t>
      </w:r>
      <w:r>
        <w:rPr>
          <w:rFonts w:ascii="Times New Roman" w:eastAsia="仿宋_GB2312" w:hAnsi="Times New Roman"/>
          <w:color w:val="000000"/>
          <w:kern w:val="2"/>
        </w:rPr>
        <w:t>）</w:t>
      </w:r>
      <w:r w:rsidR="005F519F" w:rsidRPr="005F519F">
        <w:rPr>
          <w:rFonts w:ascii="Times New Roman" w:eastAsia="仿宋_GB2312" w:hAnsi="Times New Roman" w:hint="eastAsia"/>
          <w:color w:val="000000"/>
          <w:kern w:val="2"/>
        </w:rPr>
        <w:t>收益分配原则</w:t>
      </w:r>
      <w:r w:rsidR="005F519F">
        <w:rPr>
          <w:rFonts w:ascii="Times New Roman" w:eastAsia="仿宋_GB2312" w:hAnsi="Times New Roman" w:hint="eastAsia"/>
          <w:color w:val="000000"/>
          <w:kern w:val="2"/>
        </w:rPr>
        <w:t>，</w:t>
      </w:r>
      <w:r>
        <w:rPr>
          <w:rFonts w:ascii="Times New Roman" w:eastAsia="仿宋_GB2312" w:hAnsi="Times New Roman"/>
          <w:color w:val="000000"/>
          <w:kern w:val="2"/>
        </w:rPr>
        <w:t>并相应</w:t>
      </w:r>
      <w:r>
        <w:rPr>
          <w:rFonts w:ascii="Times New Roman" w:eastAsia="仿宋_GB2312" w:hAnsi="Times New Roman" w:hint="eastAsia"/>
          <w:color w:val="000000"/>
          <w:kern w:val="2"/>
        </w:rPr>
        <w:t>修改基金合同</w:t>
      </w:r>
      <w:r>
        <w:rPr>
          <w:rFonts w:ascii="Times New Roman" w:eastAsia="仿宋_GB2312" w:hAnsi="Times New Roman"/>
          <w:color w:val="000000"/>
          <w:kern w:val="2"/>
        </w:rPr>
        <w:t>等</w:t>
      </w:r>
      <w:r>
        <w:rPr>
          <w:rFonts w:ascii="Times New Roman" w:eastAsia="仿宋_GB2312" w:hAnsi="Times New Roman" w:hint="eastAsia"/>
          <w:color w:val="000000"/>
          <w:kern w:val="2"/>
        </w:rPr>
        <w:t>法律</w:t>
      </w:r>
      <w:r>
        <w:rPr>
          <w:rFonts w:ascii="Times New Roman" w:eastAsia="仿宋_GB2312" w:hAnsi="Times New Roman"/>
          <w:color w:val="000000"/>
          <w:kern w:val="2"/>
        </w:rPr>
        <w:t>文件的有关内容。现将有关事项公告如下：</w:t>
      </w:r>
    </w:p>
    <w:p w:rsidR="00991DFD" w:rsidRPr="00F85095" w:rsidRDefault="009E3FCC" w:rsidP="00253488">
      <w:pPr>
        <w:widowControl w:val="0"/>
        <w:spacing w:line="500" w:lineRule="exact"/>
        <w:ind w:firstLineChars="200" w:firstLine="482"/>
        <w:jc w:val="both"/>
        <w:rPr>
          <w:rFonts w:ascii="Times New Roman" w:eastAsia="仿宋_GB2312" w:hAnsi="Times New Roman"/>
          <w:b/>
          <w:color w:val="000000"/>
          <w:kern w:val="2"/>
        </w:rPr>
      </w:pPr>
      <w:r>
        <w:rPr>
          <w:rFonts w:ascii="Times New Roman" w:eastAsia="仿宋_GB2312" w:hAnsi="Times New Roman"/>
          <w:b/>
          <w:color w:val="000000"/>
          <w:kern w:val="2"/>
        </w:rPr>
        <w:t>一、</w:t>
      </w:r>
      <w:bookmarkStart w:id="0" w:name="_GoBack"/>
      <w:bookmarkEnd w:id="0"/>
      <w:r w:rsidR="00991DFD" w:rsidRPr="00F85095">
        <w:rPr>
          <w:rFonts w:ascii="Times New Roman" w:eastAsia="仿宋_GB2312" w:hAnsi="Times New Roman" w:hint="eastAsia"/>
          <w:b/>
          <w:color w:val="000000"/>
          <w:kern w:val="2"/>
        </w:rPr>
        <w:t>调整收益分配原则</w:t>
      </w:r>
    </w:p>
    <w:p w:rsidR="009E3FCC" w:rsidRDefault="00694361" w:rsidP="00507376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 w:hint="eastAsia"/>
          <w:color w:val="000000"/>
          <w:kern w:val="2"/>
        </w:rPr>
      </w:pPr>
      <w:r w:rsidRPr="00694361">
        <w:rPr>
          <w:rFonts w:ascii="Times New Roman" w:eastAsia="仿宋_GB2312" w:hAnsi="Times New Roman" w:hint="eastAsia"/>
          <w:color w:val="000000"/>
          <w:kern w:val="2"/>
        </w:rPr>
        <w:t>本基金基金收益分配原则中，</w:t>
      </w:r>
      <w:r w:rsidR="008454C9">
        <w:rPr>
          <w:rFonts w:ascii="Times New Roman" w:eastAsia="仿宋_GB2312" w:hAnsi="Times New Roman" w:hint="eastAsia"/>
          <w:color w:val="000000"/>
          <w:kern w:val="2"/>
        </w:rPr>
        <w:t>增加</w:t>
      </w:r>
      <w:r w:rsidRPr="00694361">
        <w:rPr>
          <w:rFonts w:ascii="Times New Roman" w:eastAsia="仿宋_GB2312" w:hAnsi="Times New Roman" w:hint="eastAsia"/>
          <w:color w:val="000000"/>
          <w:kern w:val="2"/>
        </w:rPr>
        <w:t>“</w:t>
      </w:r>
      <w:r w:rsidR="00822174" w:rsidRPr="00822174">
        <w:rPr>
          <w:rFonts w:ascii="Times New Roman" w:eastAsia="仿宋_GB2312" w:hAnsi="Times New Roman" w:hint="eastAsia"/>
          <w:color w:val="000000"/>
          <w:kern w:val="2"/>
        </w:rPr>
        <w:t xml:space="preserve">4. </w:t>
      </w:r>
      <w:r w:rsidR="00822174" w:rsidRPr="00822174">
        <w:rPr>
          <w:rFonts w:ascii="Times New Roman" w:eastAsia="仿宋_GB2312" w:hAnsi="Times New Roman" w:hint="eastAsia"/>
          <w:color w:val="000000"/>
          <w:kern w:val="2"/>
        </w:rPr>
        <w:t>当本基金满足分红条件时，基于本基金的特点，可将上一评估周期内股利收入进行分配</w:t>
      </w:r>
      <w:r w:rsidR="008F1871">
        <w:rPr>
          <w:rFonts w:ascii="Times New Roman" w:eastAsia="仿宋_GB2312" w:hAnsi="Times New Roman" w:hint="eastAsia"/>
          <w:color w:val="000000"/>
          <w:kern w:val="2"/>
        </w:rPr>
        <w:t>；</w:t>
      </w:r>
      <w:r w:rsidRPr="00694361">
        <w:rPr>
          <w:rFonts w:ascii="Times New Roman" w:eastAsia="仿宋_GB2312" w:hAnsi="Times New Roman" w:hint="eastAsia"/>
          <w:color w:val="000000"/>
          <w:kern w:val="2"/>
        </w:rPr>
        <w:t>”</w:t>
      </w:r>
    </w:p>
    <w:p w:rsidR="009E3FCC" w:rsidRDefault="00A672C6">
      <w:pPr>
        <w:widowControl w:val="0"/>
        <w:spacing w:line="500" w:lineRule="exact"/>
        <w:ind w:firstLineChars="200" w:firstLine="482"/>
        <w:jc w:val="both"/>
        <w:rPr>
          <w:rFonts w:ascii="Times New Roman" w:eastAsia="仿宋_GB2312" w:hAnsi="Times New Roman"/>
          <w:b/>
          <w:color w:val="000000"/>
          <w:kern w:val="2"/>
        </w:rPr>
      </w:pPr>
      <w:r>
        <w:rPr>
          <w:rFonts w:ascii="Times New Roman" w:eastAsia="仿宋_GB2312" w:hAnsi="Times New Roman" w:hint="eastAsia"/>
          <w:b/>
          <w:color w:val="000000"/>
          <w:kern w:val="2"/>
        </w:rPr>
        <w:t>二</w:t>
      </w:r>
      <w:r w:rsidR="009E3FCC">
        <w:rPr>
          <w:rFonts w:ascii="Times New Roman" w:eastAsia="仿宋_GB2312" w:hAnsi="Times New Roman"/>
          <w:b/>
          <w:color w:val="000000"/>
          <w:kern w:val="2"/>
        </w:rPr>
        <w:t>、重要提示</w:t>
      </w:r>
    </w:p>
    <w:p w:rsidR="009E3FCC" w:rsidRDefault="009E3FCC" w:rsidP="00253488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 w:hint="eastAsia"/>
          <w:color w:val="000000"/>
          <w:kern w:val="2"/>
        </w:rPr>
        <w:t>1</w:t>
      </w:r>
      <w:r>
        <w:rPr>
          <w:rFonts w:ascii="Times New Roman" w:eastAsia="仿宋_GB2312" w:hAnsi="Times New Roman" w:hint="eastAsia"/>
          <w:color w:val="000000"/>
          <w:kern w:val="2"/>
        </w:rPr>
        <w:t>、</w:t>
      </w:r>
      <w:r>
        <w:rPr>
          <w:rFonts w:ascii="Times New Roman" w:eastAsia="仿宋_GB2312" w:hAnsi="Times New Roman"/>
          <w:color w:val="000000"/>
          <w:kern w:val="2"/>
        </w:rPr>
        <w:t>本基金</w:t>
      </w:r>
      <w:r w:rsidR="00C13A13">
        <w:rPr>
          <w:rFonts w:ascii="Times New Roman" w:eastAsia="仿宋_GB2312" w:hAnsi="Times New Roman" w:hint="eastAsia"/>
          <w:color w:val="000000"/>
          <w:kern w:val="2"/>
        </w:rPr>
        <w:t>调整</w:t>
      </w:r>
      <w:r w:rsidR="00DB322F" w:rsidRPr="00DB322F">
        <w:rPr>
          <w:rFonts w:ascii="Times New Roman" w:eastAsia="仿宋_GB2312" w:hAnsi="Times New Roman" w:hint="eastAsia"/>
          <w:color w:val="000000"/>
          <w:kern w:val="2"/>
        </w:rPr>
        <w:t>收益分配原则</w:t>
      </w:r>
      <w:r>
        <w:rPr>
          <w:rFonts w:ascii="Times New Roman" w:eastAsia="仿宋_GB2312" w:hAnsi="Times New Roman"/>
          <w:color w:val="000000"/>
          <w:kern w:val="2"/>
        </w:rPr>
        <w:t>并相</w:t>
      </w:r>
      <w:r>
        <w:rPr>
          <w:rFonts w:ascii="Times New Roman" w:eastAsia="仿宋_GB2312" w:hAnsi="Times New Roman" w:hint="eastAsia"/>
          <w:color w:val="000000"/>
          <w:kern w:val="2"/>
        </w:rPr>
        <w:t>应</w:t>
      </w:r>
      <w:r>
        <w:rPr>
          <w:rFonts w:ascii="Times New Roman" w:eastAsia="仿宋_GB2312" w:hAnsi="Times New Roman"/>
          <w:color w:val="000000"/>
          <w:kern w:val="2"/>
        </w:rPr>
        <w:t>修</w:t>
      </w:r>
      <w:r>
        <w:rPr>
          <w:rFonts w:ascii="Times New Roman" w:eastAsia="仿宋_GB2312" w:hAnsi="Times New Roman" w:hint="eastAsia"/>
          <w:color w:val="000000"/>
          <w:kern w:val="2"/>
        </w:rPr>
        <w:t>订</w:t>
      </w:r>
      <w:r>
        <w:rPr>
          <w:rFonts w:ascii="Times New Roman" w:eastAsia="仿宋_GB2312" w:hAnsi="Times New Roman"/>
          <w:color w:val="000000"/>
          <w:kern w:val="2"/>
        </w:rPr>
        <w:t>基金合同</w:t>
      </w:r>
      <w:r>
        <w:rPr>
          <w:rFonts w:ascii="Times New Roman" w:eastAsia="仿宋_GB2312" w:hAnsi="Times New Roman" w:hint="eastAsia"/>
          <w:color w:val="000000"/>
          <w:kern w:val="2"/>
        </w:rPr>
        <w:t>等</w:t>
      </w:r>
      <w:r>
        <w:rPr>
          <w:rFonts w:ascii="Times New Roman" w:eastAsia="仿宋_GB2312" w:hAnsi="Times New Roman"/>
          <w:color w:val="000000"/>
          <w:kern w:val="2"/>
        </w:rPr>
        <w:t>法律文件</w:t>
      </w:r>
      <w:r>
        <w:rPr>
          <w:rFonts w:ascii="Times New Roman" w:eastAsia="仿宋_GB2312" w:hAnsi="Times New Roman" w:hint="eastAsia"/>
          <w:color w:val="000000"/>
          <w:kern w:val="2"/>
        </w:rPr>
        <w:t>对</w:t>
      </w:r>
      <w:r>
        <w:rPr>
          <w:rFonts w:ascii="Times New Roman" w:eastAsia="仿宋_GB2312" w:hAnsi="Times New Roman"/>
          <w:color w:val="000000"/>
          <w:kern w:val="2"/>
        </w:rPr>
        <w:t>原有基金份</w:t>
      </w:r>
      <w:r>
        <w:rPr>
          <w:rFonts w:ascii="Times New Roman" w:eastAsia="仿宋_GB2312" w:hAnsi="Times New Roman" w:hint="eastAsia"/>
          <w:color w:val="000000"/>
          <w:kern w:val="2"/>
        </w:rPr>
        <w:t>额</w:t>
      </w:r>
      <w:r>
        <w:rPr>
          <w:rFonts w:ascii="Times New Roman" w:eastAsia="仿宋_GB2312" w:hAnsi="Times New Roman"/>
          <w:color w:val="000000"/>
          <w:kern w:val="2"/>
        </w:rPr>
        <w:t>持有人的利益无</w:t>
      </w:r>
      <w:r>
        <w:rPr>
          <w:rFonts w:ascii="Times New Roman" w:eastAsia="仿宋_GB2312" w:hAnsi="Times New Roman" w:hint="eastAsia"/>
          <w:color w:val="000000"/>
          <w:kern w:val="2"/>
        </w:rPr>
        <w:t>实质</w:t>
      </w:r>
      <w:r>
        <w:rPr>
          <w:rFonts w:ascii="Times New Roman" w:eastAsia="仿宋_GB2312" w:hAnsi="Times New Roman"/>
          <w:color w:val="000000"/>
          <w:kern w:val="2"/>
        </w:rPr>
        <w:t>性</w:t>
      </w:r>
      <w:r>
        <w:rPr>
          <w:rFonts w:ascii="Times New Roman" w:eastAsia="仿宋_GB2312" w:hAnsi="Times New Roman" w:hint="eastAsia"/>
          <w:color w:val="000000"/>
          <w:kern w:val="2"/>
        </w:rPr>
        <w:t>不利</w:t>
      </w:r>
      <w:r>
        <w:rPr>
          <w:rFonts w:ascii="Times New Roman" w:eastAsia="仿宋_GB2312" w:hAnsi="Times New Roman"/>
          <w:color w:val="000000"/>
          <w:kern w:val="2"/>
        </w:rPr>
        <w:t>影响，不需召开基金份</w:t>
      </w:r>
      <w:r>
        <w:rPr>
          <w:rFonts w:ascii="Times New Roman" w:eastAsia="仿宋_GB2312" w:hAnsi="Times New Roman" w:hint="eastAsia"/>
          <w:color w:val="000000"/>
          <w:kern w:val="2"/>
        </w:rPr>
        <w:t>额</w:t>
      </w:r>
      <w:r>
        <w:rPr>
          <w:rFonts w:ascii="Times New Roman" w:eastAsia="仿宋_GB2312" w:hAnsi="Times New Roman"/>
          <w:color w:val="000000"/>
          <w:kern w:val="2"/>
        </w:rPr>
        <w:t>持有人大会。此次修订已经履行了规定的程序，符合相关法律法规及基金合同的规定。</w:t>
      </w:r>
    </w:p>
    <w:p w:rsidR="009E3FCC" w:rsidRDefault="00F63DEB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 w:hint="eastAsia"/>
          <w:color w:val="000000"/>
          <w:kern w:val="2"/>
        </w:rPr>
        <w:t>2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、基金管理人对《</w:t>
      </w:r>
      <w:r w:rsidR="00BE09DD" w:rsidRPr="00BE09DD">
        <w:rPr>
          <w:rFonts w:ascii="Times New Roman" w:eastAsia="仿宋_GB2312" w:hAnsi="Times New Roman" w:hint="eastAsia"/>
          <w:color w:val="000000"/>
          <w:kern w:val="2"/>
        </w:rPr>
        <w:t>天弘中证红利低波动</w:t>
      </w:r>
      <w:r w:rsidR="00BE09DD" w:rsidRPr="00BE09DD">
        <w:rPr>
          <w:rFonts w:ascii="Times New Roman" w:eastAsia="仿宋_GB2312" w:hAnsi="Times New Roman" w:hint="eastAsia"/>
          <w:color w:val="000000"/>
          <w:kern w:val="2"/>
        </w:rPr>
        <w:t>100</w:t>
      </w:r>
      <w:r w:rsidR="00BE09DD" w:rsidRPr="00BE09DD">
        <w:rPr>
          <w:rFonts w:ascii="Times New Roman" w:eastAsia="仿宋_GB2312" w:hAnsi="Times New Roman" w:hint="eastAsia"/>
          <w:color w:val="000000"/>
          <w:kern w:val="2"/>
        </w:rPr>
        <w:t>交易型开放式指数证券投资基金联接基金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基金</w:t>
      </w:r>
      <w:r w:rsidR="009E3FCC">
        <w:rPr>
          <w:rFonts w:ascii="Times New Roman" w:eastAsia="仿宋_GB2312" w:hAnsi="Times New Roman"/>
          <w:color w:val="000000"/>
          <w:kern w:val="2"/>
        </w:rPr>
        <w:t>合同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》和《</w:t>
      </w:r>
      <w:r w:rsidR="00BE09DD" w:rsidRPr="00BE09DD">
        <w:rPr>
          <w:rFonts w:ascii="Times New Roman" w:eastAsia="仿宋_GB2312" w:hAnsi="Times New Roman" w:hint="eastAsia"/>
          <w:color w:val="000000"/>
          <w:kern w:val="2"/>
        </w:rPr>
        <w:t>天弘中证红利低波动</w:t>
      </w:r>
      <w:r w:rsidR="00BE09DD" w:rsidRPr="00BE09DD">
        <w:rPr>
          <w:rFonts w:ascii="Times New Roman" w:eastAsia="仿宋_GB2312" w:hAnsi="Times New Roman" w:hint="eastAsia"/>
          <w:color w:val="000000"/>
          <w:kern w:val="2"/>
        </w:rPr>
        <w:t>100</w:t>
      </w:r>
      <w:r w:rsidR="00BE09DD" w:rsidRPr="00BE09DD">
        <w:rPr>
          <w:rFonts w:ascii="Times New Roman" w:eastAsia="仿宋_GB2312" w:hAnsi="Times New Roman" w:hint="eastAsia"/>
          <w:color w:val="000000"/>
          <w:kern w:val="2"/>
        </w:rPr>
        <w:t>交易型开放式指数证券投资基金联接基金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招募说明书》</w:t>
      </w:r>
      <w:r w:rsidR="001C484C">
        <w:rPr>
          <w:rFonts w:ascii="Times New Roman" w:eastAsia="仿宋_GB2312" w:hAnsi="Times New Roman" w:hint="eastAsia"/>
          <w:color w:val="000000"/>
          <w:kern w:val="2"/>
        </w:rPr>
        <w:t>等法律文件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进行了相应修订。修订后的上述法律</w:t>
      </w:r>
      <w:r w:rsidR="009E3FCC">
        <w:rPr>
          <w:rFonts w:ascii="Times New Roman" w:eastAsia="仿宋_GB2312" w:hAnsi="Times New Roman"/>
          <w:color w:val="000000"/>
          <w:kern w:val="2"/>
        </w:rPr>
        <w:t>文件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自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202</w:t>
      </w:r>
      <w:r w:rsidR="003B44C8">
        <w:rPr>
          <w:rFonts w:ascii="Times New Roman" w:eastAsia="仿宋_GB2312" w:hAnsi="Times New Roman" w:hint="eastAsia"/>
          <w:color w:val="000000"/>
          <w:kern w:val="2"/>
        </w:rPr>
        <w:t>5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年</w:t>
      </w:r>
      <w:r w:rsidR="00E7234D">
        <w:rPr>
          <w:rFonts w:ascii="Times New Roman" w:eastAsia="仿宋_GB2312" w:hAnsi="Times New Roman" w:hint="eastAsia"/>
          <w:color w:val="000000"/>
          <w:kern w:val="2"/>
        </w:rPr>
        <w:t>11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月</w:t>
      </w:r>
      <w:r w:rsidR="00E7234D">
        <w:rPr>
          <w:rFonts w:ascii="Times New Roman" w:eastAsia="仿宋_GB2312" w:hAnsi="Times New Roman" w:hint="eastAsia"/>
          <w:color w:val="000000"/>
          <w:kern w:val="2"/>
        </w:rPr>
        <w:t>24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日起生效。</w:t>
      </w:r>
    </w:p>
    <w:p w:rsidR="009E3FCC" w:rsidRDefault="00830F1B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 w:hint="eastAsia"/>
          <w:color w:val="000000"/>
          <w:kern w:val="2"/>
        </w:rPr>
        <w:t>3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、</w:t>
      </w:r>
      <w:r w:rsidR="009E3FCC">
        <w:rPr>
          <w:rFonts w:ascii="Times New Roman" w:eastAsia="仿宋_GB2312" w:hAnsi="Times New Roman"/>
          <w:color w:val="000000"/>
          <w:kern w:val="2"/>
        </w:rPr>
        <w:t>投资者可登录本公司网站（</w:t>
      </w:r>
      <w:r w:rsidR="009E3FCC">
        <w:rPr>
          <w:rFonts w:ascii="Times New Roman" w:eastAsia="仿宋_GB2312" w:hAnsi="Times New Roman"/>
          <w:color w:val="000000"/>
          <w:kern w:val="2"/>
        </w:rPr>
        <w:t>www.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thfund</w:t>
      </w:r>
      <w:r w:rsidR="009E3FCC">
        <w:rPr>
          <w:rFonts w:ascii="Times New Roman" w:eastAsia="仿宋_GB2312" w:hAnsi="Times New Roman"/>
          <w:color w:val="000000"/>
          <w:kern w:val="2"/>
        </w:rPr>
        <w:t>.com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.cn</w:t>
      </w:r>
      <w:r w:rsidR="009E3FCC">
        <w:rPr>
          <w:rFonts w:ascii="Times New Roman" w:eastAsia="仿宋_GB2312" w:hAnsi="Times New Roman"/>
          <w:color w:val="000000"/>
          <w:kern w:val="2"/>
        </w:rPr>
        <w:t>）查阅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本基金</w:t>
      </w:r>
      <w:r w:rsidR="009E3FCC">
        <w:rPr>
          <w:rFonts w:ascii="Times New Roman" w:eastAsia="仿宋_GB2312" w:hAnsi="Times New Roman"/>
          <w:color w:val="000000"/>
          <w:kern w:val="2"/>
        </w:rPr>
        <w:t>修订后的</w:t>
      </w:r>
      <w:r w:rsidR="009E3FCC">
        <w:rPr>
          <w:rFonts w:ascii="Times New Roman" w:eastAsia="仿宋_GB2312" w:hAnsi="Times New Roman" w:hint="eastAsia"/>
          <w:color w:val="000000"/>
          <w:kern w:val="2"/>
        </w:rPr>
        <w:t>法律</w:t>
      </w:r>
      <w:r w:rsidR="009E3FCC">
        <w:rPr>
          <w:rFonts w:ascii="Times New Roman" w:eastAsia="仿宋_GB2312" w:hAnsi="Times New Roman"/>
          <w:color w:val="000000"/>
          <w:kern w:val="2"/>
        </w:rPr>
        <w:t>文件或拨打客户服务电话（</w:t>
      </w:r>
      <w:r w:rsidR="009E3FCC">
        <w:rPr>
          <w:rFonts w:ascii="Times New Roman" w:eastAsia="仿宋_GB2312" w:hAnsi="Times New Roman"/>
          <w:color w:val="000000"/>
          <w:kern w:val="2"/>
        </w:rPr>
        <w:t>95046</w:t>
      </w:r>
      <w:r w:rsidR="009E3FCC">
        <w:rPr>
          <w:rFonts w:ascii="Times New Roman" w:eastAsia="仿宋_GB2312" w:hAnsi="Times New Roman"/>
          <w:color w:val="000000"/>
          <w:kern w:val="2"/>
        </w:rPr>
        <w:t>）获取相关信息。</w:t>
      </w:r>
    </w:p>
    <w:p w:rsidR="009E3FCC" w:rsidRDefault="009E3FCC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/>
          <w:color w:val="000000"/>
          <w:kern w:val="2"/>
        </w:rPr>
        <w:t>风险提示：基金管理人承诺以诚实信用、勤勉尽责的原则管理和运用基金资产，</w:t>
      </w:r>
      <w:r>
        <w:rPr>
          <w:rFonts w:ascii="Times New Roman" w:eastAsia="仿宋_GB2312" w:hAnsi="Times New Roman"/>
          <w:color w:val="000000"/>
          <w:kern w:val="2"/>
        </w:rPr>
        <w:lastRenderedPageBreak/>
        <w:t>但不保证基金一定盈利，也不保证最低收益。投资者投资前应认真阅读基金的基金合同、招募说明书、</w:t>
      </w:r>
      <w:r>
        <w:rPr>
          <w:rFonts w:ascii="Times New Roman" w:eastAsia="仿宋_GB2312" w:hAnsi="Times New Roman" w:hint="eastAsia"/>
          <w:color w:val="000000"/>
          <w:kern w:val="2"/>
        </w:rPr>
        <w:t>基金产品资料概要等信息披露文件</w:t>
      </w:r>
      <w:r>
        <w:rPr>
          <w:rFonts w:ascii="Times New Roman" w:eastAsia="仿宋_GB2312" w:hAnsi="Times New Roman"/>
          <w:color w:val="000000"/>
          <w:kern w:val="2"/>
        </w:rPr>
        <w:t>。敬请投资者注意投资风险。</w:t>
      </w:r>
    </w:p>
    <w:p w:rsidR="009E3FCC" w:rsidRDefault="009E3FCC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/>
          <w:color w:val="000000"/>
          <w:kern w:val="2"/>
        </w:rPr>
        <w:t>特此公告。</w:t>
      </w:r>
    </w:p>
    <w:p w:rsidR="00651BAA" w:rsidRDefault="00651BAA">
      <w:pPr>
        <w:widowControl w:val="0"/>
        <w:spacing w:line="500" w:lineRule="exact"/>
        <w:ind w:firstLineChars="200" w:firstLine="480"/>
        <w:jc w:val="both"/>
        <w:rPr>
          <w:rFonts w:ascii="Times New Roman" w:eastAsia="仿宋_GB2312" w:hAnsi="Times New Roman" w:hint="eastAsia"/>
          <w:color w:val="000000"/>
          <w:kern w:val="2"/>
        </w:rPr>
      </w:pPr>
    </w:p>
    <w:p w:rsidR="009E3FCC" w:rsidRDefault="009E3FCC">
      <w:pPr>
        <w:widowControl w:val="0"/>
        <w:spacing w:line="500" w:lineRule="exact"/>
        <w:ind w:firstLineChars="200" w:firstLine="480"/>
        <w:jc w:val="right"/>
        <w:rPr>
          <w:rFonts w:ascii="Times New Roman" w:eastAsia="仿宋_GB2312" w:hAnsi="Times New Roman"/>
          <w:color w:val="000000"/>
          <w:kern w:val="2"/>
        </w:rPr>
      </w:pPr>
      <w:r>
        <w:rPr>
          <w:rFonts w:ascii="Times New Roman" w:eastAsia="仿宋_GB2312" w:hAnsi="Times New Roman" w:hint="eastAsia"/>
          <w:color w:val="000000"/>
          <w:kern w:val="2"/>
        </w:rPr>
        <w:t>天弘</w:t>
      </w:r>
      <w:r>
        <w:rPr>
          <w:rFonts w:ascii="Times New Roman" w:eastAsia="仿宋_GB2312" w:hAnsi="Times New Roman"/>
          <w:color w:val="000000"/>
          <w:kern w:val="2"/>
        </w:rPr>
        <w:t>基金管理有限公司</w:t>
      </w:r>
    </w:p>
    <w:p w:rsidR="00BE0B7B" w:rsidRDefault="009E3FCC">
      <w:pPr>
        <w:widowControl w:val="0"/>
        <w:spacing w:line="500" w:lineRule="exact"/>
        <w:ind w:firstLineChars="200" w:firstLine="480"/>
        <w:jc w:val="right"/>
        <w:rPr>
          <w:rFonts w:ascii="Times New Roman" w:eastAsia="仿宋_GB2312" w:hAnsi="Times New Roman" w:hint="eastAsia"/>
          <w:color w:val="000000"/>
          <w:kern w:val="2"/>
        </w:rPr>
      </w:pPr>
      <w:r>
        <w:rPr>
          <w:rFonts w:ascii="Times New Roman" w:eastAsia="仿宋_GB2312" w:hAnsi="Times New Roman" w:hint="eastAsia"/>
          <w:color w:val="000000"/>
          <w:kern w:val="2"/>
        </w:rPr>
        <w:t>二〇二</w:t>
      </w:r>
      <w:r w:rsidR="006637C5">
        <w:rPr>
          <w:rFonts w:ascii="Times New Roman" w:eastAsia="仿宋_GB2312" w:hAnsi="Times New Roman" w:hint="eastAsia"/>
          <w:color w:val="000000"/>
          <w:kern w:val="2"/>
        </w:rPr>
        <w:t>五</w:t>
      </w:r>
      <w:r>
        <w:rPr>
          <w:rFonts w:ascii="Times New Roman" w:eastAsia="仿宋_GB2312" w:hAnsi="Times New Roman"/>
          <w:color w:val="000000"/>
          <w:kern w:val="2"/>
        </w:rPr>
        <w:t>年</w:t>
      </w:r>
      <w:r w:rsidR="00927CE5">
        <w:rPr>
          <w:rFonts w:ascii="Times New Roman" w:eastAsia="仿宋_GB2312" w:hAnsi="Times New Roman" w:hint="eastAsia"/>
          <w:color w:val="000000"/>
          <w:kern w:val="2"/>
        </w:rPr>
        <w:t>十一</w:t>
      </w:r>
      <w:r>
        <w:rPr>
          <w:rFonts w:ascii="Times New Roman" w:eastAsia="仿宋_GB2312" w:hAnsi="Times New Roman"/>
          <w:color w:val="000000"/>
          <w:kern w:val="2"/>
        </w:rPr>
        <w:t>月</w:t>
      </w:r>
      <w:r w:rsidR="00927CE5">
        <w:rPr>
          <w:rFonts w:ascii="Times New Roman" w:eastAsia="仿宋_GB2312" w:hAnsi="Times New Roman" w:hint="eastAsia"/>
          <w:color w:val="000000"/>
          <w:kern w:val="2"/>
        </w:rPr>
        <w:t>二十</w:t>
      </w:r>
      <w:r w:rsidR="00BB2DED">
        <w:rPr>
          <w:rFonts w:ascii="Times New Roman" w:eastAsia="仿宋_GB2312" w:hAnsi="Times New Roman" w:hint="eastAsia"/>
          <w:color w:val="000000"/>
          <w:kern w:val="2"/>
        </w:rPr>
        <w:t>四</w:t>
      </w:r>
      <w:r>
        <w:rPr>
          <w:rFonts w:ascii="Times New Roman" w:eastAsia="仿宋_GB2312" w:hAnsi="Times New Roman"/>
          <w:color w:val="000000"/>
          <w:kern w:val="2"/>
        </w:rPr>
        <w:t>日</w:t>
      </w:r>
    </w:p>
    <w:p w:rsidR="009E3FCC" w:rsidRDefault="009E3FCC" w:rsidP="00F85095">
      <w:pPr>
        <w:widowControl w:val="0"/>
        <w:spacing w:line="500" w:lineRule="exact"/>
        <w:ind w:firstLineChars="200" w:firstLine="480"/>
        <w:jc w:val="right"/>
        <w:rPr>
          <w:rFonts w:hint="eastAsia"/>
        </w:rPr>
      </w:pPr>
    </w:p>
    <w:p w:rsidR="00646208" w:rsidRPr="00321384" w:rsidRDefault="00646208" w:rsidP="00321384">
      <w:pPr>
        <w:rPr>
          <w:rStyle w:val="af4"/>
          <w:rFonts w:hint="eastAsia"/>
        </w:rPr>
      </w:pPr>
    </w:p>
    <w:sectPr w:rsidR="00646208" w:rsidRPr="00321384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A2" w:rsidRDefault="00FD0EA2" w:rsidP="002B1077">
      <w:r>
        <w:separator/>
      </w:r>
    </w:p>
  </w:endnote>
  <w:endnote w:type="continuationSeparator" w:id="0">
    <w:p w:rsidR="00FD0EA2" w:rsidRDefault="00FD0EA2" w:rsidP="002B10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A2" w:rsidRDefault="00FD0EA2" w:rsidP="002B1077">
      <w:r>
        <w:separator/>
      </w:r>
    </w:p>
  </w:footnote>
  <w:footnote w:type="continuationSeparator" w:id="0">
    <w:p w:rsidR="00FD0EA2" w:rsidRDefault="00FD0EA2" w:rsidP="002B10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9" w:rsidRDefault="00FA1D99" w:rsidP="00FA1D99">
    <w:pPr>
      <w:pStyle w:val="a9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D99" w:rsidRDefault="00FA1D99" w:rsidP="00FA1D99">
    <w:pPr>
      <w:pStyle w:val="a9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zdmZTkwNTMwODZkOTdmMTU2OTFiNTk5ZWQwYWM2YjMifQ=="/>
  </w:docVars>
  <w:rsids>
    <w:rsidRoot w:val="00897F1B"/>
    <w:rsid w:val="0000324E"/>
    <w:rsid w:val="0001203B"/>
    <w:rsid w:val="0001644D"/>
    <w:rsid w:val="00020D8D"/>
    <w:rsid w:val="00022927"/>
    <w:rsid w:val="0002304D"/>
    <w:rsid w:val="00023536"/>
    <w:rsid w:val="00024A68"/>
    <w:rsid w:val="0002739D"/>
    <w:rsid w:val="00027C73"/>
    <w:rsid w:val="0003110B"/>
    <w:rsid w:val="000329F8"/>
    <w:rsid w:val="00035D2D"/>
    <w:rsid w:val="0004260E"/>
    <w:rsid w:val="000442B8"/>
    <w:rsid w:val="000470B6"/>
    <w:rsid w:val="00050D34"/>
    <w:rsid w:val="000534FD"/>
    <w:rsid w:val="00055D7D"/>
    <w:rsid w:val="00055FC7"/>
    <w:rsid w:val="00057EF3"/>
    <w:rsid w:val="000625A4"/>
    <w:rsid w:val="000700AD"/>
    <w:rsid w:val="00070E87"/>
    <w:rsid w:val="00071858"/>
    <w:rsid w:val="00072F6A"/>
    <w:rsid w:val="0007306C"/>
    <w:rsid w:val="000738DA"/>
    <w:rsid w:val="00077655"/>
    <w:rsid w:val="0007782C"/>
    <w:rsid w:val="0008753E"/>
    <w:rsid w:val="00090F2A"/>
    <w:rsid w:val="000942D8"/>
    <w:rsid w:val="00094A34"/>
    <w:rsid w:val="00094A8F"/>
    <w:rsid w:val="000A132E"/>
    <w:rsid w:val="000A372E"/>
    <w:rsid w:val="000A40FD"/>
    <w:rsid w:val="000A7528"/>
    <w:rsid w:val="000B1778"/>
    <w:rsid w:val="000B695D"/>
    <w:rsid w:val="000C2907"/>
    <w:rsid w:val="000C2B80"/>
    <w:rsid w:val="000C5B23"/>
    <w:rsid w:val="000C7336"/>
    <w:rsid w:val="000D1E33"/>
    <w:rsid w:val="000D27D8"/>
    <w:rsid w:val="000D3DE2"/>
    <w:rsid w:val="000D49C9"/>
    <w:rsid w:val="000D6BEA"/>
    <w:rsid w:val="000E158B"/>
    <w:rsid w:val="000F1DD7"/>
    <w:rsid w:val="000F500F"/>
    <w:rsid w:val="001058D0"/>
    <w:rsid w:val="00107584"/>
    <w:rsid w:val="001133A6"/>
    <w:rsid w:val="0011374D"/>
    <w:rsid w:val="001227AC"/>
    <w:rsid w:val="001229B9"/>
    <w:rsid w:val="001235F4"/>
    <w:rsid w:val="0013245E"/>
    <w:rsid w:val="001345A3"/>
    <w:rsid w:val="00135D8D"/>
    <w:rsid w:val="0013714D"/>
    <w:rsid w:val="0014162F"/>
    <w:rsid w:val="0014359B"/>
    <w:rsid w:val="00143EEA"/>
    <w:rsid w:val="00145714"/>
    <w:rsid w:val="00150AEA"/>
    <w:rsid w:val="00151B77"/>
    <w:rsid w:val="001547FA"/>
    <w:rsid w:val="00157642"/>
    <w:rsid w:val="00163042"/>
    <w:rsid w:val="00165058"/>
    <w:rsid w:val="0016709E"/>
    <w:rsid w:val="00167368"/>
    <w:rsid w:val="001714A4"/>
    <w:rsid w:val="00172280"/>
    <w:rsid w:val="001777DE"/>
    <w:rsid w:val="00177C6F"/>
    <w:rsid w:val="001830A6"/>
    <w:rsid w:val="00184AB4"/>
    <w:rsid w:val="001862EF"/>
    <w:rsid w:val="00186F15"/>
    <w:rsid w:val="001931F6"/>
    <w:rsid w:val="00193AC9"/>
    <w:rsid w:val="00195809"/>
    <w:rsid w:val="00195EA0"/>
    <w:rsid w:val="00196486"/>
    <w:rsid w:val="0019749D"/>
    <w:rsid w:val="001A3068"/>
    <w:rsid w:val="001A790A"/>
    <w:rsid w:val="001B107D"/>
    <w:rsid w:val="001B1333"/>
    <w:rsid w:val="001B3C30"/>
    <w:rsid w:val="001B4B1A"/>
    <w:rsid w:val="001B5B40"/>
    <w:rsid w:val="001B6715"/>
    <w:rsid w:val="001B7E35"/>
    <w:rsid w:val="001C0E6D"/>
    <w:rsid w:val="001C1FEB"/>
    <w:rsid w:val="001C484C"/>
    <w:rsid w:val="001C550C"/>
    <w:rsid w:val="001C677A"/>
    <w:rsid w:val="001C7C8D"/>
    <w:rsid w:val="001C7D33"/>
    <w:rsid w:val="001D17BD"/>
    <w:rsid w:val="001D413E"/>
    <w:rsid w:val="001D4D87"/>
    <w:rsid w:val="001D530E"/>
    <w:rsid w:val="001D7EBA"/>
    <w:rsid w:val="001E0D64"/>
    <w:rsid w:val="001E27A9"/>
    <w:rsid w:val="001E7871"/>
    <w:rsid w:val="001F0FC4"/>
    <w:rsid w:val="001F2311"/>
    <w:rsid w:val="001F2FB7"/>
    <w:rsid w:val="001F4AF5"/>
    <w:rsid w:val="002004CB"/>
    <w:rsid w:val="002009CC"/>
    <w:rsid w:val="0020120E"/>
    <w:rsid w:val="00202194"/>
    <w:rsid w:val="002026F7"/>
    <w:rsid w:val="002038CC"/>
    <w:rsid w:val="00205246"/>
    <w:rsid w:val="00205826"/>
    <w:rsid w:val="00207F49"/>
    <w:rsid w:val="00220EA1"/>
    <w:rsid w:val="002241E2"/>
    <w:rsid w:val="00226549"/>
    <w:rsid w:val="00226633"/>
    <w:rsid w:val="00227179"/>
    <w:rsid w:val="00227C9B"/>
    <w:rsid w:val="00232608"/>
    <w:rsid w:val="00234BC4"/>
    <w:rsid w:val="00245213"/>
    <w:rsid w:val="00245227"/>
    <w:rsid w:val="00250969"/>
    <w:rsid w:val="002516FA"/>
    <w:rsid w:val="00253488"/>
    <w:rsid w:val="002602ED"/>
    <w:rsid w:val="00262130"/>
    <w:rsid w:val="00271010"/>
    <w:rsid w:val="00272C8A"/>
    <w:rsid w:val="00273FE3"/>
    <w:rsid w:val="00275449"/>
    <w:rsid w:val="00281032"/>
    <w:rsid w:val="00285220"/>
    <w:rsid w:val="00286F41"/>
    <w:rsid w:val="00287C4B"/>
    <w:rsid w:val="0029178A"/>
    <w:rsid w:val="00296B41"/>
    <w:rsid w:val="00297BEA"/>
    <w:rsid w:val="002A1C44"/>
    <w:rsid w:val="002A33B1"/>
    <w:rsid w:val="002A3A43"/>
    <w:rsid w:val="002A442E"/>
    <w:rsid w:val="002A6881"/>
    <w:rsid w:val="002A6C9E"/>
    <w:rsid w:val="002B017F"/>
    <w:rsid w:val="002B0B89"/>
    <w:rsid w:val="002B1077"/>
    <w:rsid w:val="002B17AC"/>
    <w:rsid w:val="002B4C81"/>
    <w:rsid w:val="002B507E"/>
    <w:rsid w:val="002B59C0"/>
    <w:rsid w:val="002C2EDA"/>
    <w:rsid w:val="002C2F06"/>
    <w:rsid w:val="002C39EB"/>
    <w:rsid w:val="002C4213"/>
    <w:rsid w:val="002D0A5D"/>
    <w:rsid w:val="002D21E9"/>
    <w:rsid w:val="002D3462"/>
    <w:rsid w:val="002E2074"/>
    <w:rsid w:val="002E45DF"/>
    <w:rsid w:val="002E70DC"/>
    <w:rsid w:val="002F313A"/>
    <w:rsid w:val="002F4342"/>
    <w:rsid w:val="002F6D86"/>
    <w:rsid w:val="003004FF"/>
    <w:rsid w:val="00302198"/>
    <w:rsid w:val="003024A3"/>
    <w:rsid w:val="00302580"/>
    <w:rsid w:val="00302A5E"/>
    <w:rsid w:val="0030616B"/>
    <w:rsid w:val="00311B8F"/>
    <w:rsid w:val="00313EAD"/>
    <w:rsid w:val="00314399"/>
    <w:rsid w:val="003144CF"/>
    <w:rsid w:val="00315FA3"/>
    <w:rsid w:val="00315FD6"/>
    <w:rsid w:val="003160FB"/>
    <w:rsid w:val="003168D5"/>
    <w:rsid w:val="00321384"/>
    <w:rsid w:val="003223E0"/>
    <w:rsid w:val="00332BFA"/>
    <w:rsid w:val="00334A89"/>
    <w:rsid w:val="003421F1"/>
    <w:rsid w:val="00342583"/>
    <w:rsid w:val="00347E54"/>
    <w:rsid w:val="00353D2D"/>
    <w:rsid w:val="0035528D"/>
    <w:rsid w:val="00356244"/>
    <w:rsid w:val="003562A1"/>
    <w:rsid w:val="00357D42"/>
    <w:rsid w:val="00371185"/>
    <w:rsid w:val="003713AA"/>
    <w:rsid w:val="00372067"/>
    <w:rsid w:val="003814E2"/>
    <w:rsid w:val="00386695"/>
    <w:rsid w:val="003875AE"/>
    <w:rsid w:val="0039001B"/>
    <w:rsid w:val="00390BA0"/>
    <w:rsid w:val="00394A7A"/>
    <w:rsid w:val="00395439"/>
    <w:rsid w:val="00395F08"/>
    <w:rsid w:val="003A58D8"/>
    <w:rsid w:val="003A5944"/>
    <w:rsid w:val="003B1182"/>
    <w:rsid w:val="003B123E"/>
    <w:rsid w:val="003B281D"/>
    <w:rsid w:val="003B44C8"/>
    <w:rsid w:val="003B591A"/>
    <w:rsid w:val="003B68FD"/>
    <w:rsid w:val="003C01B2"/>
    <w:rsid w:val="003C2021"/>
    <w:rsid w:val="003C2352"/>
    <w:rsid w:val="003C471C"/>
    <w:rsid w:val="003C4EB3"/>
    <w:rsid w:val="003C6895"/>
    <w:rsid w:val="003D13E6"/>
    <w:rsid w:val="003D3C80"/>
    <w:rsid w:val="003D4314"/>
    <w:rsid w:val="003D4FE8"/>
    <w:rsid w:val="003D7219"/>
    <w:rsid w:val="003E00DE"/>
    <w:rsid w:val="003E07B6"/>
    <w:rsid w:val="003E080D"/>
    <w:rsid w:val="003E4B9A"/>
    <w:rsid w:val="003E71C0"/>
    <w:rsid w:val="003F1BFD"/>
    <w:rsid w:val="003F2550"/>
    <w:rsid w:val="003F2EAE"/>
    <w:rsid w:val="003F49DD"/>
    <w:rsid w:val="00403055"/>
    <w:rsid w:val="00403490"/>
    <w:rsid w:val="00404007"/>
    <w:rsid w:val="004045AB"/>
    <w:rsid w:val="00405B5D"/>
    <w:rsid w:val="004127BE"/>
    <w:rsid w:val="004177EE"/>
    <w:rsid w:val="00420560"/>
    <w:rsid w:val="0042453A"/>
    <w:rsid w:val="00432215"/>
    <w:rsid w:val="00434119"/>
    <w:rsid w:val="004410FE"/>
    <w:rsid w:val="00444769"/>
    <w:rsid w:val="004617E3"/>
    <w:rsid w:val="00461884"/>
    <w:rsid w:val="00461B61"/>
    <w:rsid w:val="00463DE3"/>
    <w:rsid w:val="00464444"/>
    <w:rsid w:val="00464DE2"/>
    <w:rsid w:val="004652C6"/>
    <w:rsid w:val="00467107"/>
    <w:rsid w:val="00467330"/>
    <w:rsid w:val="00467902"/>
    <w:rsid w:val="004721D1"/>
    <w:rsid w:val="0047585B"/>
    <w:rsid w:val="00480DC0"/>
    <w:rsid w:val="00481DEF"/>
    <w:rsid w:val="00490555"/>
    <w:rsid w:val="00494D8B"/>
    <w:rsid w:val="004959F0"/>
    <w:rsid w:val="00496263"/>
    <w:rsid w:val="00496CFC"/>
    <w:rsid w:val="004A63B6"/>
    <w:rsid w:val="004B7933"/>
    <w:rsid w:val="004C0348"/>
    <w:rsid w:val="004C1676"/>
    <w:rsid w:val="004C7549"/>
    <w:rsid w:val="004C7E5A"/>
    <w:rsid w:val="004D32DE"/>
    <w:rsid w:val="004D3EAF"/>
    <w:rsid w:val="004D6D3F"/>
    <w:rsid w:val="004E1500"/>
    <w:rsid w:val="004E1747"/>
    <w:rsid w:val="004E6663"/>
    <w:rsid w:val="004F20D9"/>
    <w:rsid w:val="004F6EBF"/>
    <w:rsid w:val="00500932"/>
    <w:rsid w:val="00507376"/>
    <w:rsid w:val="0051419D"/>
    <w:rsid w:val="00515690"/>
    <w:rsid w:val="00517983"/>
    <w:rsid w:val="00517B8C"/>
    <w:rsid w:val="00521BE4"/>
    <w:rsid w:val="00526AF0"/>
    <w:rsid w:val="00540EE1"/>
    <w:rsid w:val="00543E10"/>
    <w:rsid w:val="00545C93"/>
    <w:rsid w:val="00551BAB"/>
    <w:rsid w:val="00554F06"/>
    <w:rsid w:val="00557F26"/>
    <w:rsid w:val="005627B7"/>
    <w:rsid w:val="005639CB"/>
    <w:rsid w:val="00565ECA"/>
    <w:rsid w:val="00571623"/>
    <w:rsid w:val="00571A23"/>
    <w:rsid w:val="005758A0"/>
    <w:rsid w:val="00577B56"/>
    <w:rsid w:val="00585440"/>
    <w:rsid w:val="00586D5F"/>
    <w:rsid w:val="005875DF"/>
    <w:rsid w:val="005876FC"/>
    <w:rsid w:val="00595D07"/>
    <w:rsid w:val="00596545"/>
    <w:rsid w:val="0059707E"/>
    <w:rsid w:val="005A12AA"/>
    <w:rsid w:val="005A2F68"/>
    <w:rsid w:val="005A7413"/>
    <w:rsid w:val="005B15BC"/>
    <w:rsid w:val="005B2715"/>
    <w:rsid w:val="005B2A65"/>
    <w:rsid w:val="005B340A"/>
    <w:rsid w:val="005B4EF5"/>
    <w:rsid w:val="005C6A03"/>
    <w:rsid w:val="005C6EA5"/>
    <w:rsid w:val="005D3E73"/>
    <w:rsid w:val="005D647E"/>
    <w:rsid w:val="005D7D20"/>
    <w:rsid w:val="005E2809"/>
    <w:rsid w:val="005E3DC0"/>
    <w:rsid w:val="005E4EA1"/>
    <w:rsid w:val="005F1690"/>
    <w:rsid w:val="005F519F"/>
    <w:rsid w:val="005F7502"/>
    <w:rsid w:val="006026D6"/>
    <w:rsid w:val="0061192A"/>
    <w:rsid w:val="006150FB"/>
    <w:rsid w:val="00615328"/>
    <w:rsid w:val="00622058"/>
    <w:rsid w:val="0063297B"/>
    <w:rsid w:val="00634001"/>
    <w:rsid w:val="00637B7E"/>
    <w:rsid w:val="006411F7"/>
    <w:rsid w:val="00642A51"/>
    <w:rsid w:val="00644347"/>
    <w:rsid w:val="00645071"/>
    <w:rsid w:val="00646208"/>
    <w:rsid w:val="00646209"/>
    <w:rsid w:val="00646445"/>
    <w:rsid w:val="00651BAA"/>
    <w:rsid w:val="0065301C"/>
    <w:rsid w:val="00653764"/>
    <w:rsid w:val="00653848"/>
    <w:rsid w:val="00661AA1"/>
    <w:rsid w:val="006637C5"/>
    <w:rsid w:val="00667E4C"/>
    <w:rsid w:val="00675722"/>
    <w:rsid w:val="006769B4"/>
    <w:rsid w:val="006817F1"/>
    <w:rsid w:val="00683166"/>
    <w:rsid w:val="006837E0"/>
    <w:rsid w:val="006902FF"/>
    <w:rsid w:val="00694361"/>
    <w:rsid w:val="00694BCA"/>
    <w:rsid w:val="00695873"/>
    <w:rsid w:val="006A08F5"/>
    <w:rsid w:val="006A17F5"/>
    <w:rsid w:val="006A5D64"/>
    <w:rsid w:val="006A6CB3"/>
    <w:rsid w:val="006B1AB1"/>
    <w:rsid w:val="006B43A5"/>
    <w:rsid w:val="006B52B4"/>
    <w:rsid w:val="006B6904"/>
    <w:rsid w:val="006B7E14"/>
    <w:rsid w:val="006C1AC4"/>
    <w:rsid w:val="006C2BF4"/>
    <w:rsid w:val="006C2CBA"/>
    <w:rsid w:val="006C4E83"/>
    <w:rsid w:val="006C64B2"/>
    <w:rsid w:val="006D08DC"/>
    <w:rsid w:val="006D1C29"/>
    <w:rsid w:val="006D25A8"/>
    <w:rsid w:val="006D3397"/>
    <w:rsid w:val="006D4AA9"/>
    <w:rsid w:val="006D7FF5"/>
    <w:rsid w:val="006E02A4"/>
    <w:rsid w:val="006E3241"/>
    <w:rsid w:val="006E3F33"/>
    <w:rsid w:val="006F4AC1"/>
    <w:rsid w:val="006F4ECC"/>
    <w:rsid w:val="006F6453"/>
    <w:rsid w:val="007006E8"/>
    <w:rsid w:val="00706BBE"/>
    <w:rsid w:val="00711C82"/>
    <w:rsid w:val="00716506"/>
    <w:rsid w:val="00716B18"/>
    <w:rsid w:val="007236DF"/>
    <w:rsid w:val="0072541E"/>
    <w:rsid w:val="007264C2"/>
    <w:rsid w:val="007275A7"/>
    <w:rsid w:val="00733B4F"/>
    <w:rsid w:val="00734A7E"/>
    <w:rsid w:val="00741643"/>
    <w:rsid w:val="00743FBC"/>
    <w:rsid w:val="00761CB1"/>
    <w:rsid w:val="00766791"/>
    <w:rsid w:val="00766C49"/>
    <w:rsid w:val="007734B2"/>
    <w:rsid w:val="00797C9D"/>
    <w:rsid w:val="00797ECA"/>
    <w:rsid w:val="007A11E5"/>
    <w:rsid w:val="007A5042"/>
    <w:rsid w:val="007A6360"/>
    <w:rsid w:val="007B5034"/>
    <w:rsid w:val="007C3129"/>
    <w:rsid w:val="007C438E"/>
    <w:rsid w:val="007C468A"/>
    <w:rsid w:val="007C7125"/>
    <w:rsid w:val="007C7613"/>
    <w:rsid w:val="007C7D01"/>
    <w:rsid w:val="007E2CC1"/>
    <w:rsid w:val="007E76C4"/>
    <w:rsid w:val="007F071E"/>
    <w:rsid w:val="00802274"/>
    <w:rsid w:val="00803F5A"/>
    <w:rsid w:val="00807F51"/>
    <w:rsid w:val="00811C88"/>
    <w:rsid w:val="00813EFB"/>
    <w:rsid w:val="008202E9"/>
    <w:rsid w:val="0082121B"/>
    <w:rsid w:val="00822174"/>
    <w:rsid w:val="00824DA6"/>
    <w:rsid w:val="00825309"/>
    <w:rsid w:val="00830F1B"/>
    <w:rsid w:val="00837178"/>
    <w:rsid w:val="0084414F"/>
    <w:rsid w:val="008454A1"/>
    <w:rsid w:val="008454C9"/>
    <w:rsid w:val="008463CB"/>
    <w:rsid w:val="008476B1"/>
    <w:rsid w:val="00856CA1"/>
    <w:rsid w:val="00860486"/>
    <w:rsid w:val="008616FC"/>
    <w:rsid w:val="00862606"/>
    <w:rsid w:val="00863163"/>
    <w:rsid w:val="008640E8"/>
    <w:rsid w:val="008745E1"/>
    <w:rsid w:val="00875EAF"/>
    <w:rsid w:val="00882DDC"/>
    <w:rsid w:val="0088480E"/>
    <w:rsid w:val="00884BDA"/>
    <w:rsid w:val="00885DE7"/>
    <w:rsid w:val="00885F2C"/>
    <w:rsid w:val="008910ED"/>
    <w:rsid w:val="00894048"/>
    <w:rsid w:val="00897F1B"/>
    <w:rsid w:val="008A00F5"/>
    <w:rsid w:val="008A2886"/>
    <w:rsid w:val="008A29A5"/>
    <w:rsid w:val="008A6EEE"/>
    <w:rsid w:val="008D07E4"/>
    <w:rsid w:val="008D124C"/>
    <w:rsid w:val="008D1856"/>
    <w:rsid w:val="008D50B7"/>
    <w:rsid w:val="008D5B58"/>
    <w:rsid w:val="008D7B9E"/>
    <w:rsid w:val="008E381F"/>
    <w:rsid w:val="008E3FDB"/>
    <w:rsid w:val="008E5159"/>
    <w:rsid w:val="008F0C75"/>
    <w:rsid w:val="008F1871"/>
    <w:rsid w:val="008F7B34"/>
    <w:rsid w:val="00900732"/>
    <w:rsid w:val="00902183"/>
    <w:rsid w:val="009107E7"/>
    <w:rsid w:val="0091576C"/>
    <w:rsid w:val="00916D92"/>
    <w:rsid w:val="0091729C"/>
    <w:rsid w:val="009244A5"/>
    <w:rsid w:val="00926337"/>
    <w:rsid w:val="00927AF4"/>
    <w:rsid w:val="00927CE5"/>
    <w:rsid w:val="00933056"/>
    <w:rsid w:val="009336D9"/>
    <w:rsid w:val="0093631C"/>
    <w:rsid w:val="0093702D"/>
    <w:rsid w:val="00950B9E"/>
    <w:rsid w:val="00951DD4"/>
    <w:rsid w:val="00953DB9"/>
    <w:rsid w:val="00955769"/>
    <w:rsid w:val="00971606"/>
    <w:rsid w:val="00972C4C"/>
    <w:rsid w:val="00974BB7"/>
    <w:rsid w:val="00984BE0"/>
    <w:rsid w:val="00985284"/>
    <w:rsid w:val="00991DFD"/>
    <w:rsid w:val="00992C1D"/>
    <w:rsid w:val="00992E56"/>
    <w:rsid w:val="00993D92"/>
    <w:rsid w:val="00995FC9"/>
    <w:rsid w:val="009B024B"/>
    <w:rsid w:val="009B3C0B"/>
    <w:rsid w:val="009B4325"/>
    <w:rsid w:val="009B45A6"/>
    <w:rsid w:val="009B62A6"/>
    <w:rsid w:val="009B7844"/>
    <w:rsid w:val="009C2E46"/>
    <w:rsid w:val="009C5332"/>
    <w:rsid w:val="009C66E3"/>
    <w:rsid w:val="009D0DD4"/>
    <w:rsid w:val="009D1553"/>
    <w:rsid w:val="009D1581"/>
    <w:rsid w:val="009D26EE"/>
    <w:rsid w:val="009D5E79"/>
    <w:rsid w:val="009D6C20"/>
    <w:rsid w:val="009E19AF"/>
    <w:rsid w:val="009E25B3"/>
    <w:rsid w:val="009E29B6"/>
    <w:rsid w:val="009E3B10"/>
    <w:rsid w:val="009E3FCC"/>
    <w:rsid w:val="009F58F9"/>
    <w:rsid w:val="00A00A7F"/>
    <w:rsid w:val="00A012FF"/>
    <w:rsid w:val="00A0780F"/>
    <w:rsid w:val="00A0781D"/>
    <w:rsid w:val="00A1267F"/>
    <w:rsid w:val="00A12D20"/>
    <w:rsid w:val="00A12E1C"/>
    <w:rsid w:val="00A1514B"/>
    <w:rsid w:val="00A2034C"/>
    <w:rsid w:val="00A249BD"/>
    <w:rsid w:val="00A27F1D"/>
    <w:rsid w:val="00A362A5"/>
    <w:rsid w:val="00A36B9F"/>
    <w:rsid w:val="00A40961"/>
    <w:rsid w:val="00A44301"/>
    <w:rsid w:val="00A477BD"/>
    <w:rsid w:val="00A537CC"/>
    <w:rsid w:val="00A54B43"/>
    <w:rsid w:val="00A56235"/>
    <w:rsid w:val="00A57708"/>
    <w:rsid w:val="00A614B5"/>
    <w:rsid w:val="00A6706C"/>
    <w:rsid w:val="00A672C6"/>
    <w:rsid w:val="00A7295D"/>
    <w:rsid w:val="00A72FAE"/>
    <w:rsid w:val="00A73D24"/>
    <w:rsid w:val="00A81C5C"/>
    <w:rsid w:val="00A8222E"/>
    <w:rsid w:val="00A86985"/>
    <w:rsid w:val="00A90394"/>
    <w:rsid w:val="00A937F0"/>
    <w:rsid w:val="00A94323"/>
    <w:rsid w:val="00A949BA"/>
    <w:rsid w:val="00A95A7C"/>
    <w:rsid w:val="00AB1EF9"/>
    <w:rsid w:val="00AB6097"/>
    <w:rsid w:val="00AB6F0B"/>
    <w:rsid w:val="00AB7FF5"/>
    <w:rsid w:val="00AC0B4D"/>
    <w:rsid w:val="00AC1B40"/>
    <w:rsid w:val="00AC2F89"/>
    <w:rsid w:val="00AC4EA2"/>
    <w:rsid w:val="00AC5CBF"/>
    <w:rsid w:val="00AC6663"/>
    <w:rsid w:val="00AD0B0D"/>
    <w:rsid w:val="00AD46B9"/>
    <w:rsid w:val="00AE373E"/>
    <w:rsid w:val="00AE562E"/>
    <w:rsid w:val="00AF075C"/>
    <w:rsid w:val="00AF15D2"/>
    <w:rsid w:val="00AF1F71"/>
    <w:rsid w:val="00B02DEB"/>
    <w:rsid w:val="00B0373B"/>
    <w:rsid w:val="00B039CF"/>
    <w:rsid w:val="00B05AC9"/>
    <w:rsid w:val="00B0603B"/>
    <w:rsid w:val="00B1056F"/>
    <w:rsid w:val="00B10935"/>
    <w:rsid w:val="00B2043B"/>
    <w:rsid w:val="00B238F6"/>
    <w:rsid w:val="00B261C0"/>
    <w:rsid w:val="00B26779"/>
    <w:rsid w:val="00B30FD1"/>
    <w:rsid w:val="00B3629C"/>
    <w:rsid w:val="00B43442"/>
    <w:rsid w:val="00B43C0B"/>
    <w:rsid w:val="00B43F23"/>
    <w:rsid w:val="00B46B13"/>
    <w:rsid w:val="00B477AC"/>
    <w:rsid w:val="00B478B7"/>
    <w:rsid w:val="00B523A3"/>
    <w:rsid w:val="00B52B9A"/>
    <w:rsid w:val="00B536B0"/>
    <w:rsid w:val="00B61690"/>
    <w:rsid w:val="00B646C1"/>
    <w:rsid w:val="00B674EA"/>
    <w:rsid w:val="00B67848"/>
    <w:rsid w:val="00B701F6"/>
    <w:rsid w:val="00B737F5"/>
    <w:rsid w:val="00B751D3"/>
    <w:rsid w:val="00B80446"/>
    <w:rsid w:val="00B811EE"/>
    <w:rsid w:val="00B836B3"/>
    <w:rsid w:val="00B862D8"/>
    <w:rsid w:val="00B91157"/>
    <w:rsid w:val="00B94290"/>
    <w:rsid w:val="00BA5694"/>
    <w:rsid w:val="00BA5959"/>
    <w:rsid w:val="00BB0714"/>
    <w:rsid w:val="00BB0860"/>
    <w:rsid w:val="00BB258B"/>
    <w:rsid w:val="00BB2DED"/>
    <w:rsid w:val="00BB748D"/>
    <w:rsid w:val="00BB76B9"/>
    <w:rsid w:val="00BC0A68"/>
    <w:rsid w:val="00BC47F8"/>
    <w:rsid w:val="00BC5383"/>
    <w:rsid w:val="00BC57B3"/>
    <w:rsid w:val="00BC7246"/>
    <w:rsid w:val="00BC7521"/>
    <w:rsid w:val="00BD3C29"/>
    <w:rsid w:val="00BD564C"/>
    <w:rsid w:val="00BD6930"/>
    <w:rsid w:val="00BE09DD"/>
    <w:rsid w:val="00BE0B7B"/>
    <w:rsid w:val="00BE331F"/>
    <w:rsid w:val="00BE443E"/>
    <w:rsid w:val="00BE45B8"/>
    <w:rsid w:val="00BE65EC"/>
    <w:rsid w:val="00BF069E"/>
    <w:rsid w:val="00BF5326"/>
    <w:rsid w:val="00BF767A"/>
    <w:rsid w:val="00C01E48"/>
    <w:rsid w:val="00C042A3"/>
    <w:rsid w:val="00C06132"/>
    <w:rsid w:val="00C0781A"/>
    <w:rsid w:val="00C10D6E"/>
    <w:rsid w:val="00C11B9F"/>
    <w:rsid w:val="00C12C6C"/>
    <w:rsid w:val="00C12F10"/>
    <w:rsid w:val="00C12F37"/>
    <w:rsid w:val="00C13A13"/>
    <w:rsid w:val="00C20ACB"/>
    <w:rsid w:val="00C24208"/>
    <w:rsid w:val="00C243AD"/>
    <w:rsid w:val="00C24B28"/>
    <w:rsid w:val="00C25D57"/>
    <w:rsid w:val="00C25E04"/>
    <w:rsid w:val="00C33187"/>
    <w:rsid w:val="00C337CE"/>
    <w:rsid w:val="00C35C93"/>
    <w:rsid w:val="00C360A4"/>
    <w:rsid w:val="00C418FA"/>
    <w:rsid w:val="00C51846"/>
    <w:rsid w:val="00C52526"/>
    <w:rsid w:val="00C539E6"/>
    <w:rsid w:val="00C54380"/>
    <w:rsid w:val="00C54CB2"/>
    <w:rsid w:val="00C56897"/>
    <w:rsid w:val="00C613ED"/>
    <w:rsid w:val="00C6165E"/>
    <w:rsid w:val="00C62E48"/>
    <w:rsid w:val="00C651E4"/>
    <w:rsid w:val="00C6762D"/>
    <w:rsid w:val="00C70C2D"/>
    <w:rsid w:val="00C74C20"/>
    <w:rsid w:val="00C77A2C"/>
    <w:rsid w:val="00C81DC7"/>
    <w:rsid w:val="00C85204"/>
    <w:rsid w:val="00C86F72"/>
    <w:rsid w:val="00C87E2F"/>
    <w:rsid w:val="00C91C78"/>
    <w:rsid w:val="00C961D3"/>
    <w:rsid w:val="00CA118A"/>
    <w:rsid w:val="00CA2D33"/>
    <w:rsid w:val="00CA3EF0"/>
    <w:rsid w:val="00CA5322"/>
    <w:rsid w:val="00CB1BFA"/>
    <w:rsid w:val="00CC1321"/>
    <w:rsid w:val="00CC4EF0"/>
    <w:rsid w:val="00CC5722"/>
    <w:rsid w:val="00CD6241"/>
    <w:rsid w:val="00CE04BD"/>
    <w:rsid w:val="00CE0630"/>
    <w:rsid w:val="00CE1794"/>
    <w:rsid w:val="00CF0420"/>
    <w:rsid w:val="00CF0D8D"/>
    <w:rsid w:val="00CF2328"/>
    <w:rsid w:val="00CF27C1"/>
    <w:rsid w:val="00CF43E8"/>
    <w:rsid w:val="00CF4870"/>
    <w:rsid w:val="00CF5292"/>
    <w:rsid w:val="00D01CAA"/>
    <w:rsid w:val="00D0284A"/>
    <w:rsid w:val="00D0568C"/>
    <w:rsid w:val="00D11ED1"/>
    <w:rsid w:val="00D130AA"/>
    <w:rsid w:val="00D1349B"/>
    <w:rsid w:val="00D14215"/>
    <w:rsid w:val="00D15228"/>
    <w:rsid w:val="00D1567F"/>
    <w:rsid w:val="00D16466"/>
    <w:rsid w:val="00D17902"/>
    <w:rsid w:val="00D249DA"/>
    <w:rsid w:val="00D27765"/>
    <w:rsid w:val="00D27F3B"/>
    <w:rsid w:val="00D3024E"/>
    <w:rsid w:val="00D349F8"/>
    <w:rsid w:val="00D35EB8"/>
    <w:rsid w:val="00D4430A"/>
    <w:rsid w:val="00D5141A"/>
    <w:rsid w:val="00D516C7"/>
    <w:rsid w:val="00D53B42"/>
    <w:rsid w:val="00D5401D"/>
    <w:rsid w:val="00D54C28"/>
    <w:rsid w:val="00D54DE5"/>
    <w:rsid w:val="00D55725"/>
    <w:rsid w:val="00D55874"/>
    <w:rsid w:val="00D575DA"/>
    <w:rsid w:val="00D60077"/>
    <w:rsid w:val="00D60748"/>
    <w:rsid w:val="00D61377"/>
    <w:rsid w:val="00D615A6"/>
    <w:rsid w:val="00D821C5"/>
    <w:rsid w:val="00D84131"/>
    <w:rsid w:val="00D86C78"/>
    <w:rsid w:val="00D90F5D"/>
    <w:rsid w:val="00D96ABD"/>
    <w:rsid w:val="00D97C3F"/>
    <w:rsid w:val="00DA2C3C"/>
    <w:rsid w:val="00DA4D4F"/>
    <w:rsid w:val="00DA545F"/>
    <w:rsid w:val="00DA7A68"/>
    <w:rsid w:val="00DB0918"/>
    <w:rsid w:val="00DB0960"/>
    <w:rsid w:val="00DB1144"/>
    <w:rsid w:val="00DB322F"/>
    <w:rsid w:val="00DB5349"/>
    <w:rsid w:val="00DB6451"/>
    <w:rsid w:val="00DC048E"/>
    <w:rsid w:val="00DC1F15"/>
    <w:rsid w:val="00DC206F"/>
    <w:rsid w:val="00DC2225"/>
    <w:rsid w:val="00DC394A"/>
    <w:rsid w:val="00DC4F10"/>
    <w:rsid w:val="00DC75E4"/>
    <w:rsid w:val="00DD0E87"/>
    <w:rsid w:val="00DD2196"/>
    <w:rsid w:val="00DD263C"/>
    <w:rsid w:val="00DD46E6"/>
    <w:rsid w:val="00DD502F"/>
    <w:rsid w:val="00DD779B"/>
    <w:rsid w:val="00DE20C3"/>
    <w:rsid w:val="00DE2745"/>
    <w:rsid w:val="00DE5C40"/>
    <w:rsid w:val="00DE644B"/>
    <w:rsid w:val="00DE7755"/>
    <w:rsid w:val="00E020A8"/>
    <w:rsid w:val="00E0297C"/>
    <w:rsid w:val="00E05A38"/>
    <w:rsid w:val="00E06082"/>
    <w:rsid w:val="00E06B4F"/>
    <w:rsid w:val="00E072DC"/>
    <w:rsid w:val="00E07A7F"/>
    <w:rsid w:val="00E07EEB"/>
    <w:rsid w:val="00E11653"/>
    <w:rsid w:val="00E20790"/>
    <w:rsid w:val="00E25596"/>
    <w:rsid w:val="00E349B5"/>
    <w:rsid w:val="00E353C6"/>
    <w:rsid w:val="00E37289"/>
    <w:rsid w:val="00E40E74"/>
    <w:rsid w:val="00E46722"/>
    <w:rsid w:val="00E46CE5"/>
    <w:rsid w:val="00E560FF"/>
    <w:rsid w:val="00E60F02"/>
    <w:rsid w:val="00E61057"/>
    <w:rsid w:val="00E7234D"/>
    <w:rsid w:val="00E72A6A"/>
    <w:rsid w:val="00E750B8"/>
    <w:rsid w:val="00E77BE3"/>
    <w:rsid w:val="00E80B6C"/>
    <w:rsid w:val="00E82F14"/>
    <w:rsid w:val="00E83E0E"/>
    <w:rsid w:val="00E8749E"/>
    <w:rsid w:val="00E87A97"/>
    <w:rsid w:val="00E92082"/>
    <w:rsid w:val="00E932E7"/>
    <w:rsid w:val="00EA6F1B"/>
    <w:rsid w:val="00EB1C70"/>
    <w:rsid w:val="00EB26C4"/>
    <w:rsid w:val="00EB3BC1"/>
    <w:rsid w:val="00EC471D"/>
    <w:rsid w:val="00EC6AAF"/>
    <w:rsid w:val="00ED7930"/>
    <w:rsid w:val="00EE083E"/>
    <w:rsid w:val="00EE0CDF"/>
    <w:rsid w:val="00EE353E"/>
    <w:rsid w:val="00EE550A"/>
    <w:rsid w:val="00EE5D41"/>
    <w:rsid w:val="00EE67FB"/>
    <w:rsid w:val="00EE7A5F"/>
    <w:rsid w:val="00EE7CD2"/>
    <w:rsid w:val="00EF33E8"/>
    <w:rsid w:val="00EF4CCF"/>
    <w:rsid w:val="00EF5301"/>
    <w:rsid w:val="00EF6A4E"/>
    <w:rsid w:val="00EF6B55"/>
    <w:rsid w:val="00F03963"/>
    <w:rsid w:val="00F0647F"/>
    <w:rsid w:val="00F11D0B"/>
    <w:rsid w:val="00F1215F"/>
    <w:rsid w:val="00F134FF"/>
    <w:rsid w:val="00F17A2A"/>
    <w:rsid w:val="00F17A2E"/>
    <w:rsid w:val="00F22023"/>
    <w:rsid w:val="00F23A6A"/>
    <w:rsid w:val="00F254C8"/>
    <w:rsid w:val="00F25E86"/>
    <w:rsid w:val="00F33064"/>
    <w:rsid w:val="00F34872"/>
    <w:rsid w:val="00F35B21"/>
    <w:rsid w:val="00F35F6E"/>
    <w:rsid w:val="00F36A6F"/>
    <w:rsid w:val="00F36D1E"/>
    <w:rsid w:val="00F37174"/>
    <w:rsid w:val="00F378FC"/>
    <w:rsid w:val="00F40BC1"/>
    <w:rsid w:val="00F41DA5"/>
    <w:rsid w:val="00F4387D"/>
    <w:rsid w:val="00F45D34"/>
    <w:rsid w:val="00F46B37"/>
    <w:rsid w:val="00F51EEC"/>
    <w:rsid w:val="00F63DEB"/>
    <w:rsid w:val="00F6490E"/>
    <w:rsid w:val="00F76757"/>
    <w:rsid w:val="00F848F3"/>
    <w:rsid w:val="00F85095"/>
    <w:rsid w:val="00F855D9"/>
    <w:rsid w:val="00F85C55"/>
    <w:rsid w:val="00F86C8C"/>
    <w:rsid w:val="00F93283"/>
    <w:rsid w:val="00F944DD"/>
    <w:rsid w:val="00F953DF"/>
    <w:rsid w:val="00F95A5D"/>
    <w:rsid w:val="00F96A3C"/>
    <w:rsid w:val="00FA1D99"/>
    <w:rsid w:val="00FA5E2F"/>
    <w:rsid w:val="00FB0ED2"/>
    <w:rsid w:val="00FB110F"/>
    <w:rsid w:val="00FB58A7"/>
    <w:rsid w:val="00FC6961"/>
    <w:rsid w:val="00FD0E88"/>
    <w:rsid w:val="00FD0EA2"/>
    <w:rsid w:val="00FD4D62"/>
    <w:rsid w:val="00FD4FD6"/>
    <w:rsid w:val="00FD7343"/>
    <w:rsid w:val="00FD7E8C"/>
    <w:rsid w:val="00FE402E"/>
    <w:rsid w:val="00FE717E"/>
    <w:rsid w:val="00FF1AFC"/>
    <w:rsid w:val="00FF68A3"/>
    <w:rsid w:val="00FF7954"/>
    <w:rsid w:val="1D814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semiHidden="0"/>
    <w:lsdException w:name="footer" w:semiHidden="0"/>
    <w:lsdException w:name="caption" w:uiPriority="35" w:qFormat="1"/>
    <w:lsdException w:name="annotation reference" w:semiHidden="0" w:uiPriority="0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A3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</w:style>
  <w:style w:type="character" w:customStyle="1" w:styleId="a4">
    <w:name w:val="批注文字 字符"/>
    <w:link w:val="a3"/>
    <w:semiHidden/>
    <w:rPr>
      <w:kern w:val="0"/>
      <w:sz w:val="24"/>
      <w:szCs w:val="24"/>
    </w:rPr>
  </w:style>
  <w:style w:type="paragraph" w:styleId="a5">
    <w:name w:val="Balloon Text"/>
    <w:basedOn w:val="a"/>
    <w:link w:val="a6"/>
    <w:pPr>
      <w:widowControl w:val="0"/>
      <w:jc w:val="both"/>
    </w:pPr>
    <w:rPr>
      <w:rFonts w:ascii="Times New Roman" w:hAnsi="Times New Roman"/>
      <w:sz w:val="18"/>
      <w:szCs w:val="18"/>
    </w:rPr>
  </w:style>
  <w:style w:type="character" w:customStyle="1" w:styleId="a6">
    <w:name w:val="批注框文本 字符"/>
    <w:link w:val="a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paragraph" w:styleId="3">
    <w:name w:val="Body Text Indent 3"/>
    <w:basedOn w:val="a"/>
    <w:link w:val="30"/>
    <w:pPr>
      <w:widowControl w:val="0"/>
      <w:spacing w:after="120"/>
      <w:ind w:leftChars="200" w:left="420"/>
      <w:jc w:val="both"/>
    </w:pPr>
    <w:rPr>
      <w:rFonts w:ascii="Times New Roman" w:hAnsi="Times New Roman"/>
      <w:sz w:val="16"/>
      <w:szCs w:val="16"/>
    </w:rPr>
  </w:style>
  <w:style w:type="character" w:customStyle="1" w:styleId="30">
    <w:name w:val="正文文本缩进 3 字符"/>
    <w:link w:val="3"/>
    <w:rPr>
      <w:rFonts w:ascii="Times New Roman" w:eastAsia="宋体" w:hAnsi="Times New Roman" w:cs="Times New Roman"/>
      <w:sz w:val="16"/>
      <w:szCs w:val="16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/>
    </w:pPr>
    <w:rPr>
      <w:rFonts w:ascii="宋体" w:hAnsi="宋体" w:cs="宋体"/>
    </w:rPr>
  </w:style>
  <w:style w:type="paragraph" w:styleId="ac">
    <w:name w:val="annotation subject"/>
    <w:basedOn w:val="a3"/>
    <w:next w:val="a3"/>
    <w:link w:val="ad"/>
    <w:uiPriority w:val="99"/>
    <w:unhideWhenUsed/>
    <w:rPr>
      <w:b/>
      <w:bCs/>
    </w:rPr>
  </w:style>
  <w:style w:type="character" w:customStyle="1" w:styleId="ad">
    <w:name w:val="批注主题 字符"/>
    <w:link w:val="ac"/>
    <w:uiPriority w:val="99"/>
    <w:semiHidden/>
    <w:rPr>
      <w:b/>
      <w:bCs/>
      <w:kern w:val="0"/>
      <w:sz w:val="24"/>
      <w:szCs w:val="24"/>
    </w:rPr>
  </w:style>
  <w:style w:type="table" w:styleId="ae">
    <w:name w:val="Table Grid"/>
    <w:basedOn w:val="a1"/>
    <w:uiPriority w:val="59"/>
    <w:qFormat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</w:style>
  <w:style w:type="character" w:styleId="af0">
    <w:name w:val="Hyperlink"/>
    <w:uiPriority w:val="99"/>
    <w:unhideWhenUsed/>
    <w:rPr>
      <w:color w:val="0000FF"/>
      <w:u w:val="single"/>
    </w:rPr>
  </w:style>
  <w:style w:type="character" w:styleId="af1">
    <w:name w:val="annotation reference"/>
    <w:unhideWhenUsed/>
    <w:rPr>
      <w:sz w:val="21"/>
      <w:szCs w:val="21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paragraph" w:styleId="af2">
    <w:name w:val="列表段落"/>
    <w:basedOn w:val="a"/>
    <w:uiPriority w:val="34"/>
    <w:qFormat/>
    <w:pPr>
      <w:widowControl w:val="0"/>
      <w:ind w:firstLineChars="200" w:firstLine="420"/>
      <w:jc w:val="both"/>
    </w:pPr>
    <w:rPr>
      <w:rFonts w:ascii="Times New Roman" w:hAnsi="Times New Roman"/>
      <w:kern w:val="2"/>
      <w:sz w:val="21"/>
      <w:szCs w:val="20"/>
    </w:rPr>
  </w:style>
  <w:style w:type="paragraph" w:styleId="af3">
    <w:name w:val="Revision"/>
    <w:uiPriority w:val="99"/>
    <w:semiHidden/>
    <w:rPr>
      <w:sz w:val="24"/>
      <w:szCs w:val="24"/>
    </w:rPr>
  </w:style>
  <w:style w:type="table" w:customStyle="1" w:styleId="2">
    <w:name w:val="网格型2"/>
    <w:basedOn w:val="a1"/>
    <w:uiPriority w:val="59"/>
    <w:qFormat/>
    <w:pPr>
      <w:widowControl w:val="0"/>
      <w:jc w:val="both"/>
    </w:pPr>
    <w:rPr>
      <w:rFonts w:ascii="宋体" w:hAnsi="宋体"/>
      <w:color w:val="000000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字符"/>
    <w:link w:val="1"/>
    <w:uiPriority w:val="9"/>
    <w:rsid w:val="000A372E"/>
    <w:rPr>
      <w:b/>
      <w:bCs/>
      <w:kern w:val="44"/>
      <w:sz w:val="44"/>
      <w:szCs w:val="44"/>
    </w:rPr>
  </w:style>
  <w:style w:type="character" w:styleId="af4">
    <w:name w:val="Emphasis"/>
    <w:uiPriority w:val="20"/>
    <w:qFormat/>
    <w:rsid w:val="00D558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AF446-716C-4F5E-B371-7A3D37EE0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713</Characters>
  <Application>Microsoft Office Word</Application>
  <DocSecurity>4</DocSecurity>
  <Lines>5</Lines>
  <Paragraphs>1</Paragraphs>
  <ScaleCrop>false</ScaleCrop>
  <Company>Sky123.Org</Company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Maxlik</dc:creator>
  <cp:keywords/>
  <cp:lastModifiedBy>ZHONGM</cp:lastModifiedBy>
  <cp:revision>2</cp:revision>
  <cp:lastPrinted>2016-04-26T09:23:00Z</cp:lastPrinted>
  <dcterms:created xsi:type="dcterms:W3CDTF">2025-11-23T16:02:00Z</dcterms:created>
  <dcterms:modified xsi:type="dcterms:W3CDTF">2025-11-23T16:02:00Z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C79EE35B2C2A477698F740F3644229DE_13</vt:lpwstr>
  </property>
</Properties>
</file>