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B8" w:rsidRPr="0002209C" w:rsidRDefault="006878B8" w:rsidP="006A477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2209C">
        <w:rPr>
          <w:rFonts w:ascii="Times New Roman" w:hAnsi="Times New Roman" w:cs="Times New Roman"/>
          <w:b/>
          <w:sz w:val="28"/>
        </w:rPr>
        <w:t>泰康基金管理有限公司</w:t>
      </w:r>
    </w:p>
    <w:p w:rsidR="00405FD8" w:rsidRPr="0002209C" w:rsidRDefault="006878B8" w:rsidP="006A477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2209C">
        <w:rPr>
          <w:rFonts w:ascii="Times New Roman" w:hAnsi="Times New Roman" w:cs="Times New Roman"/>
          <w:b/>
          <w:sz w:val="28"/>
        </w:rPr>
        <w:t>关于旗下上交所</w:t>
      </w:r>
      <w:r w:rsidRPr="0002209C">
        <w:rPr>
          <w:rFonts w:ascii="Times New Roman" w:hAnsi="Times New Roman" w:cs="Times New Roman"/>
          <w:b/>
          <w:sz w:val="28"/>
        </w:rPr>
        <w:t>ETF</w:t>
      </w:r>
      <w:r w:rsidRPr="0002209C">
        <w:rPr>
          <w:rFonts w:ascii="Times New Roman" w:hAnsi="Times New Roman" w:cs="Times New Roman"/>
          <w:b/>
          <w:sz w:val="28"/>
        </w:rPr>
        <w:t>申购赎回清单版本更新的公告</w:t>
      </w:r>
    </w:p>
    <w:p w:rsidR="00B451F8" w:rsidRPr="0002209C" w:rsidRDefault="00B451F8" w:rsidP="006A4774">
      <w:pPr>
        <w:spacing w:line="360" w:lineRule="auto"/>
        <w:rPr>
          <w:rFonts w:ascii="Times New Roman" w:hAnsi="Times New Roman" w:cs="Times New Roman"/>
          <w:sz w:val="22"/>
        </w:rPr>
      </w:pP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/>
          <w:sz w:val="22"/>
        </w:rPr>
        <w:t>根据上海证券交易所</w:t>
      </w:r>
      <w:r w:rsidR="009C16D2" w:rsidRPr="0002209C">
        <w:rPr>
          <w:rFonts w:ascii="Times New Roman" w:hAnsi="Times New Roman" w:cs="Times New Roman"/>
          <w:sz w:val="22"/>
        </w:rPr>
        <w:t>发布的</w:t>
      </w:r>
      <w:r w:rsidRPr="0002209C">
        <w:rPr>
          <w:rFonts w:ascii="Times New Roman" w:hAnsi="Times New Roman" w:cs="Times New Roman"/>
          <w:sz w:val="22"/>
        </w:rPr>
        <w:t>最新</w:t>
      </w:r>
      <w:r w:rsidRPr="0002209C">
        <w:rPr>
          <w:rFonts w:ascii="Times New Roman" w:hAnsi="Times New Roman" w:cs="Times New Roman"/>
          <w:sz w:val="22"/>
        </w:rPr>
        <w:t>ETF</w:t>
      </w:r>
      <w:r w:rsidRPr="0002209C">
        <w:rPr>
          <w:rFonts w:ascii="Times New Roman" w:hAnsi="Times New Roman" w:cs="Times New Roman"/>
          <w:sz w:val="22"/>
        </w:rPr>
        <w:t>申购赎回清单格式规则，自</w:t>
      </w:r>
      <w:r w:rsidRPr="00C241ED">
        <w:rPr>
          <w:rFonts w:ascii="Times New Roman" w:hAnsi="Times New Roman" w:cs="Times New Roman"/>
          <w:sz w:val="22"/>
        </w:rPr>
        <w:t>2025</w:t>
      </w:r>
      <w:r w:rsidRPr="00C241ED">
        <w:rPr>
          <w:rFonts w:ascii="Times New Roman" w:hAnsi="Times New Roman" w:cs="Times New Roman" w:hint="eastAsia"/>
          <w:sz w:val="22"/>
        </w:rPr>
        <w:t>年</w:t>
      </w:r>
      <w:r w:rsidRPr="00C241ED">
        <w:rPr>
          <w:rFonts w:ascii="Times New Roman" w:hAnsi="Times New Roman" w:cs="Times New Roman"/>
          <w:sz w:val="22"/>
        </w:rPr>
        <w:t>11</w:t>
      </w:r>
      <w:r w:rsidRPr="00C241ED">
        <w:rPr>
          <w:rFonts w:ascii="Times New Roman" w:hAnsi="Times New Roman" w:cs="Times New Roman" w:hint="eastAsia"/>
          <w:sz w:val="22"/>
        </w:rPr>
        <w:t>月</w:t>
      </w:r>
      <w:r w:rsidR="00B451F8" w:rsidRPr="00C241ED">
        <w:rPr>
          <w:rFonts w:ascii="Times New Roman" w:hAnsi="Times New Roman" w:cs="Times New Roman"/>
          <w:sz w:val="22"/>
        </w:rPr>
        <w:t>2</w:t>
      </w:r>
      <w:r w:rsidRPr="00C241ED">
        <w:rPr>
          <w:rFonts w:ascii="Times New Roman" w:hAnsi="Times New Roman" w:cs="Times New Roman"/>
          <w:sz w:val="22"/>
        </w:rPr>
        <w:t>4</w:t>
      </w:r>
      <w:r w:rsidRPr="00C241ED">
        <w:rPr>
          <w:rFonts w:ascii="Times New Roman" w:hAnsi="Times New Roman" w:cs="Times New Roman" w:hint="eastAsia"/>
          <w:sz w:val="22"/>
        </w:rPr>
        <w:t>日</w:t>
      </w:r>
      <w:r w:rsidRPr="0002209C">
        <w:rPr>
          <w:rFonts w:ascii="Times New Roman" w:hAnsi="Times New Roman" w:cs="Times New Roman"/>
          <w:sz w:val="22"/>
        </w:rPr>
        <w:t>起，泰康基金管理有限公司（以下简称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本公司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）对旗下上交所</w:t>
      </w:r>
      <w:r w:rsidRPr="0002209C">
        <w:rPr>
          <w:rFonts w:ascii="Times New Roman" w:hAnsi="Times New Roman" w:cs="Times New Roman"/>
          <w:sz w:val="22"/>
        </w:rPr>
        <w:t>ETF</w:t>
      </w:r>
      <w:r w:rsidRPr="0002209C">
        <w:rPr>
          <w:rFonts w:ascii="Times New Roman" w:hAnsi="Times New Roman" w:cs="Times New Roman" w:hint="eastAsia"/>
          <w:sz w:val="22"/>
        </w:rPr>
        <w:t>申购赎回清单进行版本更新</w:t>
      </w:r>
      <w:r w:rsidR="009C16D2" w:rsidRPr="0002209C">
        <w:rPr>
          <w:rFonts w:ascii="Times New Roman" w:hAnsi="Times New Roman" w:cs="Times New Roman" w:hint="eastAsia"/>
          <w:sz w:val="22"/>
        </w:rPr>
        <w:t>。现将相关事项公告如下</w:t>
      </w:r>
      <w:r w:rsidRPr="0002209C">
        <w:rPr>
          <w:rFonts w:ascii="Times New Roman" w:hAnsi="Times New Roman" w:cs="Times New Roman" w:hint="eastAsia"/>
          <w:sz w:val="22"/>
        </w:rPr>
        <w:t>：</w:t>
      </w:r>
    </w:p>
    <w:p w:rsidR="006878B8" w:rsidRPr="0002209C" w:rsidRDefault="006878B8" w:rsidP="006A4774">
      <w:pPr>
        <w:spacing w:line="360" w:lineRule="auto"/>
        <w:ind w:firstLineChars="200" w:firstLine="442"/>
        <w:rPr>
          <w:rFonts w:ascii="Times New Roman" w:hAnsi="Times New Roman" w:cs="Times New Roman"/>
          <w:b/>
          <w:sz w:val="22"/>
        </w:rPr>
      </w:pPr>
      <w:r w:rsidRPr="0002209C">
        <w:rPr>
          <w:rFonts w:ascii="Times New Roman" w:hAnsi="Times New Roman" w:cs="Times New Roman" w:hint="eastAsia"/>
          <w:b/>
          <w:sz w:val="22"/>
        </w:rPr>
        <w:t>一、本公司拟更新申购赎回清单版本的上交所</w:t>
      </w:r>
      <w:r w:rsidRPr="0002209C">
        <w:rPr>
          <w:rFonts w:ascii="Times New Roman" w:hAnsi="Times New Roman" w:cs="Times New Roman"/>
          <w:b/>
          <w:sz w:val="22"/>
        </w:rPr>
        <w:t>ETF</w:t>
      </w:r>
      <w:r w:rsidR="009C16D2" w:rsidRPr="0002209C">
        <w:rPr>
          <w:rFonts w:ascii="Times New Roman" w:hAnsi="Times New Roman" w:cs="Times New Roman" w:hint="eastAsia"/>
          <w:b/>
          <w:sz w:val="22"/>
        </w:rPr>
        <w:t>产品</w:t>
      </w:r>
      <w:r w:rsidRPr="0002209C">
        <w:rPr>
          <w:rFonts w:ascii="Times New Roman" w:hAnsi="Times New Roman" w:cs="Times New Roman" w:hint="eastAsia"/>
          <w:b/>
          <w:sz w:val="22"/>
        </w:rPr>
        <w:t>列表</w:t>
      </w:r>
    </w:p>
    <w:tbl>
      <w:tblPr>
        <w:tblW w:w="9209" w:type="dxa"/>
        <w:jc w:val="center"/>
        <w:tblLayout w:type="fixed"/>
        <w:tblLook w:val="04A0"/>
      </w:tblPr>
      <w:tblGrid>
        <w:gridCol w:w="1129"/>
        <w:gridCol w:w="5954"/>
        <w:gridCol w:w="2126"/>
      </w:tblGrid>
      <w:tr w:rsidR="006878B8" w:rsidRPr="0002209C" w:rsidTr="00D61338">
        <w:trPr>
          <w:trHeight w:val="2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证券代码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基金全称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基金扩位简称</w:t>
            </w:r>
          </w:p>
        </w:tc>
      </w:tr>
      <w:tr w:rsidR="006878B8" w:rsidRPr="0002209C" w:rsidTr="00D61338">
        <w:trPr>
          <w:trHeight w:val="2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515380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泰康沪深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交易型开放式指数证券投资基金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沪深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300ETF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</w:t>
            </w:r>
          </w:p>
        </w:tc>
      </w:tr>
      <w:tr w:rsidR="006878B8" w:rsidRPr="0002209C" w:rsidTr="00D61338">
        <w:trPr>
          <w:trHeight w:val="2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515530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泰康中证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交易型开放式指数证券投资基金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中证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500ETF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</w:t>
            </w:r>
          </w:p>
        </w:tc>
      </w:tr>
      <w:tr w:rsidR="006878B8" w:rsidRPr="0002209C" w:rsidTr="00D61338">
        <w:trPr>
          <w:trHeight w:val="2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560560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泰康中证内地低碳经济主题交易型开放式指数证券投资基金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碳中和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ETF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</w:t>
            </w:r>
          </w:p>
        </w:tc>
      </w:tr>
      <w:tr w:rsidR="006878B8" w:rsidRPr="0002209C" w:rsidTr="00D61338">
        <w:trPr>
          <w:trHeight w:val="2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560150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泰康中证红利低波动交易型开放式指数证券投资基金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红利低波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ETF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</w:t>
            </w:r>
          </w:p>
        </w:tc>
      </w:tr>
      <w:tr w:rsidR="006878B8" w:rsidRPr="0002209C" w:rsidTr="00D61338">
        <w:trPr>
          <w:trHeight w:val="2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560510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泰康中证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A500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交易型开放式指数证券投资基金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中证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A500ETF</w:t>
            </w:r>
          </w:p>
        </w:tc>
      </w:tr>
      <w:tr w:rsidR="006878B8" w:rsidRPr="0002209C" w:rsidTr="00D61338">
        <w:trPr>
          <w:trHeight w:val="2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551580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泰康中证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AAA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科技创新公司债交易型开放式指数证券投资基金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B8" w:rsidRPr="0002209C" w:rsidRDefault="006878B8" w:rsidP="006A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科创债</w:t>
            </w:r>
            <w:r w:rsidRPr="0002209C">
              <w:rPr>
                <w:rFonts w:ascii="Times New Roman" w:hAnsi="Times New Roman" w:cs="Times New Roman"/>
                <w:sz w:val="20"/>
                <w:szCs w:val="20"/>
              </w:rPr>
              <w:t>ETF</w:t>
            </w:r>
            <w:r w:rsidRPr="0002209C">
              <w:rPr>
                <w:rFonts w:ascii="Times New Roman" w:hAnsi="Times New Roman" w:cs="Times New Roman" w:hint="eastAsia"/>
                <w:sz w:val="20"/>
                <w:szCs w:val="20"/>
              </w:rPr>
              <w:t>泰康</w:t>
            </w:r>
          </w:p>
        </w:tc>
      </w:tr>
    </w:tbl>
    <w:p w:rsidR="006878B8" w:rsidRPr="0002209C" w:rsidRDefault="006878B8" w:rsidP="006A4774">
      <w:pPr>
        <w:spacing w:line="360" w:lineRule="auto"/>
        <w:rPr>
          <w:rFonts w:ascii="Times New Roman" w:hAnsi="Times New Roman" w:cs="Times New Roman"/>
          <w:sz w:val="22"/>
        </w:rPr>
      </w:pPr>
    </w:p>
    <w:p w:rsidR="006878B8" w:rsidRPr="0002209C" w:rsidRDefault="006878B8" w:rsidP="006A4774">
      <w:pPr>
        <w:spacing w:line="360" w:lineRule="auto"/>
        <w:ind w:firstLineChars="200" w:firstLine="442"/>
        <w:rPr>
          <w:rFonts w:ascii="Times New Roman" w:hAnsi="Times New Roman" w:cs="Times New Roman"/>
          <w:b/>
          <w:sz w:val="22"/>
        </w:rPr>
      </w:pPr>
      <w:r w:rsidRPr="0002209C">
        <w:rPr>
          <w:rFonts w:ascii="Times New Roman" w:hAnsi="Times New Roman" w:cs="Times New Roman" w:hint="eastAsia"/>
          <w:b/>
          <w:sz w:val="22"/>
        </w:rPr>
        <w:t>二、</w:t>
      </w:r>
      <w:r w:rsidR="009C16D2" w:rsidRPr="0002209C">
        <w:rPr>
          <w:rFonts w:ascii="Times New Roman" w:hAnsi="Times New Roman" w:cs="Times New Roman" w:hint="eastAsia"/>
          <w:b/>
          <w:sz w:val="22"/>
        </w:rPr>
        <w:t>更新</w:t>
      </w:r>
      <w:r w:rsidRPr="0002209C">
        <w:rPr>
          <w:rFonts w:ascii="Times New Roman" w:hAnsi="Times New Roman" w:cs="Times New Roman" w:hint="eastAsia"/>
          <w:b/>
          <w:sz w:val="22"/>
        </w:rPr>
        <w:t>情况说明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上交所</w:t>
      </w:r>
      <w:r w:rsidRPr="0002209C">
        <w:rPr>
          <w:rFonts w:ascii="Times New Roman" w:hAnsi="Times New Roman" w:cs="Times New Roman"/>
          <w:sz w:val="22"/>
        </w:rPr>
        <w:t>ETF</w:t>
      </w:r>
      <w:r w:rsidRPr="0002209C">
        <w:rPr>
          <w:rFonts w:ascii="Times New Roman" w:hAnsi="Times New Roman" w:cs="Times New Roman" w:hint="eastAsia"/>
          <w:sz w:val="22"/>
        </w:rPr>
        <w:t>新版申购赎回清单格式</w:t>
      </w:r>
      <w:r w:rsidR="009C16D2" w:rsidRPr="0002209C">
        <w:rPr>
          <w:rFonts w:ascii="Times New Roman" w:hAnsi="Times New Roman" w:cs="Times New Roman" w:hint="eastAsia"/>
          <w:sz w:val="22"/>
        </w:rPr>
        <w:t>更新</w:t>
      </w:r>
      <w:r w:rsidRPr="0002209C">
        <w:rPr>
          <w:rFonts w:ascii="Times New Roman" w:hAnsi="Times New Roman" w:cs="Times New Roman" w:hint="eastAsia"/>
          <w:sz w:val="22"/>
        </w:rPr>
        <w:t>如下：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（</w:t>
      </w:r>
      <w:r w:rsidRPr="0002209C">
        <w:rPr>
          <w:rFonts w:ascii="Times New Roman" w:hAnsi="Times New Roman" w:cs="Times New Roman"/>
          <w:sz w:val="22"/>
        </w:rPr>
        <w:t>1</w:t>
      </w:r>
      <w:r w:rsidRPr="0002209C">
        <w:rPr>
          <w:rFonts w:ascii="Times New Roman" w:hAnsi="Times New Roman" w:cs="Times New Roman" w:hint="eastAsia"/>
          <w:sz w:val="22"/>
        </w:rPr>
        <w:t>）新增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当日净申购的基金份额上限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、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当日净赎回的基金份额上限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、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单个证券账户当日净申购的基金份额上限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、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单个证券账户当日净赎回的基金份额上限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、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单个证券账户当日累计可申购的基金份额上限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、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单个证券账户当日累计可赎回的基金份额上限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字段</w:t>
      </w:r>
      <w:r w:rsidR="009C16D2" w:rsidRPr="0002209C">
        <w:rPr>
          <w:rFonts w:ascii="Times New Roman" w:hAnsi="Times New Roman" w:cs="Times New Roman" w:hint="eastAsia"/>
          <w:sz w:val="22"/>
        </w:rPr>
        <w:t>等</w:t>
      </w:r>
      <w:r w:rsidRPr="0002209C">
        <w:rPr>
          <w:rFonts w:ascii="Times New Roman" w:hAnsi="Times New Roman" w:cs="Times New Roman" w:hint="eastAsia"/>
          <w:sz w:val="22"/>
        </w:rPr>
        <w:t>；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（</w:t>
      </w:r>
      <w:r w:rsidRPr="0002209C">
        <w:rPr>
          <w:rFonts w:ascii="Times New Roman" w:hAnsi="Times New Roman" w:cs="Times New Roman"/>
          <w:sz w:val="22"/>
        </w:rPr>
        <w:t>2</w:t>
      </w:r>
      <w:r w:rsidRPr="0002209C">
        <w:rPr>
          <w:rFonts w:ascii="Times New Roman" w:hAnsi="Times New Roman" w:cs="Times New Roman" w:hint="eastAsia"/>
          <w:sz w:val="22"/>
        </w:rPr>
        <w:t>）新增</w:t>
      </w:r>
      <w:r w:rsidRPr="0002209C">
        <w:rPr>
          <w:rFonts w:ascii="Times New Roman" w:hAnsi="Times New Roman" w:cs="Times New Roman"/>
          <w:sz w:val="22"/>
        </w:rPr>
        <w:t>“</w:t>
      </w:r>
      <w:r w:rsidR="004C2823" w:rsidRPr="0002209C">
        <w:rPr>
          <w:rFonts w:ascii="Times New Roman" w:hAnsi="Times New Roman" w:cs="Times New Roman" w:hint="eastAsia"/>
          <w:sz w:val="22"/>
        </w:rPr>
        <w:t>申赎</w:t>
      </w:r>
      <w:r w:rsidRPr="0002209C">
        <w:rPr>
          <w:rFonts w:ascii="Times New Roman" w:hAnsi="Times New Roman" w:cs="Times New Roman" w:hint="eastAsia"/>
          <w:sz w:val="22"/>
        </w:rPr>
        <w:t>模式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字段；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/>
          <w:sz w:val="22"/>
        </w:rPr>
        <w:t>（</w:t>
      </w:r>
      <w:r w:rsidRPr="0002209C">
        <w:rPr>
          <w:rFonts w:ascii="Times New Roman" w:hAnsi="Times New Roman" w:cs="Times New Roman"/>
          <w:sz w:val="22"/>
        </w:rPr>
        <w:t>3</w:t>
      </w:r>
      <w:r w:rsidRPr="0002209C">
        <w:rPr>
          <w:rFonts w:ascii="Times New Roman" w:hAnsi="Times New Roman" w:cs="Times New Roman" w:hint="eastAsia"/>
          <w:sz w:val="22"/>
        </w:rPr>
        <w:t>）</w:t>
      </w:r>
      <w:r w:rsidR="00C0764F" w:rsidRPr="0002209C">
        <w:rPr>
          <w:rFonts w:ascii="Times New Roman" w:hAnsi="Times New Roman" w:cs="Times New Roman" w:hint="eastAsia"/>
          <w:sz w:val="22"/>
        </w:rPr>
        <w:t>启用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挂牌市场</w:t>
      </w:r>
      <w:r w:rsidRPr="0002209C">
        <w:rPr>
          <w:rFonts w:ascii="Times New Roman" w:hAnsi="Times New Roman" w:cs="Times New Roman"/>
          <w:sz w:val="22"/>
        </w:rPr>
        <w:t>”</w:t>
      </w:r>
      <w:r w:rsidR="00C0764F" w:rsidRPr="0002209C">
        <w:rPr>
          <w:rFonts w:ascii="Times New Roman" w:hAnsi="Times New Roman" w:cs="Times New Roman" w:hint="eastAsia"/>
          <w:sz w:val="22"/>
        </w:rPr>
        <w:t>字段</w:t>
      </w:r>
      <w:r w:rsidRPr="0002209C">
        <w:rPr>
          <w:rFonts w:ascii="Times New Roman" w:hAnsi="Times New Roman" w:cs="Times New Roman" w:hint="eastAsia"/>
          <w:sz w:val="22"/>
        </w:rPr>
        <w:t>；</w:t>
      </w:r>
    </w:p>
    <w:p w:rsidR="006878B8" w:rsidRPr="0002209C" w:rsidRDefault="006878B8" w:rsidP="009C16D2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（</w:t>
      </w:r>
      <w:r w:rsidRPr="0002209C">
        <w:rPr>
          <w:rFonts w:ascii="Times New Roman" w:hAnsi="Times New Roman" w:cs="Times New Roman"/>
          <w:sz w:val="22"/>
        </w:rPr>
        <w:t>4</w:t>
      </w:r>
      <w:r w:rsidRPr="0002209C">
        <w:rPr>
          <w:rFonts w:ascii="Times New Roman" w:hAnsi="Times New Roman" w:cs="Times New Roman" w:hint="eastAsia"/>
          <w:sz w:val="22"/>
        </w:rPr>
        <w:t>）调整</w:t>
      </w:r>
      <w:r w:rsidRPr="0002209C">
        <w:rPr>
          <w:rFonts w:ascii="Times New Roman" w:hAnsi="Times New Roman" w:cs="Times New Roman"/>
          <w:sz w:val="22"/>
        </w:rPr>
        <w:t>“</w:t>
      </w:r>
      <w:r w:rsidRPr="0002209C">
        <w:rPr>
          <w:rFonts w:ascii="Times New Roman" w:hAnsi="Times New Roman" w:cs="Times New Roman" w:hint="eastAsia"/>
          <w:sz w:val="22"/>
        </w:rPr>
        <w:t>现金替代标志</w:t>
      </w:r>
      <w:r w:rsidRPr="0002209C">
        <w:rPr>
          <w:rFonts w:ascii="Times New Roman" w:hAnsi="Times New Roman" w:cs="Times New Roman"/>
          <w:sz w:val="22"/>
        </w:rPr>
        <w:t>”</w:t>
      </w:r>
      <w:r w:rsidRPr="0002209C">
        <w:rPr>
          <w:rFonts w:ascii="Times New Roman" w:hAnsi="Times New Roman" w:cs="Times New Roman" w:hint="eastAsia"/>
          <w:sz w:val="22"/>
        </w:rPr>
        <w:t>字段描述：</w:t>
      </w:r>
      <w:r w:rsidR="009C16D2" w:rsidRPr="0002209C">
        <w:rPr>
          <w:rFonts w:ascii="Times New Roman" w:hAnsi="Times New Roman" w:cs="Times New Roman" w:hint="eastAsia"/>
          <w:sz w:val="22"/>
        </w:rPr>
        <w:t>统一调整为“</w:t>
      </w:r>
      <w:r w:rsidR="009C16D2" w:rsidRPr="0002209C">
        <w:rPr>
          <w:rFonts w:ascii="Times New Roman" w:hAnsi="Times New Roman" w:cs="Times New Roman"/>
          <w:sz w:val="22"/>
        </w:rPr>
        <w:t>0-</w:t>
      </w:r>
      <w:r w:rsidR="009C16D2" w:rsidRPr="0002209C">
        <w:rPr>
          <w:rFonts w:ascii="Times New Roman" w:hAnsi="Times New Roman" w:cs="Times New Roman" w:hint="eastAsia"/>
          <w:sz w:val="22"/>
        </w:rPr>
        <w:t>禁止现金替代”“</w:t>
      </w:r>
      <w:r w:rsidR="009C16D2" w:rsidRPr="0002209C">
        <w:rPr>
          <w:rFonts w:ascii="Times New Roman" w:hAnsi="Times New Roman" w:cs="Times New Roman"/>
          <w:sz w:val="22"/>
        </w:rPr>
        <w:t>1-</w:t>
      </w:r>
      <w:r w:rsidR="009C16D2" w:rsidRPr="0002209C">
        <w:rPr>
          <w:rFonts w:ascii="Times New Roman" w:hAnsi="Times New Roman" w:cs="Times New Roman" w:hint="eastAsia"/>
          <w:sz w:val="22"/>
        </w:rPr>
        <w:t>允许现金替代”“</w:t>
      </w:r>
      <w:r w:rsidR="009C16D2" w:rsidRPr="0002209C">
        <w:rPr>
          <w:rFonts w:ascii="Times New Roman" w:hAnsi="Times New Roman" w:cs="Times New Roman"/>
          <w:sz w:val="22"/>
        </w:rPr>
        <w:t>2-</w:t>
      </w:r>
      <w:r w:rsidR="009C16D2" w:rsidRPr="0002209C">
        <w:rPr>
          <w:rFonts w:ascii="Times New Roman" w:hAnsi="Times New Roman" w:cs="Times New Roman" w:hint="eastAsia"/>
          <w:sz w:val="22"/>
        </w:rPr>
        <w:t>必须现金替代”三类</w:t>
      </w:r>
      <w:r w:rsidR="00A52E02" w:rsidRPr="0002209C">
        <w:rPr>
          <w:rFonts w:ascii="Times New Roman" w:hAnsi="Times New Roman" w:cs="Times New Roman" w:hint="eastAsia"/>
          <w:sz w:val="22"/>
        </w:rPr>
        <w:t>。</w:t>
      </w:r>
    </w:p>
    <w:p w:rsidR="00A52E02" w:rsidRPr="0002209C" w:rsidRDefault="00A52E02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（</w:t>
      </w:r>
      <w:r w:rsidRPr="0002209C">
        <w:rPr>
          <w:rFonts w:ascii="Times New Roman" w:hAnsi="Times New Roman" w:cs="Times New Roman"/>
          <w:sz w:val="22"/>
        </w:rPr>
        <w:t>5</w:t>
      </w:r>
      <w:r w:rsidRPr="0002209C">
        <w:rPr>
          <w:rFonts w:ascii="Times New Roman" w:hAnsi="Times New Roman" w:cs="Times New Roman" w:hint="eastAsia"/>
          <w:sz w:val="22"/>
        </w:rPr>
        <w:t>）调整部分字段长度。</w:t>
      </w:r>
    </w:p>
    <w:p w:rsidR="00A52E02" w:rsidRPr="0002209C" w:rsidRDefault="00A52E02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详细更新内容详见上海证券交易所的相关说明。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C241ED">
        <w:rPr>
          <w:rFonts w:ascii="Times New Roman" w:hAnsi="Times New Roman" w:cs="Times New Roman" w:hint="eastAsia"/>
          <w:sz w:val="22"/>
        </w:rPr>
        <w:t>自</w:t>
      </w:r>
      <w:r w:rsidRPr="00C241ED">
        <w:rPr>
          <w:rFonts w:ascii="Times New Roman" w:hAnsi="Times New Roman" w:cs="Times New Roman"/>
          <w:sz w:val="22"/>
        </w:rPr>
        <w:t>2025</w:t>
      </w:r>
      <w:r w:rsidRPr="00C241ED">
        <w:rPr>
          <w:rFonts w:ascii="Times New Roman" w:hAnsi="Times New Roman" w:cs="Times New Roman" w:hint="eastAsia"/>
          <w:sz w:val="22"/>
        </w:rPr>
        <w:t>年</w:t>
      </w:r>
      <w:r w:rsidR="006A4774" w:rsidRPr="00C241ED">
        <w:rPr>
          <w:rFonts w:ascii="Times New Roman" w:hAnsi="Times New Roman" w:cs="Times New Roman"/>
          <w:sz w:val="22"/>
        </w:rPr>
        <w:t>11</w:t>
      </w:r>
      <w:r w:rsidRPr="00C241ED">
        <w:rPr>
          <w:rFonts w:ascii="Times New Roman" w:hAnsi="Times New Roman" w:cs="Times New Roman" w:hint="eastAsia"/>
          <w:sz w:val="22"/>
        </w:rPr>
        <w:t>月</w:t>
      </w:r>
      <w:r w:rsidR="006A4774" w:rsidRPr="00C241ED">
        <w:rPr>
          <w:rFonts w:ascii="Times New Roman" w:hAnsi="Times New Roman" w:cs="Times New Roman"/>
          <w:sz w:val="22"/>
        </w:rPr>
        <w:t>24</w:t>
      </w:r>
      <w:r w:rsidRPr="00C241ED">
        <w:rPr>
          <w:rFonts w:ascii="Times New Roman" w:hAnsi="Times New Roman" w:cs="Times New Roman" w:hint="eastAsia"/>
          <w:sz w:val="22"/>
        </w:rPr>
        <w:t>日起，</w:t>
      </w:r>
      <w:r w:rsidRPr="0002209C">
        <w:rPr>
          <w:rFonts w:ascii="Times New Roman" w:hAnsi="Times New Roman" w:cs="Times New Roman"/>
          <w:sz w:val="22"/>
        </w:rPr>
        <w:t>本公司旗下上述上交所</w:t>
      </w:r>
      <w:r w:rsidRPr="0002209C">
        <w:rPr>
          <w:rFonts w:ascii="Times New Roman" w:hAnsi="Times New Roman" w:cs="Times New Roman"/>
          <w:sz w:val="22"/>
        </w:rPr>
        <w:t>ETF</w:t>
      </w:r>
      <w:r w:rsidRPr="0002209C">
        <w:rPr>
          <w:rFonts w:ascii="Times New Roman" w:hAnsi="Times New Roman" w:cs="Times New Roman" w:hint="eastAsia"/>
          <w:sz w:val="22"/>
        </w:rPr>
        <w:t>将采用新版申购赎回清单。相应基金的招募说明书也将根据实际情况进行必要修改。</w:t>
      </w:r>
      <w:r w:rsidR="009C16D2" w:rsidRPr="0002209C">
        <w:rPr>
          <w:rFonts w:ascii="Times New Roman" w:hAnsi="Times New Roman" w:cs="Times New Roman" w:hint="eastAsia"/>
          <w:sz w:val="22"/>
        </w:rPr>
        <w:t>本次更新符合相关法律法规及</w:t>
      </w:r>
      <w:r w:rsidR="009C16D2" w:rsidRPr="0002209C">
        <w:rPr>
          <w:rFonts w:ascii="Times New Roman" w:hAnsi="Times New Roman" w:cs="Times New Roman" w:hint="eastAsia"/>
          <w:sz w:val="22"/>
        </w:rPr>
        <w:lastRenderedPageBreak/>
        <w:t>基金合同的规定，对基金份额持有人利益无实质性不利影响，且不涉及基金合同当事人权利义务关系变化，不需要召开基金份额持有人大会。</w:t>
      </w:r>
    </w:p>
    <w:p w:rsidR="006878B8" w:rsidRPr="0002209C" w:rsidRDefault="006878B8" w:rsidP="006A4774">
      <w:pPr>
        <w:spacing w:line="360" w:lineRule="auto"/>
        <w:rPr>
          <w:rFonts w:ascii="Times New Roman" w:hAnsi="Times New Roman" w:cs="Times New Roman"/>
          <w:sz w:val="22"/>
        </w:rPr>
      </w:pPr>
    </w:p>
    <w:p w:rsidR="006878B8" w:rsidRPr="0002209C" w:rsidRDefault="006878B8" w:rsidP="006A4774">
      <w:pPr>
        <w:spacing w:line="360" w:lineRule="auto"/>
        <w:ind w:firstLineChars="200" w:firstLine="442"/>
        <w:rPr>
          <w:rFonts w:ascii="Times New Roman" w:hAnsi="Times New Roman" w:cs="Times New Roman"/>
          <w:b/>
          <w:sz w:val="22"/>
        </w:rPr>
      </w:pPr>
      <w:r w:rsidRPr="0002209C">
        <w:rPr>
          <w:rFonts w:ascii="Times New Roman" w:hAnsi="Times New Roman" w:cs="Times New Roman" w:hint="eastAsia"/>
          <w:b/>
          <w:sz w:val="22"/>
        </w:rPr>
        <w:t>三、重要提示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本公告仅对本公司旗下上交所</w:t>
      </w:r>
      <w:r w:rsidRPr="0002209C">
        <w:rPr>
          <w:rFonts w:ascii="Times New Roman" w:hAnsi="Times New Roman" w:cs="Times New Roman"/>
          <w:sz w:val="22"/>
        </w:rPr>
        <w:t>ETF</w:t>
      </w:r>
      <w:r w:rsidRPr="0002209C">
        <w:rPr>
          <w:rFonts w:ascii="Times New Roman" w:hAnsi="Times New Roman" w:cs="Times New Roman" w:hint="eastAsia"/>
          <w:sz w:val="22"/>
        </w:rPr>
        <w:t>申购赎回清单版本更新并相应修改招募说明书的事项进行说明。本公司旗下</w:t>
      </w:r>
      <w:r w:rsidRPr="0002209C">
        <w:rPr>
          <w:rFonts w:ascii="Times New Roman" w:hAnsi="Times New Roman" w:cs="Times New Roman"/>
          <w:sz w:val="22"/>
        </w:rPr>
        <w:t>ETF</w:t>
      </w:r>
      <w:r w:rsidRPr="0002209C">
        <w:rPr>
          <w:rFonts w:ascii="Times New Roman" w:hAnsi="Times New Roman" w:cs="Times New Roman" w:hint="eastAsia"/>
          <w:sz w:val="22"/>
        </w:rPr>
        <w:t>申购赎回清单以</w:t>
      </w:r>
      <w:r w:rsidR="009C16D2" w:rsidRPr="0002209C">
        <w:rPr>
          <w:rFonts w:ascii="Times New Roman" w:hAnsi="Times New Roman" w:cs="Times New Roman" w:hint="eastAsia"/>
          <w:sz w:val="22"/>
        </w:rPr>
        <w:t>上海</w:t>
      </w:r>
      <w:r w:rsidRPr="0002209C">
        <w:rPr>
          <w:rFonts w:ascii="Times New Roman" w:hAnsi="Times New Roman" w:cs="Times New Roman" w:hint="eastAsia"/>
          <w:sz w:val="22"/>
        </w:rPr>
        <w:t>证券交易所实际公布的为准，投资者可登录本公司网站进行查询。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投资者也可通过本公司网站（</w:t>
      </w:r>
      <w:r w:rsidRPr="0002209C">
        <w:rPr>
          <w:rFonts w:ascii="Times New Roman" w:hAnsi="Times New Roman" w:cs="Times New Roman"/>
          <w:sz w:val="22"/>
        </w:rPr>
        <w:t>www.tkfunds.com.cn</w:t>
      </w:r>
      <w:r w:rsidRPr="0002209C">
        <w:rPr>
          <w:rFonts w:ascii="Times New Roman" w:hAnsi="Times New Roman" w:cs="Times New Roman" w:hint="eastAsia"/>
          <w:sz w:val="22"/>
        </w:rPr>
        <w:t>）或拨打全国免长途话费的客户服务电话（</w:t>
      </w:r>
      <w:r w:rsidRPr="0002209C">
        <w:rPr>
          <w:rFonts w:ascii="Times New Roman" w:hAnsi="Times New Roman" w:cs="Times New Roman"/>
          <w:sz w:val="22"/>
        </w:rPr>
        <w:t>400-189-5522</w:t>
      </w:r>
      <w:r w:rsidRPr="0002209C">
        <w:rPr>
          <w:rFonts w:ascii="Times New Roman" w:hAnsi="Times New Roman" w:cs="Times New Roman" w:hint="eastAsia"/>
          <w:sz w:val="22"/>
        </w:rPr>
        <w:t>）咨询有关详情。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6878B8" w:rsidRPr="0002209C" w:rsidRDefault="006878B8" w:rsidP="006A4774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特此公告。</w:t>
      </w:r>
    </w:p>
    <w:p w:rsidR="006878B8" w:rsidRPr="0002209C" w:rsidRDefault="006878B8" w:rsidP="006A4774">
      <w:pPr>
        <w:spacing w:line="360" w:lineRule="auto"/>
        <w:rPr>
          <w:rFonts w:ascii="Times New Roman" w:hAnsi="Times New Roman" w:cs="Times New Roman"/>
          <w:sz w:val="22"/>
        </w:rPr>
      </w:pPr>
    </w:p>
    <w:p w:rsidR="006878B8" w:rsidRPr="0002209C" w:rsidRDefault="006878B8" w:rsidP="006A4774">
      <w:pPr>
        <w:spacing w:line="360" w:lineRule="auto"/>
        <w:rPr>
          <w:rFonts w:ascii="Times New Roman" w:hAnsi="Times New Roman" w:cs="Times New Roman"/>
          <w:sz w:val="22"/>
        </w:rPr>
      </w:pPr>
    </w:p>
    <w:p w:rsidR="006878B8" w:rsidRPr="0002209C" w:rsidRDefault="006878B8" w:rsidP="006A4774">
      <w:pPr>
        <w:spacing w:line="360" w:lineRule="auto"/>
        <w:jc w:val="right"/>
        <w:rPr>
          <w:rFonts w:ascii="Times New Roman" w:hAnsi="Times New Roman" w:cs="Times New Roman"/>
          <w:sz w:val="22"/>
        </w:rPr>
      </w:pPr>
      <w:r w:rsidRPr="0002209C">
        <w:rPr>
          <w:rFonts w:ascii="Times New Roman" w:hAnsi="Times New Roman" w:cs="Times New Roman" w:hint="eastAsia"/>
          <w:sz w:val="22"/>
        </w:rPr>
        <w:t>泰康基金管理有限公司</w:t>
      </w:r>
    </w:p>
    <w:p w:rsidR="006878B8" w:rsidRPr="0051335C" w:rsidRDefault="006878B8" w:rsidP="006A4774">
      <w:pPr>
        <w:spacing w:line="360" w:lineRule="auto"/>
        <w:jc w:val="right"/>
        <w:rPr>
          <w:rFonts w:ascii="Times New Roman" w:hAnsi="Times New Roman" w:cs="Times New Roman"/>
          <w:sz w:val="22"/>
        </w:rPr>
      </w:pPr>
      <w:r w:rsidRPr="00C241ED">
        <w:rPr>
          <w:rFonts w:ascii="Times New Roman" w:hAnsi="Times New Roman" w:cs="Times New Roman"/>
          <w:sz w:val="22"/>
        </w:rPr>
        <w:t>2025</w:t>
      </w:r>
      <w:r w:rsidRPr="00C241ED">
        <w:rPr>
          <w:rFonts w:ascii="Times New Roman" w:hAnsi="Times New Roman" w:cs="Times New Roman" w:hint="eastAsia"/>
          <w:sz w:val="22"/>
        </w:rPr>
        <w:t>年</w:t>
      </w:r>
      <w:r w:rsidRPr="00C241ED">
        <w:rPr>
          <w:rFonts w:ascii="Times New Roman" w:hAnsi="Times New Roman" w:cs="Times New Roman"/>
          <w:sz w:val="22"/>
        </w:rPr>
        <w:t>11</w:t>
      </w:r>
      <w:r w:rsidRPr="00C241ED">
        <w:rPr>
          <w:rFonts w:ascii="Times New Roman" w:hAnsi="Times New Roman" w:cs="Times New Roman" w:hint="eastAsia"/>
          <w:sz w:val="22"/>
        </w:rPr>
        <w:t>月</w:t>
      </w:r>
      <w:r w:rsidRPr="00C241ED">
        <w:rPr>
          <w:rFonts w:ascii="Times New Roman" w:hAnsi="Times New Roman" w:cs="Times New Roman"/>
          <w:sz w:val="22"/>
        </w:rPr>
        <w:t>24</w:t>
      </w:r>
      <w:r w:rsidRPr="00C241ED">
        <w:rPr>
          <w:rFonts w:ascii="Times New Roman" w:hAnsi="Times New Roman" w:cs="Times New Roman" w:hint="eastAsia"/>
          <w:sz w:val="22"/>
        </w:rPr>
        <w:t>日</w:t>
      </w:r>
    </w:p>
    <w:sectPr w:rsidR="006878B8" w:rsidRPr="0051335C" w:rsidSect="009A0D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081" w:rsidRDefault="00921081" w:rsidP="006A4774">
      <w:r>
        <w:separator/>
      </w:r>
    </w:p>
  </w:endnote>
  <w:endnote w:type="continuationSeparator" w:id="0">
    <w:p w:rsidR="00921081" w:rsidRDefault="00921081" w:rsidP="006A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662627"/>
      <w:docPartObj>
        <w:docPartGallery w:val="Page Numbers (Bottom of Page)"/>
        <w:docPartUnique/>
      </w:docPartObj>
    </w:sdtPr>
    <w:sdtContent>
      <w:p w:rsidR="006A4774" w:rsidRDefault="009A0D46" w:rsidP="006A4774">
        <w:pPr>
          <w:pStyle w:val="a4"/>
          <w:jc w:val="center"/>
        </w:pPr>
        <w:r>
          <w:fldChar w:fldCharType="begin"/>
        </w:r>
        <w:r w:rsidR="006A4774">
          <w:instrText>PAGE   \* MERGEFORMAT</w:instrText>
        </w:r>
        <w:r>
          <w:fldChar w:fldCharType="separate"/>
        </w:r>
        <w:r w:rsidR="001A4DDC" w:rsidRPr="001A4DD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081" w:rsidRDefault="00921081" w:rsidP="006A4774">
      <w:r>
        <w:separator/>
      </w:r>
    </w:p>
  </w:footnote>
  <w:footnote w:type="continuationSeparator" w:id="0">
    <w:p w:rsidR="00921081" w:rsidRDefault="00921081" w:rsidP="006A4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8B8"/>
    <w:rsid w:val="00005F23"/>
    <w:rsid w:val="0002209C"/>
    <w:rsid w:val="000F12C9"/>
    <w:rsid w:val="001843A0"/>
    <w:rsid w:val="001A4DDC"/>
    <w:rsid w:val="002C39CB"/>
    <w:rsid w:val="00393484"/>
    <w:rsid w:val="00405FD8"/>
    <w:rsid w:val="004C2823"/>
    <w:rsid w:val="0051335C"/>
    <w:rsid w:val="006003CD"/>
    <w:rsid w:val="006878B8"/>
    <w:rsid w:val="006A4774"/>
    <w:rsid w:val="00796BF8"/>
    <w:rsid w:val="0083038A"/>
    <w:rsid w:val="008F5845"/>
    <w:rsid w:val="00921081"/>
    <w:rsid w:val="00994C48"/>
    <w:rsid w:val="009A0D46"/>
    <w:rsid w:val="009C16D2"/>
    <w:rsid w:val="009F280D"/>
    <w:rsid w:val="00A52E02"/>
    <w:rsid w:val="00B451F8"/>
    <w:rsid w:val="00C0764F"/>
    <w:rsid w:val="00C241ED"/>
    <w:rsid w:val="00D22CDE"/>
    <w:rsid w:val="00D61338"/>
    <w:rsid w:val="00D83B92"/>
    <w:rsid w:val="00D9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77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C282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C282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C282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C282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C282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C282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C2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4</DocSecurity>
  <Lines>8</Lines>
  <Paragraphs>2</Paragraphs>
  <ScaleCrop>false</ScaleCrop>
  <Company>Tkamc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徐双1028</dc:creator>
  <cp:keywords/>
  <dc:description/>
  <cp:lastModifiedBy>ZHONGM</cp:lastModifiedBy>
  <cp:revision>2</cp:revision>
  <dcterms:created xsi:type="dcterms:W3CDTF">2025-11-23T16:02:00Z</dcterms:created>
  <dcterms:modified xsi:type="dcterms:W3CDTF">2025-11-23T16:02:00Z</dcterms:modified>
</cp:coreProperties>
</file>