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071" w:rsidRPr="00E43DE7" w:rsidRDefault="008A055C" w:rsidP="00E43DE7">
      <w:pPr>
        <w:spacing w:line="360" w:lineRule="auto"/>
        <w:jc w:val="center"/>
        <w:rPr>
          <w:rFonts w:ascii="黑体" w:eastAsia="黑体" w:hAnsi="黑体" w:cs="黑体"/>
          <w:sz w:val="32"/>
          <w:szCs w:val="32"/>
        </w:rPr>
      </w:pPr>
      <w:bookmarkStart w:id="0" w:name="_GoBack"/>
      <w:bookmarkEnd w:id="0"/>
      <w:r w:rsidRPr="008A055C">
        <w:rPr>
          <w:rFonts w:ascii="Calibri" w:eastAsia="宋体" w:hAnsi="Calibri" w:cs="Times New Roman" w:hint="eastAsia"/>
          <w:b/>
          <w:sz w:val="24"/>
          <w:szCs w:val="24"/>
          <w:shd w:val="clear" w:color="auto" w:fill="FFFFFF"/>
        </w:rPr>
        <w:t>浦银安盛基金管理有限公司关于旗下上交所</w:t>
      </w:r>
      <w:r w:rsidRPr="008A055C">
        <w:rPr>
          <w:rFonts w:ascii="Calibri" w:eastAsia="宋体" w:hAnsi="Calibri" w:cs="Times New Roman"/>
          <w:b/>
          <w:sz w:val="24"/>
          <w:szCs w:val="24"/>
          <w:shd w:val="clear" w:color="auto" w:fill="FFFFFF"/>
        </w:rPr>
        <w:t>ETF</w:t>
      </w:r>
      <w:r w:rsidRPr="008A055C">
        <w:rPr>
          <w:rFonts w:ascii="Calibri" w:eastAsia="宋体" w:hAnsi="Calibri" w:cs="Times New Roman"/>
          <w:b/>
          <w:sz w:val="24"/>
          <w:szCs w:val="24"/>
          <w:shd w:val="clear" w:color="auto" w:fill="FFFFFF"/>
        </w:rPr>
        <w:t>申购赎回清单版本更新的公告</w:t>
      </w:r>
    </w:p>
    <w:p w:rsidR="00962071" w:rsidRDefault="00962071">
      <w:pPr>
        <w:snapToGrid w:val="0"/>
        <w:spacing w:line="360" w:lineRule="auto"/>
        <w:ind w:firstLineChars="200" w:firstLine="420"/>
        <w:rPr>
          <w:rFonts w:ascii="宋体" w:eastAsia="宋体" w:hAnsi="宋体" w:cs="Times New Roman"/>
        </w:rPr>
      </w:pPr>
    </w:p>
    <w:p w:rsidR="00962071" w:rsidRDefault="003170F4" w:rsidP="003170F4">
      <w:pPr>
        <w:snapToGrid w:val="0"/>
        <w:spacing w:line="360" w:lineRule="auto"/>
        <w:ind w:firstLineChars="200" w:firstLine="420"/>
        <w:rPr>
          <w:rFonts w:ascii="宋体" w:eastAsia="宋体" w:hAnsi="宋体" w:cs="Times New Roman"/>
          <w:szCs w:val="21"/>
        </w:rPr>
      </w:pPr>
      <w:r w:rsidRPr="003170F4">
        <w:rPr>
          <w:rFonts w:ascii="宋体" w:eastAsia="宋体" w:hAnsi="宋体" w:cs="Times New Roman" w:hint="eastAsia"/>
          <w:szCs w:val="21"/>
        </w:rPr>
        <w:t>根据上海证券交易所（以下简称“上交所”）</w:t>
      </w:r>
      <w:r w:rsidR="006D4488">
        <w:rPr>
          <w:rFonts w:ascii="宋体" w:eastAsia="宋体" w:hAnsi="宋体" w:cs="Times New Roman" w:hint="eastAsia"/>
          <w:szCs w:val="21"/>
        </w:rPr>
        <w:t>最新</w:t>
      </w:r>
      <w:r w:rsidRPr="003170F4">
        <w:rPr>
          <w:rFonts w:ascii="宋体" w:eastAsia="宋体" w:hAnsi="宋体" w:cs="Times New Roman" w:hint="eastAsia"/>
          <w:szCs w:val="21"/>
        </w:rPr>
        <w:t>申购赎回清单</w:t>
      </w:r>
      <w:r w:rsidR="006D4488">
        <w:rPr>
          <w:rFonts w:ascii="宋体" w:eastAsia="宋体" w:hAnsi="宋体" w:cs="Times New Roman" w:hint="eastAsia"/>
          <w:szCs w:val="21"/>
        </w:rPr>
        <w:t>格式规则，</w:t>
      </w:r>
      <w:r w:rsidR="008A055C" w:rsidRPr="008A055C">
        <w:rPr>
          <w:rFonts w:ascii="宋体" w:eastAsia="宋体" w:hAnsi="宋体" w:cs="Times New Roman"/>
          <w:szCs w:val="21"/>
        </w:rPr>
        <w:t>自2025年1</w:t>
      </w:r>
      <w:r w:rsidR="008A055C">
        <w:rPr>
          <w:rFonts w:ascii="宋体" w:eastAsia="宋体" w:hAnsi="宋体" w:cs="Times New Roman"/>
          <w:szCs w:val="21"/>
        </w:rPr>
        <w:t>1</w:t>
      </w:r>
      <w:r w:rsidR="008A055C" w:rsidRPr="008A055C">
        <w:rPr>
          <w:rFonts w:ascii="宋体" w:eastAsia="宋体" w:hAnsi="宋体" w:cs="Times New Roman"/>
          <w:szCs w:val="21"/>
        </w:rPr>
        <w:t>月</w:t>
      </w:r>
      <w:r w:rsidR="00B97E45">
        <w:rPr>
          <w:rFonts w:ascii="宋体" w:eastAsia="宋体" w:hAnsi="宋体" w:cs="Times New Roman"/>
          <w:szCs w:val="21"/>
        </w:rPr>
        <w:t>24</w:t>
      </w:r>
      <w:r w:rsidR="008A055C" w:rsidRPr="008A055C">
        <w:rPr>
          <w:rFonts w:ascii="宋体" w:eastAsia="宋体" w:hAnsi="宋体" w:cs="Times New Roman"/>
          <w:szCs w:val="21"/>
        </w:rPr>
        <w:t>日</w:t>
      </w:r>
      <w:r w:rsidR="008A055C" w:rsidRPr="008A055C">
        <w:rPr>
          <w:rFonts w:ascii="宋体" w:eastAsia="宋体" w:hAnsi="宋体" w:cs="Times New Roman" w:hint="eastAsia"/>
          <w:szCs w:val="21"/>
        </w:rPr>
        <w:t>起，浦银安盛基金管理有限公司（以下简称</w:t>
      </w:r>
      <w:r w:rsidR="006D4488">
        <w:rPr>
          <w:rFonts w:ascii="宋体" w:eastAsia="宋体" w:hAnsi="宋体" w:cs="Times New Roman" w:hint="eastAsia"/>
          <w:szCs w:val="21"/>
        </w:rPr>
        <w:t>“本公司”</w:t>
      </w:r>
      <w:r w:rsidR="008A055C" w:rsidRPr="008A055C">
        <w:rPr>
          <w:rFonts w:ascii="宋体" w:eastAsia="宋体" w:hAnsi="宋体" w:cs="Times New Roman" w:hint="eastAsia"/>
          <w:szCs w:val="21"/>
        </w:rPr>
        <w:t>）对旗下上交所</w:t>
      </w:r>
      <w:r w:rsidR="008A055C" w:rsidRPr="008A055C">
        <w:rPr>
          <w:rFonts w:ascii="宋体" w:eastAsia="宋体" w:hAnsi="宋体" w:cs="Times New Roman"/>
          <w:szCs w:val="21"/>
        </w:rPr>
        <w:t>ETF申购赎</w:t>
      </w:r>
      <w:r w:rsidR="008A055C" w:rsidRPr="008A055C">
        <w:rPr>
          <w:rFonts w:ascii="宋体" w:eastAsia="宋体" w:hAnsi="宋体" w:cs="Times New Roman" w:hint="eastAsia"/>
          <w:szCs w:val="21"/>
        </w:rPr>
        <w:t>回清单进行版本更新，具体如下：</w:t>
      </w:r>
    </w:p>
    <w:p w:rsidR="00962071" w:rsidRDefault="00397521">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一、</w:t>
      </w:r>
      <w:r w:rsidR="009E19E9" w:rsidRPr="009E19E9">
        <w:rPr>
          <w:rFonts w:ascii="宋体" w:eastAsia="宋体" w:hAnsi="宋体" w:cs="Times New Roman" w:hint="eastAsia"/>
          <w:szCs w:val="21"/>
        </w:rPr>
        <w:t>涉及本次申购赎回清单版本更新的基金列表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
        <w:gridCol w:w="4029"/>
        <w:gridCol w:w="1134"/>
        <w:gridCol w:w="1134"/>
        <w:gridCol w:w="1559"/>
      </w:tblGrid>
      <w:tr w:rsidR="003170F4" w:rsidTr="001E1BF5">
        <w:trPr>
          <w:trHeight w:val="300"/>
          <w:jc w:val="center"/>
        </w:trPr>
        <w:tc>
          <w:tcPr>
            <w:tcW w:w="644" w:type="dxa"/>
            <w:shd w:val="clear" w:color="auto" w:fill="auto"/>
            <w:noWrap/>
            <w:vAlign w:val="center"/>
          </w:tcPr>
          <w:p w:rsidR="003170F4" w:rsidRDefault="003170F4">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序号</w:t>
            </w:r>
          </w:p>
        </w:tc>
        <w:tc>
          <w:tcPr>
            <w:tcW w:w="4029" w:type="dxa"/>
            <w:shd w:val="clear" w:color="auto" w:fill="auto"/>
            <w:noWrap/>
            <w:vAlign w:val="center"/>
          </w:tcPr>
          <w:p w:rsidR="003170F4" w:rsidRDefault="003170F4">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基金全称</w:t>
            </w:r>
          </w:p>
        </w:tc>
        <w:tc>
          <w:tcPr>
            <w:tcW w:w="1134" w:type="dxa"/>
            <w:shd w:val="clear" w:color="auto" w:fill="auto"/>
            <w:noWrap/>
            <w:vAlign w:val="center"/>
          </w:tcPr>
          <w:p w:rsidR="003170F4" w:rsidRDefault="003170F4" w:rsidP="003170F4">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基金代码</w:t>
            </w:r>
          </w:p>
        </w:tc>
        <w:tc>
          <w:tcPr>
            <w:tcW w:w="1134" w:type="dxa"/>
          </w:tcPr>
          <w:p w:rsidR="003170F4" w:rsidRDefault="003170F4" w:rsidP="0089043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场内简称</w:t>
            </w:r>
          </w:p>
        </w:tc>
        <w:tc>
          <w:tcPr>
            <w:tcW w:w="1559" w:type="dxa"/>
          </w:tcPr>
          <w:p w:rsidR="003170F4" w:rsidRDefault="00412033" w:rsidP="003170F4">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扩位证券简称</w:t>
            </w:r>
          </w:p>
        </w:tc>
      </w:tr>
      <w:tr w:rsidR="003170F4" w:rsidRPr="00E43DE7" w:rsidTr="001E1BF5">
        <w:trPr>
          <w:trHeight w:val="300"/>
          <w:jc w:val="center"/>
        </w:trPr>
        <w:tc>
          <w:tcPr>
            <w:tcW w:w="644" w:type="dxa"/>
            <w:shd w:val="clear" w:color="auto" w:fill="auto"/>
            <w:noWrap/>
            <w:vAlign w:val="center"/>
          </w:tcPr>
          <w:p w:rsidR="003170F4" w:rsidRDefault="003170F4" w:rsidP="0089043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w:t>
            </w:r>
          </w:p>
        </w:tc>
        <w:tc>
          <w:tcPr>
            <w:tcW w:w="4029" w:type="dxa"/>
            <w:shd w:val="clear" w:color="auto" w:fill="auto"/>
            <w:noWrap/>
            <w:vAlign w:val="center"/>
          </w:tcPr>
          <w:p w:rsidR="003170F4" w:rsidRDefault="00890430" w:rsidP="00890430">
            <w:pPr>
              <w:widowControl/>
              <w:jc w:val="center"/>
              <w:rPr>
                <w:rFonts w:ascii="宋体" w:eastAsia="宋体" w:hAnsi="宋体" w:cs="Times New Roman"/>
                <w:color w:val="000000"/>
                <w:kern w:val="0"/>
                <w:szCs w:val="21"/>
              </w:rPr>
            </w:pPr>
            <w:r w:rsidRPr="00890430">
              <w:rPr>
                <w:rFonts w:ascii="宋体" w:eastAsia="宋体" w:hAnsi="宋体" w:cs="Times New Roman" w:hint="eastAsia"/>
                <w:color w:val="000000"/>
                <w:kern w:val="0"/>
                <w:szCs w:val="21"/>
              </w:rPr>
              <w:t>浦银安盛中证</w:t>
            </w:r>
            <w:r w:rsidRPr="00890430">
              <w:rPr>
                <w:rFonts w:ascii="宋体" w:eastAsia="宋体" w:hAnsi="宋体" w:cs="Times New Roman"/>
                <w:color w:val="000000"/>
                <w:kern w:val="0"/>
                <w:szCs w:val="21"/>
              </w:rPr>
              <w:t>ESG 120策略交易型开放式指数证券投资基金</w:t>
            </w:r>
          </w:p>
        </w:tc>
        <w:tc>
          <w:tcPr>
            <w:tcW w:w="1134" w:type="dxa"/>
            <w:shd w:val="clear" w:color="auto" w:fill="auto"/>
            <w:noWrap/>
            <w:vAlign w:val="center"/>
          </w:tcPr>
          <w:p w:rsidR="003170F4" w:rsidRDefault="001E1BF5" w:rsidP="00890430">
            <w:pPr>
              <w:widowControl/>
              <w:jc w:val="center"/>
              <w:rPr>
                <w:rFonts w:ascii="宋体" w:eastAsia="宋体" w:hAnsi="宋体" w:cs="Times New Roman"/>
                <w:color w:val="000000"/>
                <w:kern w:val="0"/>
                <w:szCs w:val="21"/>
              </w:rPr>
            </w:pPr>
            <w:r>
              <w:rPr>
                <w:rFonts w:ascii="宋体" w:eastAsia="宋体" w:hAnsi="宋体" w:cs="Times New Roman"/>
                <w:color w:val="000000"/>
                <w:kern w:val="0"/>
                <w:szCs w:val="21"/>
              </w:rPr>
              <w:t>516720</w:t>
            </w:r>
          </w:p>
        </w:tc>
        <w:tc>
          <w:tcPr>
            <w:tcW w:w="1134" w:type="dxa"/>
            <w:vAlign w:val="center"/>
          </w:tcPr>
          <w:p w:rsidR="003170F4" w:rsidRPr="00E41549" w:rsidRDefault="001E1BF5" w:rsidP="0089043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ESGETF</w:t>
            </w:r>
          </w:p>
        </w:tc>
        <w:tc>
          <w:tcPr>
            <w:tcW w:w="1559" w:type="dxa"/>
            <w:vAlign w:val="center"/>
          </w:tcPr>
          <w:p w:rsidR="003170F4" w:rsidRPr="00E41549" w:rsidRDefault="001E1BF5" w:rsidP="0089043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ESGETF</w:t>
            </w:r>
          </w:p>
        </w:tc>
      </w:tr>
      <w:tr w:rsidR="003170F4" w:rsidRPr="00E43DE7" w:rsidTr="001E1BF5">
        <w:trPr>
          <w:trHeight w:val="300"/>
          <w:jc w:val="center"/>
        </w:trPr>
        <w:tc>
          <w:tcPr>
            <w:tcW w:w="644" w:type="dxa"/>
            <w:shd w:val="clear" w:color="auto" w:fill="auto"/>
            <w:noWrap/>
            <w:vAlign w:val="center"/>
          </w:tcPr>
          <w:p w:rsidR="003170F4" w:rsidRDefault="003170F4" w:rsidP="0089043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2</w:t>
            </w:r>
          </w:p>
        </w:tc>
        <w:tc>
          <w:tcPr>
            <w:tcW w:w="4029" w:type="dxa"/>
            <w:shd w:val="clear" w:color="auto" w:fill="auto"/>
            <w:vAlign w:val="center"/>
          </w:tcPr>
          <w:p w:rsidR="003170F4" w:rsidRPr="00E41549" w:rsidRDefault="00890430" w:rsidP="00890430">
            <w:pPr>
              <w:widowControl/>
              <w:jc w:val="center"/>
              <w:rPr>
                <w:rFonts w:ascii="宋体" w:eastAsia="宋体" w:hAnsi="宋体" w:cs="Times New Roman"/>
                <w:color w:val="000000"/>
                <w:kern w:val="0"/>
                <w:szCs w:val="21"/>
              </w:rPr>
            </w:pPr>
            <w:r w:rsidRPr="00890430">
              <w:rPr>
                <w:rFonts w:ascii="宋体" w:eastAsia="宋体" w:hAnsi="宋体" w:cs="Times New Roman" w:hint="eastAsia"/>
                <w:color w:val="000000"/>
                <w:kern w:val="0"/>
                <w:szCs w:val="21"/>
              </w:rPr>
              <w:t>浦银安盛中证沪港深游戏及文化传媒交易型开放式指数证券投资基金</w:t>
            </w:r>
          </w:p>
        </w:tc>
        <w:tc>
          <w:tcPr>
            <w:tcW w:w="1134" w:type="dxa"/>
            <w:shd w:val="clear" w:color="auto" w:fill="auto"/>
            <w:noWrap/>
            <w:vAlign w:val="center"/>
          </w:tcPr>
          <w:p w:rsidR="003170F4" w:rsidRDefault="001E1BF5" w:rsidP="00890430">
            <w:pPr>
              <w:widowControl/>
              <w:jc w:val="center"/>
              <w:rPr>
                <w:rFonts w:ascii="宋体" w:eastAsia="宋体" w:hAnsi="宋体" w:cs="Times New Roman"/>
                <w:color w:val="000000"/>
                <w:kern w:val="0"/>
                <w:szCs w:val="21"/>
              </w:rPr>
            </w:pPr>
            <w:r>
              <w:rPr>
                <w:rFonts w:ascii="宋体" w:eastAsia="宋体" w:hAnsi="宋体" w:cs="Times New Roman"/>
                <w:color w:val="000000"/>
                <w:kern w:val="0"/>
                <w:szCs w:val="21"/>
              </w:rPr>
              <w:t>517770</w:t>
            </w:r>
          </w:p>
        </w:tc>
        <w:tc>
          <w:tcPr>
            <w:tcW w:w="1134" w:type="dxa"/>
            <w:vAlign w:val="center"/>
          </w:tcPr>
          <w:p w:rsidR="003170F4" w:rsidRPr="00E41549" w:rsidRDefault="001E1BF5" w:rsidP="0089043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游戏传媒</w:t>
            </w:r>
          </w:p>
        </w:tc>
        <w:tc>
          <w:tcPr>
            <w:tcW w:w="1559" w:type="dxa"/>
            <w:vAlign w:val="center"/>
          </w:tcPr>
          <w:p w:rsidR="003170F4" w:rsidRPr="00E41549" w:rsidRDefault="001E1BF5" w:rsidP="0089043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游戏传媒ETF</w:t>
            </w:r>
          </w:p>
        </w:tc>
      </w:tr>
      <w:tr w:rsidR="003170F4" w:rsidRPr="00E43DE7" w:rsidTr="001E1BF5">
        <w:trPr>
          <w:trHeight w:val="300"/>
          <w:jc w:val="center"/>
        </w:trPr>
        <w:tc>
          <w:tcPr>
            <w:tcW w:w="644" w:type="dxa"/>
            <w:shd w:val="clear" w:color="auto" w:fill="auto"/>
            <w:noWrap/>
            <w:vAlign w:val="center"/>
          </w:tcPr>
          <w:p w:rsidR="003170F4" w:rsidRDefault="003170F4" w:rsidP="0089043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3</w:t>
            </w:r>
          </w:p>
        </w:tc>
        <w:tc>
          <w:tcPr>
            <w:tcW w:w="4029" w:type="dxa"/>
            <w:shd w:val="clear" w:color="auto" w:fill="auto"/>
            <w:vAlign w:val="center"/>
          </w:tcPr>
          <w:p w:rsidR="003170F4" w:rsidRPr="00E41549" w:rsidRDefault="00890430" w:rsidP="00890430">
            <w:pPr>
              <w:widowControl/>
              <w:jc w:val="center"/>
              <w:rPr>
                <w:rFonts w:ascii="宋体" w:eastAsia="宋体" w:hAnsi="宋体" w:cs="Times New Roman"/>
                <w:color w:val="000000"/>
                <w:kern w:val="0"/>
                <w:szCs w:val="21"/>
              </w:rPr>
            </w:pPr>
            <w:r w:rsidRPr="00890430">
              <w:rPr>
                <w:rFonts w:ascii="宋体" w:eastAsia="宋体" w:hAnsi="宋体" w:cs="Times New Roman" w:hint="eastAsia"/>
                <w:color w:val="000000"/>
                <w:kern w:val="0"/>
                <w:szCs w:val="21"/>
              </w:rPr>
              <w:t>浦银安盛中证证券公司</w:t>
            </w:r>
            <w:r w:rsidRPr="00890430">
              <w:rPr>
                <w:rFonts w:ascii="宋体" w:eastAsia="宋体" w:hAnsi="宋体" w:cs="Times New Roman"/>
                <w:color w:val="000000"/>
                <w:kern w:val="0"/>
                <w:szCs w:val="21"/>
              </w:rPr>
              <w:t>30交易型开放式指数证券投资基金</w:t>
            </w:r>
          </w:p>
        </w:tc>
        <w:tc>
          <w:tcPr>
            <w:tcW w:w="1134" w:type="dxa"/>
            <w:shd w:val="clear" w:color="auto" w:fill="auto"/>
            <w:noWrap/>
            <w:vAlign w:val="center"/>
          </w:tcPr>
          <w:p w:rsidR="003170F4" w:rsidRDefault="001E1BF5" w:rsidP="00890430">
            <w:pPr>
              <w:widowControl/>
              <w:jc w:val="center"/>
              <w:rPr>
                <w:rFonts w:ascii="宋体" w:eastAsia="宋体" w:hAnsi="宋体" w:cs="Times New Roman"/>
                <w:color w:val="000000"/>
                <w:kern w:val="0"/>
                <w:szCs w:val="21"/>
              </w:rPr>
            </w:pPr>
            <w:r>
              <w:rPr>
                <w:rFonts w:ascii="宋体" w:eastAsia="宋体" w:hAnsi="宋体" w:cs="Times New Roman"/>
                <w:color w:val="000000"/>
                <w:kern w:val="0"/>
                <w:szCs w:val="21"/>
              </w:rPr>
              <w:t>516730</w:t>
            </w:r>
          </w:p>
        </w:tc>
        <w:tc>
          <w:tcPr>
            <w:tcW w:w="1134" w:type="dxa"/>
            <w:vAlign w:val="center"/>
          </w:tcPr>
          <w:p w:rsidR="003170F4" w:rsidRPr="00E41549" w:rsidRDefault="001E1BF5" w:rsidP="0089043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证券公司</w:t>
            </w:r>
          </w:p>
        </w:tc>
        <w:tc>
          <w:tcPr>
            <w:tcW w:w="1559" w:type="dxa"/>
            <w:vAlign w:val="center"/>
          </w:tcPr>
          <w:p w:rsidR="003170F4" w:rsidRPr="00E41549" w:rsidRDefault="001E1BF5" w:rsidP="0089043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证券公司ETF</w:t>
            </w:r>
          </w:p>
        </w:tc>
      </w:tr>
      <w:tr w:rsidR="001E1BF5" w:rsidRPr="00E43DE7" w:rsidTr="001E1BF5">
        <w:trPr>
          <w:trHeight w:val="300"/>
          <w:jc w:val="center"/>
        </w:trPr>
        <w:tc>
          <w:tcPr>
            <w:tcW w:w="644" w:type="dxa"/>
            <w:shd w:val="clear" w:color="auto" w:fill="auto"/>
            <w:noWrap/>
            <w:vAlign w:val="center"/>
          </w:tcPr>
          <w:p w:rsidR="001E1BF5" w:rsidRDefault="001E1BF5" w:rsidP="001E1BF5">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4</w:t>
            </w:r>
          </w:p>
        </w:tc>
        <w:tc>
          <w:tcPr>
            <w:tcW w:w="4029" w:type="dxa"/>
            <w:shd w:val="clear" w:color="auto" w:fill="auto"/>
            <w:vAlign w:val="center"/>
          </w:tcPr>
          <w:p w:rsidR="001E1BF5" w:rsidRPr="00E41549" w:rsidRDefault="001E1BF5" w:rsidP="001E1BF5">
            <w:pPr>
              <w:widowControl/>
              <w:jc w:val="center"/>
              <w:rPr>
                <w:rFonts w:ascii="宋体" w:eastAsia="宋体" w:hAnsi="宋体" w:cs="Times New Roman"/>
                <w:color w:val="000000"/>
                <w:kern w:val="0"/>
                <w:szCs w:val="21"/>
              </w:rPr>
            </w:pPr>
            <w:r w:rsidRPr="00890430">
              <w:rPr>
                <w:rFonts w:ascii="宋体" w:eastAsia="宋体" w:hAnsi="宋体" w:cs="Times New Roman" w:hint="eastAsia"/>
                <w:color w:val="000000"/>
                <w:kern w:val="0"/>
                <w:szCs w:val="21"/>
              </w:rPr>
              <w:t>浦银安盛中证智能电动汽车交易型开放式指数证券投资基金</w:t>
            </w:r>
          </w:p>
        </w:tc>
        <w:tc>
          <w:tcPr>
            <w:tcW w:w="1134" w:type="dxa"/>
            <w:shd w:val="clear" w:color="auto" w:fill="auto"/>
            <w:noWrap/>
            <w:vAlign w:val="center"/>
          </w:tcPr>
          <w:p w:rsidR="001E1BF5" w:rsidRDefault="001E1BF5" w:rsidP="001E1BF5">
            <w:pPr>
              <w:widowControl/>
              <w:jc w:val="center"/>
              <w:rPr>
                <w:rFonts w:ascii="宋体" w:eastAsia="宋体" w:hAnsi="宋体" w:cs="Times New Roman"/>
                <w:color w:val="000000"/>
                <w:kern w:val="0"/>
                <w:szCs w:val="21"/>
              </w:rPr>
            </w:pPr>
            <w:r>
              <w:rPr>
                <w:rFonts w:ascii="宋体" w:eastAsia="宋体" w:hAnsi="宋体" w:cs="Times New Roman"/>
                <w:color w:val="000000"/>
                <w:kern w:val="0"/>
                <w:szCs w:val="21"/>
              </w:rPr>
              <w:t>560000</w:t>
            </w:r>
          </w:p>
        </w:tc>
        <w:tc>
          <w:tcPr>
            <w:tcW w:w="1134" w:type="dxa"/>
            <w:vAlign w:val="center"/>
          </w:tcPr>
          <w:p w:rsidR="001E1BF5" w:rsidRPr="00E41549" w:rsidRDefault="001E1BF5" w:rsidP="001E1BF5">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智慧电车</w:t>
            </w:r>
          </w:p>
        </w:tc>
        <w:tc>
          <w:tcPr>
            <w:tcW w:w="1559" w:type="dxa"/>
            <w:vAlign w:val="center"/>
          </w:tcPr>
          <w:p w:rsidR="001E1BF5" w:rsidRPr="00E41549" w:rsidRDefault="001E1BF5" w:rsidP="001E1BF5">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智慧电车E</w:t>
            </w:r>
            <w:r>
              <w:rPr>
                <w:rFonts w:ascii="宋体" w:eastAsia="宋体" w:hAnsi="宋体" w:cs="Times New Roman"/>
                <w:color w:val="000000"/>
                <w:kern w:val="0"/>
                <w:szCs w:val="21"/>
              </w:rPr>
              <w:t>TF</w:t>
            </w:r>
          </w:p>
        </w:tc>
      </w:tr>
    </w:tbl>
    <w:p w:rsidR="00962071" w:rsidRPr="00E41549" w:rsidRDefault="00962071" w:rsidP="00E41549">
      <w:pPr>
        <w:widowControl/>
        <w:jc w:val="center"/>
        <w:rPr>
          <w:rFonts w:ascii="宋体" w:eastAsia="宋体" w:hAnsi="宋体" w:cs="Times New Roman"/>
          <w:color w:val="000000"/>
          <w:kern w:val="0"/>
          <w:szCs w:val="21"/>
        </w:rPr>
      </w:pPr>
    </w:p>
    <w:p w:rsidR="00F86D5B" w:rsidRDefault="00397521">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二、</w:t>
      </w:r>
      <w:r w:rsidR="006D4488">
        <w:rPr>
          <w:rFonts w:ascii="宋体" w:eastAsia="宋体" w:hAnsi="宋体" w:cs="Times New Roman" w:hint="eastAsia"/>
          <w:szCs w:val="21"/>
        </w:rPr>
        <w:t>更新</w:t>
      </w:r>
      <w:r w:rsidR="009E19E9" w:rsidRPr="009E19E9">
        <w:rPr>
          <w:rFonts w:ascii="宋体" w:eastAsia="宋体" w:hAnsi="宋体" w:cs="Times New Roman" w:hint="eastAsia"/>
          <w:szCs w:val="21"/>
        </w:rPr>
        <w:t>情况说明</w:t>
      </w:r>
    </w:p>
    <w:p w:rsidR="00F86D5B" w:rsidRDefault="00F86D5B" w:rsidP="00F86D5B">
      <w:pPr>
        <w:snapToGrid w:val="0"/>
        <w:spacing w:line="360" w:lineRule="auto"/>
        <w:ind w:firstLineChars="200" w:firstLine="420"/>
        <w:rPr>
          <w:rFonts w:ascii="宋体" w:eastAsia="宋体" w:hAnsi="宋体" w:cs="Times New Roman"/>
          <w:szCs w:val="21"/>
        </w:rPr>
      </w:pPr>
      <w:r w:rsidRPr="00F86D5B">
        <w:rPr>
          <w:rFonts w:ascii="宋体" w:eastAsia="宋体" w:hAnsi="宋体" w:cs="Times New Roman" w:hint="eastAsia"/>
          <w:szCs w:val="21"/>
        </w:rPr>
        <w:t>根据《上海证券交易所优化</w:t>
      </w:r>
      <w:r w:rsidRPr="00F86D5B">
        <w:rPr>
          <w:rFonts w:ascii="宋体" w:eastAsia="宋体" w:hAnsi="宋体" w:cs="Times New Roman"/>
          <w:szCs w:val="21"/>
        </w:rPr>
        <w:t>ETF申赎清单市场参与者技术实施指南》3.0版，上交所</w:t>
      </w:r>
      <w:r>
        <w:rPr>
          <w:rFonts w:ascii="宋体" w:eastAsia="宋体" w:hAnsi="宋体" w:cs="Times New Roman"/>
          <w:szCs w:val="21"/>
        </w:rPr>
        <w:t xml:space="preserve"> ETF</w:t>
      </w:r>
      <w:r w:rsidRPr="00F86D5B">
        <w:rPr>
          <w:rFonts w:ascii="宋体" w:eastAsia="宋体" w:hAnsi="宋体" w:cs="Times New Roman" w:hint="eastAsia"/>
          <w:szCs w:val="21"/>
        </w:rPr>
        <w:t>申购赎回清单将新增</w:t>
      </w:r>
      <w:r w:rsidRPr="00F86D5B">
        <w:rPr>
          <w:rFonts w:ascii="宋体" w:eastAsia="宋体" w:hAnsi="宋体" w:cs="Times New Roman"/>
          <w:szCs w:val="21"/>
        </w:rPr>
        <w:t xml:space="preserve"> xml版本，除格式变更外，主要调整包括：</w:t>
      </w:r>
    </w:p>
    <w:p w:rsidR="00F86D5B" w:rsidRPr="00F86D5B" w:rsidRDefault="00F86D5B" w:rsidP="00F86D5B">
      <w:pPr>
        <w:snapToGrid w:val="0"/>
        <w:spacing w:line="360" w:lineRule="auto"/>
        <w:ind w:firstLineChars="200" w:firstLine="420"/>
        <w:rPr>
          <w:rFonts w:ascii="宋体" w:eastAsia="宋体" w:hAnsi="宋体" w:cs="Times New Roman"/>
          <w:szCs w:val="21"/>
        </w:rPr>
      </w:pPr>
      <w:r w:rsidRPr="00F86D5B">
        <w:rPr>
          <w:rFonts w:ascii="宋体" w:eastAsia="宋体" w:hAnsi="宋体" w:cs="Times New Roman"/>
          <w:szCs w:val="21"/>
        </w:rPr>
        <w:t>1.启用“市场ID”字段；</w:t>
      </w:r>
    </w:p>
    <w:p w:rsidR="00F86D5B" w:rsidRDefault="00F86D5B" w:rsidP="00F86D5B">
      <w:pPr>
        <w:snapToGrid w:val="0"/>
        <w:spacing w:line="360" w:lineRule="auto"/>
        <w:ind w:firstLineChars="200" w:firstLine="420"/>
        <w:rPr>
          <w:rFonts w:ascii="宋体" w:eastAsia="宋体" w:hAnsi="宋体" w:cs="Times New Roman"/>
          <w:szCs w:val="21"/>
        </w:rPr>
      </w:pPr>
      <w:r w:rsidRPr="00F86D5B">
        <w:rPr>
          <w:rFonts w:ascii="宋体" w:eastAsia="宋体" w:hAnsi="宋体" w:cs="Times New Roman"/>
          <w:szCs w:val="21"/>
        </w:rPr>
        <w:t>2.调整“替代标志”字段描述，统一调整为“0-禁止现金替代”“1-允许现金替代”“2-必</w:t>
      </w:r>
      <w:r w:rsidRPr="00F86D5B">
        <w:rPr>
          <w:rFonts w:ascii="宋体" w:eastAsia="宋体" w:hAnsi="宋体" w:cs="Times New Roman" w:hint="eastAsia"/>
          <w:szCs w:val="21"/>
        </w:rPr>
        <w:t>须现金替代”三类；</w:t>
      </w:r>
    </w:p>
    <w:p w:rsidR="00F86D5B" w:rsidRPr="00F86D5B" w:rsidRDefault="00F86D5B" w:rsidP="00F86D5B">
      <w:pPr>
        <w:snapToGrid w:val="0"/>
        <w:spacing w:line="360" w:lineRule="auto"/>
        <w:ind w:firstLineChars="200" w:firstLine="420"/>
        <w:rPr>
          <w:rFonts w:ascii="宋体" w:eastAsia="宋体" w:hAnsi="宋体" w:cs="Times New Roman"/>
          <w:szCs w:val="21"/>
        </w:rPr>
      </w:pPr>
      <w:r w:rsidRPr="00F86D5B">
        <w:rPr>
          <w:rFonts w:ascii="宋体" w:eastAsia="宋体" w:hAnsi="宋体" w:cs="Times New Roman"/>
          <w:szCs w:val="21"/>
        </w:rPr>
        <w:t>3.</w:t>
      </w:r>
      <w:r w:rsidRPr="00F86D5B">
        <w:rPr>
          <w:rFonts w:ascii="宋体" w:eastAsia="宋体" w:hAnsi="宋体" w:cs="Times New Roman" w:hint="eastAsia"/>
          <w:szCs w:val="21"/>
        </w:rPr>
        <w:t>新增</w:t>
      </w:r>
      <w:r w:rsidRPr="00F86D5B">
        <w:rPr>
          <w:rFonts w:ascii="宋体" w:eastAsia="宋体" w:hAnsi="宋体" w:cs="Times New Roman"/>
          <w:szCs w:val="21"/>
        </w:rPr>
        <w:t>“当日净申购基金份额上限”“当日净赎回基金份额上限”字段；</w:t>
      </w:r>
    </w:p>
    <w:p w:rsidR="00F86D5B" w:rsidRDefault="00F86D5B" w:rsidP="00F86D5B">
      <w:pPr>
        <w:snapToGrid w:val="0"/>
        <w:spacing w:line="360" w:lineRule="auto"/>
        <w:ind w:firstLineChars="200" w:firstLine="420"/>
        <w:rPr>
          <w:rFonts w:ascii="宋体" w:eastAsia="宋体" w:hAnsi="宋体" w:cs="Times New Roman"/>
          <w:szCs w:val="21"/>
        </w:rPr>
      </w:pPr>
      <w:r w:rsidRPr="00F86D5B">
        <w:rPr>
          <w:rFonts w:ascii="宋体" w:eastAsia="宋体" w:hAnsi="宋体" w:cs="Times New Roman"/>
          <w:szCs w:val="21"/>
        </w:rPr>
        <w:t>4.新增“单个账户净申购总额限制”“单个账户净赎回总额限制”字段；</w:t>
      </w:r>
    </w:p>
    <w:p w:rsidR="00F86D5B" w:rsidRDefault="00F86D5B" w:rsidP="00F86D5B">
      <w:pPr>
        <w:snapToGrid w:val="0"/>
        <w:spacing w:line="360" w:lineRule="auto"/>
        <w:ind w:firstLineChars="200" w:firstLine="420"/>
        <w:rPr>
          <w:rFonts w:ascii="宋体" w:eastAsia="宋体" w:hAnsi="宋体" w:cs="Times New Roman"/>
          <w:szCs w:val="21"/>
        </w:rPr>
      </w:pPr>
      <w:r w:rsidRPr="00F86D5B">
        <w:rPr>
          <w:rFonts w:ascii="宋体" w:eastAsia="宋体" w:hAnsi="宋体" w:cs="Times New Roman"/>
          <w:szCs w:val="21"/>
        </w:rPr>
        <w:t>5.新增“单个账户</w:t>
      </w:r>
      <w:r w:rsidRPr="00F86D5B">
        <w:rPr>
          <w:rFonts w:ascii="宋体" w:eastAsia="宋体" w:hAnsi="宋体" w:cs="Times New Roman" w:hint="eastAsia"/>
          <w:szCs w:val="21"/>
        </w:rPr>
        <w:t>累计申购总额限制”“单个账户累计赎回总额限制”字段；</w:t>
      </w:r>
    </w:p>
    <w:p w:rsidR="00F86D5B" w:rsidRDefault="00F86D5B" w:rsidP="00F86D5B">
      <w:pPr>
        <w:snapToGrid w:val="0"/>
        <w:spacing w:line="360" w:lineRule="auto"/>
        <w:ind w:firstLineChars="200" w:firstLine="420"/>
        <w:rPr>
          <w:rFonts w:ascii="宋体" w:eastAsia="宋体" w:hAnsi="宋体" w:cs="Times New Roman"/>
          <w:szCs w:val="21"/>
        </w:rPr>
      </w:pPr>
      <w:r w:rsidRPr="00F86D5B">
        <w:rPr>
          <w:rFonts w:ascii="宋体" w:eastAsia="宋体" w:hAnsi="宋体" w:cs="Times New Roman"/>
          <w:szCs w:val="21"/>
        </w:rPr>
        <w:t>6.新增“当日申购限额”“当日赎</w:t>
      </w:r>
      <w:r w:rsidRPr="00F86D5B">
        <w:rPr>
          <w:rFonts w:ascii="宋体" w:eastAsia="宋体" w:hAnsi="宋体" w:cs="Times New Roman" w:hint="eastAsia"/>
          <w:szCs w:val="21"/>
        </w:rPr>
        <w:t>回限额”；</w:t>
      </w:r>
    </w:p>
    <w:p w:rsidR="0007240C" w:rsidRDefault="00F86D5B" w:rsidP="00F86D5B">
      <w:pPr>
        <w:snapToGrid w:val="0"/>
        <w:spacing w:line="360" w:lineRule="auto"/>
        <w:ind w:firstLineChars="200" w:firstLine="420"/>
        <w:rPr>
          <w:rFonts w:ascii="宋体" w:eastAsia="宋体" w:hAnsi="宋体" w:cs="Times New Roman"/>
          <w:szCs w:val="21"/>
        </w:rPr>
      </w:pPr>
      <w:r w:rsidRPr="00F86D5B">
        <w:rPr>
          <w:rFonts w:ascii="宋体" w:eastAsia="宋体" w:hAnsi="宋体" w:cs="Times New Roman"/>
          <w:szCs w:val="21"/>
        </w:rPr>
        <w:t>7.增加部分字段长度；</w:t>
      </w:r>
    </w:p>
    <w:p w:rsidR="00F86D5B" w:rsidRDefault="00F86D5B" w:rsidP="00F86D5B">
      <w:pPr>
        <w:snapToGrid w:val="0"/>
        <w:spacing w:line="360" w:lineRule="auto"/>
        <w:ind w:firstLineChars="200" w:firstLine="420"/>
        <w:rPr>
          <w:rFonts w:ascii="宋体" w:eastAsia="宋体" w:hAnsi="宋体" w:cs="Times New Roman"/>
          <w:szCs w:val="21"/>
        </w:rPr>
      </w:pPr>
      <w:r w:rsidRPr="00F86D5B">
        <w:rPr>
          <w:rFonts w:ascii="宋体" w:eastAsia="宋体" w:hAnsi="宋体" w:cs="Times New Roman"/>
          <w:szCs w:val="21"/>
        </w:rPr>
        <w:t>8.新增“申赎模式”字段。</w:t>
      </w:r>
    </w:p>
    <w:p w:rsidR="00F86D5B" w:rsidRPr="00F86D5B" w:rsidRDefault="00F86D5B" w:rsidP="00F86D5B">
      <w:pPr>
        <w:snapToGrid w:val="0"/>
        <w:spacing w:line="360" w:lineRule="auto"/>
        <w:ind w:firstLineChars="200" w:firstLine="420"/>
        <w:rPr>
          <w:rFonts w:ascii="宋体" w:eastAsia="宋体" w:hAnsi="宋体" w:cs="Times New Roman"/>
          <w:szCs w:val="21"/>
        </w:rPr>
      </w:pPr>
      <w:r w:rsidRPr="00F86D5B">
        <w:rPr>
          <w:rFonts w:ascii="宋体" w:eastAsia="宋体" w:hAnsi="宋体" w:cs="Times New Roman"/>
          <w:szCs w:val="21"/>
        </w:rPr>
        <w:t>具体更新内容详见上海证券交</w:t>
      </w:r>
      <w:r w:rsidRPr="00F86D5B">
        <w:rPr>
          <w:rFonts w:ascii="宋体" w:eastAsia="宋体" w:hAnsi="宋体" w:cs="Times New Roman" w:hint="eastAsia"/>
          <w:szCs w:val="21"/>
        </w:rPr>
        <w:t>易所的相关说明。</w:t>
      </w:r>
    </w:p>
    <w:p w:rsidR="00F86D5B" w:rsidRDefault="00F86D5B" w:rsidP="00F86D5B">
      <w:pPr>
        <w:snapToGrid w:val="0"/>
        <w:spacing w:line="360" w:lineRule="auto"/>
        <w:ind w:firstLineChars="200" w:firstLine="420"/>
        <w:rPr>
          <w:rFonts w:ascii="宋体" w:eastAsia="宋体" w:hAnsi="宋体" w:cs="Times New Roman"/>
          <w:szCs w:val="21"/>
        </w:rPr>
      </w:pPr>
      <w:r w:rsidRPr="00F86D5B">
        <w:rPr>
          <w:rFonts w:ascii="宋体" w:eastAsia="宋体" w:hAnsi="宋体" w:cs="Times New Roman" w:hint="eastAsia"/>
          <w:szCs w:val="21"/>
        </w:rPr>
        <w:t>自</w:t>
      </w:r>
      <w:r w:rsidRPr="008A055C">
        <w:rPr>
          <w:rFonts w:ascii="宋体" w:eastAsia="宋体" w:hAnsi="宋体" w:cs="Times New Roman"/>
          <w:szCs w:val="21"/>
        </w:rPr>
        <w:t>2025年1</w:t>
      </w:r>
      <w:r>
        <w:rPr>
          <w:rFonts w:ascii="宋体" w:eastAsia="宋体" w:hAnsi="宋体" w:cs="Times New Roman"/>
          <w:szCs w:val="21"/>
        </w:rPr>
        <w:t>1</w:t>
      </w:r>
      <w:r w:rsidRPr="008A055C">
        <w:rPr>
          <w:rFonts w:ascii="宋体" w:eastAsia="宋体" w:hAnsi="宋体" w:cs="Times New Roman"/>
          <w:szCs w:val="21"/>
        </w:rPr>
        <w:t>月</w:t>
      </w:r>
      <w:r w:rsidR="003A776D">
        <w:rPr>
          <w:rFonts w:ascii="宋体" w:eastAsia="宋体" w:hAnsi="宋体" w:cs="Times New Roman"/>
          <w:szCs w:val="21"/>
        </w:rPr>
        <w:t>24</w:t>
      </w:r>
      <w:r w:rsidRPr="008A055C">
        <w:rPr>
          <w:rFonts w:ascii="宋体" w:eastAsia="宋体" w:hAnsi="宋体" w:cs="Times New Roman"/>
          <w:szCs w:val="21"/>
        </w:rPr>
        <w:t>日</w:t>
      </w:r>
      <w:r w:rsidRPr="00F86D5B">
        <w:rPr>
          <w:rFonts w:ascii="宋体" w:eastAsia="宋体" w:hAnsi="宋体" w:cs="Times New Roman"/>
          <w:szCs w:val="21"/>
        </w:rPr>
        <w:t>起，上述ETF将采用xml版本申购赎回清单，具体内容以上海证</w:t>
      </w:r>
      <w:r w:rsidRPr="00F86D5B">
        <w:rPr>
          <w:rFonts w:ascii="宋体" w:eastAsia="宋体" w:hAnsi="宋体" w:cs="Times New Roman" w:hint="eastAsia"/>
          <w:szCs w:val="21"/>
        </w:rPr>
        <w:t>券交易所实际公布的清单为准。本公司也将对上述基金的招募说明书进行相应修订。</w:t>
      </w:r>
      <w:r w:rsidRPr="00F86D5B">
        <w:rPr>
          <w:rFonts w:ascii="宋体" w:eastAsia="宋体" w:hAnsi="宋体" w:cs="Times New Roman"/>
          <w:szCs w:val="21"/>
        </w:rPr>
        <w:cr/>
      </w:r>
    </w:p>
    <w:p w:rsidR="009E19E9" w:rsidRDefault="00397521" w:rsidP="0051464F">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如有疑问，投资者可访问本公司网站(</w:t>
      </w:r>
      <w:r w:rsidR="00733723" w:rsidRPr="00E41549">
        <w:rPr>
          <w:rFonts w:ascii="宋体" w:eastAsia="宋体" w:hAnsi="宋体" w:cs="Times New Roman"/>
          <w:szCs w:val="21"/>
        </w:rPr>
        <w:t>www.py-axa.com)或拨打客户服务电话（4008828999</w:t>
      </w:r>
      <w:r w:rsidR="008641B4">
        <w:rPr>
          <w:rFonts w:ascii="宋体" w:eastAsia="宋体" w:hAnsi="宋体" w:cs="Times New Roman" w:hint="eastAsia"/>
          <w:szCs w:val="21"/>
        </w:rPr>
        <w:t>、</w:t>
      </w:r>
      <w:r w:rsidR="005C414F" w:rsidRPr="005C414F">
        <w:rPr>
          <w:rFonts w:ascii="宋体" w:eastAsia="宋体" w:hAnsi="宋体" w:cs="Times New Roman"/>
          <w:szCs w:val="21"/>
        </w:rPr>
        <w:t>021</w:t>
      </w:r>
      <w:r w:rsidR="005C414F">
        <w:rPr>
          <w:rFonts w:ascii="宋体" w:eastAsia="宋体" w:hAnsi="宋体" w:cs="Times New Roman" w:hint="eastAsia"/>
          <w:szCs w:val="21"/>
        </w:rPr>
        <w:t>-</w:t>
      </w:r>
      <w:r w:rsidR="005C414F" w:rsidRPr="005C414F">
        <w:rPr>
          <w:rFonts w:ascii="宋体" w:eastAsia="宋体" w:hAnsi="宋体" w:cs="Times New Roman"/>
          <w:szCs w:val="21"/>
        </w:rPr>
        <w:t>33079999</w:t>
      </w:r>
      <w:r>
        <w:rPr>
          <w:rFonts w:ascii="宋体" w:eastAsia="宋体" w:hAnsi="宋体" w:cs="Times New Roman" w:hint="eastAsia"/>
          <w:szCs w:val="21"/>
        </w:rPr>
        <w:t>）咨询相关事宜。</w:t>
      </w:r>
    </w:p>
    <w:p w:rsidR="00962071" w:rsidRDefault="00397521">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风险提示：基金管理人依照恪尽职守、诚实信用、谨慎勤勉的原则管理和运用基金财产，但不保证基金一定盈利，也不保证最低收益。基金的过往业绩及其净值高低并不预示其未来</w:t>
      </w:r>
      <w:r>
        <w:rPr>
          <w:rFonts w:ascii="宋体" w:eastAsia="宋体" w:hAnsi="宋体" w:cs="Times New Roman" w:hint="eastAsia"/>
          <w:szCs w:val="21"/>
        </w:rPr>
        <w:lastRenderedPageBreak/>
        <w:t>业绩表现。基金管理人提醒投资人基金投资的“买者自负”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962071" w:rsidRDefault="00397521">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特此公告</w:t>
      </w:r>
      <w:r w:rsidR="00783ED4">
        <w:rPr>
          <w:rFonts w:ascii="宋体" w:eastAsia="宋体" w:hAnsi="宋体" w:cs="Times New Roman" w:hint="eastAsia"/>
          <w:szCs w:val="21"/>
        </w:rPr>
        <w:t>。</w:t>
      </w:r>
    </w:p>
    <w:p w:rsidR="00962071" w:rsidRDefault="00962071">
      <w:pPr>
        <w:snapToGrid w:val="0"/>
        <w:spacing w:line="360" w:lineRule="auto"/>
        <w:ind w:firstLineChars="200" w:firstLine="420"/>
        <w:rPr>
          <w:rFonts w:ascii="宋体" w:eastAsia="宋体" w:hAnsi="宋体" w:cs="Times New Roman"/>
          <w:szCs w:val="21"/>
        </w:rPr>
      </w:pPr>
    </w:p>
    <w:p w:rsidR="00962071" w:rsidRDefault="00962071">
      <w:pPr>
        <w:snapToGrid w:val="0"/>
        <w:spacing w:line="360" w:lineRule="auto"/>
        <w:ind w:firstLineChars="200" w:firstLine="420"/>
        <w:rPr>
          <w:rFonts w:ascii="宋体" w:eastAsia="宋体" w:hAnsi="宋体" w:cs="Times New Roman"/>
          <w:szCs w:val="21"/>
        </w:rPr>
      </w:pPr>
    </w:p>
    <w:p w:rsidR="00962071" w:rsidRDefault="00E43DE7">
      <w:pPr>
        <w:snapToGrid w:val="0"/>
        <w:spacing w:line="360" w:lineRule="auto"/>
        <w:ind w:firstLineChars="200" w:firstLine="420"/>
        <w:jc w:val="right"/>
        <w:rPr>
          <w:rFonts w:ascii="宋体" w:eastAsia="宋体" w:hAnsi="宋体" w:cs="Times New Roman"/>
          <w:szCs w:val="21"/>
        </w:rPr>
      </w:pPr>
      <w:r>
        <w:rPr>
          <w:rFonts w:ascii="宋体" w:eastAsia="宋体" w:hAnsi="宋体" w:cs="Times New Roman" w:hint="eastAsia"/>
          <w:szCs w:val="21"/>
        </w:rPr>
        <w:t>浦银安盛基金管理有限公司</w:t>
      </w:r>
    </w:p>
    <w:p w:rsidR="00962071" w:rsidRDefault="00F86D5B">
      <w:pPr>
        <w:jc w:val="right"/>
        <w:rPr>
          <w:rFonts w:ascii="宋体" w:eastAsia="宋体" w:hAnsi="宋体" w:cs="Times New Roman"/>
          <w:szCs w:val="21"/>
        </w:rPr>
      </w:pPr>
      <w:r>
        <w:rPr>
          <w:rFonts w:ascii="宋体" w:eastAsia="宋体" w:hAnsi="宋体" w:cs="Times New Roman" w:hint="eastAsia"/>
          <w:szCs w:val="21"/>
        </w:rPr>
        <w:t>2025年</w:t>
      </w:r>
      <w:r>
        <w:rPr>
          <w:rFonts w:ascii="宋体" w:eastAsia="宋体" w:hAnsi="宋体" w:cs="Times New Roman"/>
          <w:szCs w:val="21"/>
        </w:rPr>
        <w:t>11</w:t>
      </w:r>
      <w:r w:rsidR="00397521">
        <w:rPr>
          <w:rFonts w:ascii="宋体" w:eastAsia="宋体" w:hAnsi="宋体" w:cs="Times New Roman" w:hint="eastAsia"/>
          <w:szCs w:val="21"/>
        </w:rPr>
        <w:t>月</w:t>
      </w:r>
      <w:r w:rsidR="003A776D">
        <w:rPr>
          <w:rFonts w:ascii="宋体" w:eastAsia="宋体" w:hAnsi="宋体" w:cs="Times New Roman"/>
          <w:szCs w:val="21"/>
        </w:rPr>
        <w:t>24</w:t>
      </w:r>
      <w:r w:rsidR="00397521">
        <w:rPr>
          <w:rFonts w:ascii="宋体" w:eastAsia="宋体" w:hAnsi="宋体" w:cs="Times New Roman" w:hint="eastAsia"/>
          <w:szCs w:val="21"/>
        </w:rPr>
        <w:t>日</w:t>
      </w:r>
    </w:p>
    <w:p w:rsidR="00962071" w:rsidRDefault="00962071" w:rsidP="00E41549">
      <w:pPr>
        <w:jc w:val="left"/>
        <w:rPr>
          <w:rFonts w:ascii="宋体" w:eastAsia="宋体" w:hAnsi="宋体"/>
        </w:rPr>
      </w:pPr>
    </w:p>
    <w:sectPr w:rsidR="00962071" w:rsidSect="0066679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CF2" w:rsidRDefault="00940CF2">
      <w:r>
        <w:separator/>
      </w:r>
    </w:p>
  </w:endnote>
  <w:endnote w:type="continuationSeparator" w:id="0">
    <w:p w:rsidR="00940CF2" w:rsidRDefault="00940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sdt>
        <w:sdtPr>
          <w:id w:val="1728636285"/>
        </w:sdtPr>
        <w:sdtContent>
          <w:p w:rsidR="00962071" w:rsidRDefault="00666797">
            <w:pPr>
              <w:pStyle w:val="a3"/>
              <w:jc w:val="center"/>
            </w:pPr>
            <w:r>
              <w:rPr>
                <w:rFonts w:ascii="宋体" w:eastAsia="宋体" w:hAnsi="宋体"/>
                <w:b/>
                <w:bCs/>
                <w:sz w:val="24"/>
                <w:szCs w:val="24"/>
              </w:rPr>
              <w:fldChar w:fldCharType="begin"/>
            </w:r>
            <w:r w:rsidR="00397521">
              <w:rPr>
                <w:rFonts w:ascii="宋体" w:eastAsia="宋体" w:hAnsi="宋体"/>
                <w:b/>
                <w:bCs/>
              </w:rPr>
              <w:instrText>PAGE</w:instrText>
            </w:r>
            <w:r>
              <w:rPr>
                <w:rFonts w:ascii="宋体" w:eastAsia="宋体" w:hAnsi="宋体"/>
                <w:b/>
                <w:bCs/>
                <w:sz w:val="24"/>
                <w:szCs w:val="24"/>
              </w:rPr>
              <w:fldChar w:fldCharType="separate"/>
            </w:r>
            <w:r w:rsidR="00262773">
              <w:rPr>
                <w:rFonts w:ascii="宋体" w:eastAsia="宋体" w:hAnsi="宋体"/>
                <w:b/>
                <w:bCs/>
                <w:noProof/>
              </w:rPr>
              <w:t>1</w:t>
            </w:r>
            <w:r>
              <w:rPr>
                <w:rFonts w:ascii="宋体" w:eastAsia="宋体" w:hAnsi="宋体"/>
                <w:b/>
                <w:bCs/>
                <w:sz w:val="24"/>
                <w:szCs w:val="24"/>
              </w:rPr>
              <w:fldChar w:fldCharType="end"/>
            </w:r>
            <w:r w:rsidR="00397521">
              <w:rPr>
                <w:rFonts w:ascii="宋体" w:eastAsia="宋体" w:hAnsi="宋体"/>
                <w:lang w:val="zh-CN"/>
              </w:rPr>
              <w:t>/</w:t>
            </w:r>
            <w:r>
              <w:rPr>
                <w:rFonts w:ascii="宋体" w:eastAsia="宋体" w:hAnsi="宋体"/>
                <w:b/>
                <w:bCs/>
                <w:sz w:val="24"/>
                <w:szCs w:val="24"/>
              </w:rPr>
              <w:fldChar w:fldCharType="begin"/>
            </w:r>
            <w:r w:rsidR="00397521">
              <w:rPr>
                <w:rFonts w:ascii="宋体" w:eastAsia="宋体" w:hAnsi="宋体"/>
                <w:b/>
                <w:bCs/>
              </w:rPr>
              <w:instrText>NUMPAGES</w:instrText>
            </w:r>
            <w:r>
              <w:rPr>
                <w:rFonts w:ascii="宋体" w:eastAsia="宋体" w:hAnsi="宋体"/>
                <w:b/>
                <w:bCs/>
                <w:sz w:val="24"/>
                <w:szCs w:val="24"/>
              </w:rPr>
              <w:fldChar w:fldCharType="separate"/>
            </w:r>
            <w:r w:rsidR="00262773">
              <w:rPr>
                <w:rFonts w:ascii="宋体" w:eastAsia="宋体" w:hAnsi="宋体"/>
                <w:b/>
                <w:bCs/>
                <w:noProof/>
              </w:rPr>
              <w:t>2</w:t>
            </w:r>
            <w:r>
              <w:rPr>
                <w:rFonts w:ascii="宋体" w:eastAsia="宋体" w:hAnsi="宋体"/>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CF2" w:rsidRDefault="00940CF2">
      <w:r>
        <w:separator/>
      </w:r>
    </w:p>
  </w:footnote>
  <w:footnote w:type="continuationSeparator" w:id="0">
    <w:p w:rsidR="00940CF2" w:rsidRDefault="00940C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BAE108"/>
    <w:multiLevelType w:val="singleLevel"/>
    <w:tmpl w:val="DBBAE108"/>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5ADF"/>
    <w:rsid w:val="95386A6A"/>
    <w:rsid w:val="BF7E6C64"/>
    <w:rsid w:val="BFBDBC2F"/>
    <w:rsid w:val="D77D9441"/>
    <w:rsid w:val="EF4EC657"/>
    <w:rsid w:val="FA4D4FF5"/>
    <w:rsid w:val="FBDF19BD"/>
    <w:rsid w:val="FEDDDD28"/>
    <w:rsid w:val="FF8D73C8"/>
    <w:rsid w:val="00000C51"/>
    <w:rsid w:val="00032B47"/>
    <w:rsid w:val="0007240C"/>
    <w:rsid w:val="000B4366"/>
    <w:rsid w:val="000B4D0D"/>
    <w:rsid w:val="000D1FDB"/>
    <w:rsid w:val="000D73A6"/>
    <w:rsid w:val="0014096A"/>
    <w:rsid w:val="001E1BF5"/>
    <w:rsid w:val="00210691"/>
    <w:rsid w:val="00227E8D"/>
    <w:rsid w:val="00262773"/>
    <w:rsid w:val="002A034F"/>
    <w:rsid w:val="002E22E6"/>
    <w:rsid w:val="003170F4"/>
    <w:rsid w:val="00343A72"/>
    <w:rsid w:val="00364903"/>
    <w:rsid w:val="00397521"/>
    <w:rsid w:val="003A776D"/>
    <w:rsid w:val="003F0A12"/>
    <w:rsid w:val="00412033"/>
    <w:rsid w:val="00426F42"/>
    <w:rsid w:val="004648A1"/>
    <w:rsid w:val="004D31A9"/>
    <w:rsid w:val="004D47C0"/>
    <w:rsid w:val="0051464F"/>
    <w:rsid w:val="00557941"/>
    <w:rsid w:val="005C414F"/>
    <w:rsid w:val="005E7F48"/>
    <w:rsid w:val="00633A9C"/>
    <w:rsid w:val="006478EC"/>
    <w:rsid w:val="00666797"/>
    <w:rsid w:val="006D4488"/>
    <w:rsid w:val="00733723"/>
    <w:rsid w:val="007800C7"/>
    <w:rsid w:val="00783ED4"/>
    <w:rsid w:val="0083146B"/>
    <w:rsid w:val="00852C29"/>
    <w:rsid w:val="008641B4"/>
    <w:rsid w:val="00875EED"/>
    <w:rsid w:val="00890430"/>
    <w:rsid w:val="008A055C"/>
    <w:rsid w:val="008A3051"/>
    <w:rsid w:val="00940CF2"/>
    <w:rsid w:val="00962071"/>
    <w:rsid w:val="00971410"/>
    <w:rsid w:val="009A3706"/>
    <w:rsid w:val="009E19E9"/>
    <w:rsid w:val="009E572F"/>
    <w:rsid w:val="00A43F13"/>
    <w:rsid w:val="00B27EAD"/>
    <w:rsid w:val="00B567BD"/>
    <w:rsid w:val="00B7539C"/>
    <w:rsid w:val="00B97E45"/>
    <w:rsid w:val="00BF2D0F"/>
    <w:rsid w:val="00C0244B"/>
    <w:rsid w:val="00C07AF7"/>
    <w:rsid w:val="00C11CCF"/>
    <w:rsid w:val="00C329FE"/>
    <w:rsid w:val="00C416EC"/>
    <w:rsid w:val="00C55693"/>
    <w:rsid w:val="00C91CDF"/>
    <w:rsid w:val="00CB6E97"/>
    <w:rsid w:val="00D92C91"/>
    <w:rsid w:val="00E41549"/>
    <w:rsid w:val="00E43DE7"/>
    <w:rsid w:val="00ED07BF"/>
    <w:rsid w:val="00F15ADF"/>
    <w:rsid w:val="00F204AC"/>
    <w:rsid w:val="00F26EC3"/>
    <w:rsid w:val="00F86D5B"/>
    <w:rsid w:val="00FA1443"/>
    <w:rsid w:val="00FD049A"/>
    <w:rsid w:val="36FF1B7D"/>
    <w:rsid w:val="75F61AB3"/>
    <w:rsid w:val="7BEF0FC9"/>
    <w:rsid w:val="7FE9B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97"/>
    <w:pPr>
      <w:widowControl w:val="0"/>
      <w:jc w:val="both"/>
    </w:pPr>
    <w:rPr>
      <w:kern w:val="2"/>
      <w:sz w:val="21"/>
      <w:szCs w:val="22"/>
    </w:rPr>
  </w:style>
  <w:style w:type="paragraph" w:styleId="1">
    <w:name w:val="heading 1"/>
    <w:basedOn w:val="a"/>
    <w:next w:val="a"/>
    <w:link w:val="1Char"/>
    <w:uiPriority w:val="9"/>
    <w:qFormat/>
    <w:rsid w:val="0066679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66679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66679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66679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66679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666797"/>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666797"/>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666797"/>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66679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6679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66797"/>
    <w:pPr>
      <w:tabs>
        <w:tab w:val="center" w:pos="4153"/>
        <w:tab w:val="right" w:pos="8306"/>
      </w:tabs>
      <w:snapToGrid w:val="0"/>
      <w:jc w:val="center"/>
    </w:pPr>
    <w:rPr>
      <w:sz w:val="18"/>
      <w:szCs w:val="18"/>
    </w:rPr>
  </w:style>
  <w:style w:type="paragraph" w:styleId="a5">
    <w:name w:val="Subtitle"/>
    <w:basedOn w:val="a"/>
    <w:next w:val="a"/>
    <w:link w:val="Char1"/>
    <w:uiPriority w:val="11"/>
    <w:qFormat/>
    <w:rsid w:val="00666797"/>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rsid w:val="00666797"/>
    <w:pPr>
      <w:spacing w:after="80"/>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qFormat/>
    <w:rsid w:val="006667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666797"/>
    <w:rPr>
      <w:color w:val="467886" w:themeColor="hyperlink"/>
      <w:u w:val="single"/>
    </w:rPr>
  </w:style>
  <w:style w:type="character" w:customStyle="1" w:styleId="1Char">
    <w:name w:val="标题 1 Char"/>
    <w:basedOn w:val="a0"/>
    <w:link w:val="1"/>
    <w:uiPriority w:val="9"/>
    <w:qFormat/>
    <w:rsid w:val="00666797"/>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sid w:val="00666797"/>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sid w:val="00666797"/>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sid w:val="00666797"/>
    <w:rPr>
      <w:rFonts w:cstheme="majorBidi"/>
      <w:color w:val="0F4761" w:themeColor="accent1" w:themeShade="BF"/>
      <w:sz w:val="28"/>
      <w:szCs w:val="28"/>
    </w:rPr>
  </w:style>
  <w:style w:type="character" w:customStyle="1" w:styleId="5Char">
    <w:name w:val="标题 5 Char"/>
    <w:basedOn w:val="a0"/>
    <w:link w:val="5"/>
    <w:uiPriority w:val="9"/>
    <w:semiHidden/>
    <w:qFormat/>
    <w:rsid w:val="00666797"/>
    <w:rPr>
      <w:rFonts w:cstheme="majorBidi"/>
      <w:color w:val="0F4761" w:themeColor="accent1" w:themeShade="BF"/>
      <w:sz w:val="24"/>
      <w:szCs w:val="24"/>
    </w:rPr>
  </w:style>
  <w:style w:type="character" w:customStyle="1" w:styleId="6Char">
    <w:name w:val="标题 6 Char"/>
    <w:basedOn w:val="a0"/>
    <w:link w:val="6"/>
    <w:uiPriority w:val="9"/>
    <w:semiHidden/>
    <w:qFormat/>
    <w:rsid w:val="00666797"/>
    <w:rPr>
      <w:rFonts w:cstheme="majorBidi"/>
      <w:b/>
      <w:bCs/>
      <w:color w:val="0F4761" w:themeColor="accent1" w:themeShade="BF"/>
    </w:rPr>
  </w:style>
  <w:style w:type="character" w:customStyle="1" w:styleId="7Char">
    <w:name w:val="标题 7 Char"/>
    <w:basedOn w:val="a0"/>
    <w:link w:val="7"/>
    <w:uiPriority w:val="9"/>
    <w:semiHidden/>
    <w:qFormat/>
    <w:rsid w:val="00666797"/>
    <w:rPr>
      <w:rFonts w:cstheme="majorBidi"/>
      <w:b/>
      <w:bCs/>
      <w:color w:val="595959" w:themeColor="text1" w:themeTint="A6"/>
    </w:rPr>
  </w:style>
  <w:style w:type="character" w:customStyle="1" w:styleId="8Char">
    <w:name w:val="标题 8 Char"/>
    <w:basedOn w:val="a0"/>
    <w:link w:val="8"/>
    <w:uiPriority w:val="9"/>
    <w:semiHidden/>
    <w:qFormat/>
    <w:rsid w:val="00666797"/>
    <w:rPr>
      <w:rFonts w:cstheme="majorBidi"/>
      <w:color w:val="595959" w:themeColor="text1" w:themeTint="A6"/>
    </w:rPr>
  </w:style>
  <w:style w:type="character" w:customStyle="1" w:styleId="9Char">
    <w:name w:val="标题 9 Char"/>
    <w:basedOn w:val="a0"/>
    <w:link w:val="9"/>
    <w:uiPriority w:val="9"/>
    <w:semiHidden/>
    <w:qFormat/>
    <w:rsid w:val="00666797"/>
    <w:rPr>
      <w:rFonts w:eastAsiaTheme="majorEastAsia" w:cstheme="majorBidi"/>
      <w:color w:val="595959" w:themeColor="text1" w:themeTint="A6"/>
    </w:rPr>
  </w:style>
  <w:style w:type="character" w:customStyle="1" w:styleId="Char2">
    <w:name w:val="标题 Char"/>
    <w:basedOn w:val="a0"/>
    <w:link w:val="a6"/>
    <w:uiPriority w:val="10"/>
    <w:qFormat/>
    <w:rsid w:val="00666797"/>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sid w:val="00666797"/>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Char3"/>
    <w:uiPriority w:val="29"/>
    <w:qFormat/>
    <w:rsid w:val="00666797"/>
    <w:pPr>
      <w:spacing w:before="160" w:after="160"/>
      <w:jc w:val="center"/>
    </w:pPr>
    <w:rPr>
      <w:i/>
      <w:iCs/>
      <w:color w:val="404040" w:themeColor="text1" w:themeTint="BF"/>
    </w:rPr>
  </w:style>
  <w:style w:type="character" w:customStyle="1" w:styleId="Char3">
    <w:name w:val="引用 Char"/>
    <w:basedOn w:val="a0"/>
    <w:link w:val="a9"/>
    <w:uiPriority w:val="29"/>
    <w:qFormat/>
    <w:rsid w:val="00666797"/>
    <w:rPr>
      <w:i/>
      <w:iCs/>
      <w:color w:val="404040" w:themeColor="text1" w:themeTint="BF"/>
    </w:rPr>
  </w:style>
  <w:style w:type="paragraph" w:styleId="aa">
    <w:name w:val="List Paragraph"/>
    <w:basedOn w:val="a"/>
    <w:uiPriority w:val="34"/>
    <w:qFormat/>
    <w:rsid w:val="00666797"/>
    <w:pPr>
      <w:ind w:left="720"/>
      <w:contextualSpacing/>
    </w:pPr>
  </w:style>
  <w:style w:type="character" w:customStyle="1" w:styleId="10">
    <w:name w:val="明显强调1"/>
    <w:basedOn w:val="a0"/>
    <w:uiPriority w:val="21"/>
    <w:qFormat/>
    <w:rsid w:val="00666797"/>
    <w:rPr>
      <w:i/>
      <w:iCs/>
      <w:color w:val="0F4761" w:themeColor="accent1" w:themeShade="BF"/>
    </w:rPr>
  </w:style>
  <w:style w:type="paragraph" w:styleId="ab">
    <w:name w:val="Intense Quote"/>
    <w:basedOn w:val="a"/>
    <w:next w:val="a"/>
    <w:link w:val="Char4"/>
    <w:uiPriority w:val="30"/>
    <w:qFormat/>
    <w:rsid w:val="00666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b"/>
    <w:uiPriority w:val="30"/>
    <w:qFormat/>
    <w:rsid w:val="00666797"/>
    <w:rPr>
      <w:i/>
      <w:iCs/>
      <w:color w:val="0F4761" w:themeColor="accent1" w:themeShade="BF"/>
    </w:rPr>
  </w:style>
  <w:style w:type="character" w:customStyle="1" w:styleId="11">
    <w:name w:val="明显参考1"/>
    <w:basedOn w:val="a0"/>
    <w:uiPriority w:val="32"/>
    <w:qFormat/>
    <w:rsid w:val="00666797"/>
    <w:rPr>
      <w:b/>
      <w:bCs/>
      <w:smallCaps/>
      <w:color w:val="0F4761" w:themeColor="accent1" w:themeShade="BF"/>
      <w:spacing w:val="5"/>
    </w:rPr>
  </w:style>
  <w:style w:type="character" w:customStyle="1" w:styleId="Char0">
    <w:name w:val="页眉 Char"/>
    <w:basedOn w:val="a0"/>
    <w:link w:val="a4"/>
    <w:uiPriority w:val="99"/>
    <w:qFormat/>
    <w:rsid w:val="00666797"/>
    <w:rPr>
      <w:sz w:val="18"/>
      <w:szCs w:val="18"/>
    </w:rPr>
  </w:style>
  <w:style w:type="character" w:customStyle="1" w:styleId="Char">
    <w:name w:val="页脚 Char"/>
    <w:basedOn w:val="a0"/>
    <w:link w:val="a3"/>
    <w:uiPriority w:val="99"/>
    <w:qFormat/>
    <w:rsid w:val="00666797"/>
    <w:rPr>
      <w:sz w:val="18"/>
      <w:szCs w:val="18"/>
    </w:rPr>
  </w:style>
  <w:style w:type="character" w:customStyle="1" w:styleId="UnresolvedMention">
    <w:name w:val="Unresolved Mention"/>
    <w:basedOn w:val="a0"/>
    <w:uiPriority w:val="99"/>
    <w:semiHidden/>
    <w:unhideWhenUsed/>
    <w:qFormat/>
    <w:rsid w:val="00666797"/>
    <w:rPr>
      <w:color w:val="605E5C"/>
      <w:shd w:val="clear" w:color="auto" w:fill="E1DFDD"/>
    </w:rPr>
  </w:style>
  <w:style w:type="paragraph" w:styleId="ac">
    <w:name w:val="Balloon Text"/>
    <w:basedOn w:val="a"/>
    <w:link w:val="Char5"/>
    <w:uiPriority w:val="99"/>
    <w:semiHidden/>
    <w:unhideWhenUsed/>
    <w:rsid w:val="00E43DE7"/>
    <w:rPr>
      <w:sz w:val="18"/>
      <w:szCs w:val="18"/>
    </w:rPr>
  </w:style>
  <w:style w:type="character" w:customStyle="1" w:styleId="Char5">
    <w:name w:val="批注框文本 Char"/>
    <w:basedOn w:val="a0"/>
    <w:link w:val="ac"/>
    <w:uiPriority w:val="99"/>
    <w:semiHidden/>
    <w:rsid w:val="00E43DE7"/>
    <w:rPr>
      <w:kern w:val="2"/>
      <w:sz w:val="18"/>
      <w:szCs w:val="18"/>
    </w:rPr>
  </w:style>
  <w:style w:type="paragraph" w:styleId="ad">
    <w:name w:val="Revision"/>
    <w:hidden/>
    <w:uiPriority w:val="99"/>
    <w:semiHidden/>
    <w:rsid w:val="00733723"/>
    <w:rPr>
      <w:kern w:val="2"/>
      <w:sz w:val="21"/>
      <w:szCs w:val="22"/>
    </w:rPr>
  </w:style>
  <w:style w:type="character" w:styleId="ae">
    <w:name w:val="annotation reference"/>
    <w:basedOn w:val="a0"/>
    <w:uiPriority w:val="99"/>
    <w:semiHidden/>
    <w:unhideWhenUsed/>
    <w:rsid w:val="00210691"/>
    <w:rPr>
      <w:sz w:val="21"/>
      <w:szCs w:val="21"/>
    </w:rPr>
  </w:style>
  <w:style w:type="paragraph" w:styleId="af">
    <w:name w:val="annotation text"/>
    <w:basedOn w:val="a"/>
    <w:link w:val="Char6"/>
    <w:uiPriority w:val="99"/>
    <w:semiHidden/>
    <w:unhideWhenUsed/>
    <w:rsid w:val="00210691"/>
    <w:pPr>
      <w:jc w:val="left"/>
    </w:pPr>
  </w:style>
  <w:style w:type="character" w:customStyle="1" w:styleId="Char6">
    <w:name w:val="批注文字 Char"/>
    <w:basedOn w:val="a0"/>
    <w:link w:val="af"/>
    <w:uiPriority w:val="99"/>
    <w:semiHidden/>
    <w:rsid w:val="00210691"/>
    <w:rPr>
      <w:kern w:val="2"/>
      <w:sz w:val="21"/>
      <w:szCs w:val="22"/>
    </w:rPr>
  </w:style>
  <w:style w:type="paragraph" w:styleId="af0">
    <w:name w:val="annotation subject"/>
    <w:basedOn w:val="af"/>
    <w:next w:val="af"/>
    <w:link w:val="Char7"/>
    <w:uiPriority w:val="99"/>
    <w:semiHidden/>
    <w:unhideWhenUsed/>
    <w:rsid w:val="00210691"/>
    <w:rPr>
      <w:b/>
      <w:bCs/>
    </w:rPr>
  </w:style>
  <w:style w:type="character" w:customStyle="1" w:styleId="Char7">
    <w:name w:val="批注主题 Char"/>
    <w:basedOn w:val="Char6"/>
    <w:link w:val="af0"/>
    <w:uiPriority w:val="99"/>
    <w:semiHidden/>
    <w:rsid w:val="00210691"/>
    <w:rPr>
      <w:b/>
      <w:bCs/>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4D5BE-5AD9-4C85-BB26-882F90A4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1025</Characters>
  <Application>Microsoft Office Word</Application>
  <DocSecurity>4</DocSecurity>
  <Lines>8</Lines>
  <Paragraphs>2</Paragraphs>
  <ScaleCrop>false</ScaleCrop>
  <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肖南</dc:creator>
  <cp:lastModifiedBy>ZHONGM</cp:lastModifiedBy>
  <cp:revision>2</cp:revision>
  <cp:lastPrinted>2025-03-17T17:00:00Z</cp:lastPrinted>
  <dcterms:created xsi:type="dcterms:W3CDTF">2025-11-23T16:02:00Z</dcterms:created>
  <dcterms:modified xsi:type="dcterms:W3CDTF">2025-11-23T16:02:00Z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0BACBA23C60BD16B24C9D7673C43290F</vt:lpwstr>
  </property>
</Properties>
</file>