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DED" w:rsidRDefault="007D6D68" w:rsidP="00767457">
      <w:pPr>
        <w:widowControl/>
        <w:spacing w:line="360" w:lineRule="auto"/>
        <w:jc w:val="center"/>
        <w:rPr>
          <w:rFonts w:eastAsiaTheme="minorEastAsia"/>
          <w:b/>
          <w:kern w:val="0"/>
          <w:sz w:val="24"/>
          <w:szCs w:val="24"/>
        </w:rPr>
      </w:pPr>
      <w:bookmarkStart w:id="0" w:name="_GoBack"/>
      <w:bookmarkEnd w:id="0"/>
      <w:r w:rsidRPr="00767457">
        <w:rPr>
          <w:rFonts w:eastAsiaTheme="minorEastAsia"/>
          <w:b/>
          <w:kern w:val="0"/>
          <w:sz w:val="24"/>
          <w:szCs w:val="24"/>
        </w:rPr>
        <w:t>华夏标普港股通低波红利交易型开放式指数证券投资基金</w:t>
      </w:r>
    </w:p>
    <w:p w:rsidR="00455F38" w:rsidRPr="00767457" w:rsidRDefault="007D6D68" w:rsidP="00767457">
      <w:pPr>
        <w:widowControl/>
        <w:spacing w:line="360" w:lineRule="auto"/>
        <w:jc w:val="center"/>
        <w:rPr>
          <w:rFonts w:eastAsiaTheme="minorEastAsia"/>
          <w:b/>
          <w:kern w:val="0"/>
          <w:sz w:val="24"/>
          <w:szCs w:val="24"/>
        </w:rPr>
      </w:pPr>
      <w:r w:rsidRPr="00767457">
        <w:rPr>
          <w:rFonts w:eastAsiaTheme="minorEastAsia"/>
          <w:b/>
          <w:kern w:val="0"/>
          <w:sz w:val="24"/>
          <w:szCs w:val="24"/>
        </w:rPr>
        <w:t>开放日常申购、赎回业务公告</w:t>
      </w:r>
    </w:p>
    <w:p w:rsidR="00455F38" w:rsidRDefault="007D6D68" w:rsidP="00767457">
      <w:pPr>
        <w:spacing w:line="360" w:lineRule="auto"/>
        <w:jc w:val="center"/>
        <w:rPr>
          <w:rFonts w:asciiTheme="minorEastAsia" w:eastAsiaTheme="minorEastAsia" w:hAnsiTheme="minorEastAsia" w:cs="宋体"/>
          <w:b/>
          <w:bCs/>
          <w:sz w:val="24"/>
          <w:szCs w:val="24"/>
        </w:rPr>
      </w:pPr>
      <w:r w:rsidRPr="00767457">
        <w:rPr>
          <w:rFonts w:asciiTheme="majorEastAsia" w:eastAsiaTheme="majorEastAsia" w:hAnsiTheme="majorEastAsia"/>
          <w:b/>
          <w:bCs/>
          <w:color w:val="000000"/>
          <w:sz w:val="24"/>
          <w:szCs w:val="24"/>
        </w:rPr>
        <w:t>公告送出日期：</w:t>
      </w:r>
      <w:r>
        <w:rPr>
          <w:rFonts w:eastAsiaTheme="minorEastAsia"/>
          <w:b/>
          <w:bCs/>
          <w:sz w:val="24"/>
          <w:szCs w:val="24"/>
        </w:rPr>
        <w:t>2025</w:t>
      </w:r>
      <w:r>
        <w:rPr>
          <w:rFonts w:eastAsiaTheme="minorEastAsia"/>
          <w:b/>
          <w:bCs/>
          <w:sz w:val="24"/>
          <w:szCs w:val="24"/>
        </w:rPr>
        <w:t>年</w:t>
      </w:r>
      <w:r>
        <w:rPr>
          <w:rFonts w:eastAsiaTheme="minorEastAsia"/>
          <w:b/>
          <w:bCs/>
          <w:sz w:val="24"/>
          <w:szCs w:val="24"/>
        </w:rPr>
        <w:t>11</w:t>
      </w:r>
      <w:r>
        <w:rPr>
          <w:rFonts w:eastAsiaTheme="minorEastAsia"/>
          <w:b/>
          <w:bCs/>
          <w:sz w:val="24"/>
          <w:szCs w:val="24"/>
        </w:rPr>
        <w:t>月</w:t>
      </w:r>
      <w:r>
        <w:rPr>
          <w:rFonts w:eastAsiaTheme="minorEastAsia"/>
          <w:b/>
          <w:bCs/>
          <w:sz w:val="24"/>
          <w:szCs w:val="24"/>
        </w:rPr>
        <w:t>24</w:t>
      </w:r>
      <w:r>
        <w:rPr>
          <w:rFonts w:eastAsiaTheme="minorEastAsia"/>
          <w:b/>
          <w:bCs/>
          <w:sz w:val="24"/>
          <w:szCs w:val="24"/>
        </w:rPr>
        <w:t>日</w:t>
      </w:r>
    </w:p>
    <w:p w:rsidR="00455F38" w:rsidRDefault="00455F38">
      <w:pPr>
        <w:spacing w:line="560" w:lineRule="exact"/>
        <w:jc w:val="center"/>
        <w:rPr>
          <w:rFonts w:asciiTheme="minorEastAsia" w:eastAsiaTheme="minorEastAsia" w:hAnsiTheme="minorEastAsia"/>
          <w:color w:val="000000"/>
          <w:sz w:val="24"/>
          <w:szCs w:val="24"/>
        </w:rPr>
      </w:pPr>
    </w:p>
    <w:p w:rsidR="00455F38" w:rsidRPr="00767457" w:rsidRDefault="00D8748F" w:rsidP="00DF78E1">
      <w:pPr>
        <w:pStyle w:val="2"/>
        <w:spacing w:before="260" w:after="260"/>
        <w:ind w:firstLineChars="200" w:firstLine="482"/>
        <w:rPr>
          <w:bCs/>
        </w:rPr>
      </w:pPr>
      <w:bookmarkStart w:id="1" w:name="_Toc275961395"/>
      <w:r>
        <w:rPr>
          <w:rFonts w:ascii="Times New Roman" w:eastAsiaTheme="minorEastAsia" w:hAnsi="Times New Roman"/>
        </w:rPr>
        <w:t>1</w:t>
      </w:r>
      <w:r w:rsidR="007D6D68">
        <w:rPr>
          <w:rFonts w:asciiTheme="minorEastAsia" w:eastAsiaTheme="minorEastAsia" w:hAnsiTheme="minorEastAsia"/>
        </w:rPr>
        <w:t xml:space="preserve"> </w:t>
      </w:r>
      <w:r w:rsidR="007D6D68" w:rsidRPr="00D31C00">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2"/>
        <w:gridCol w:w="6137"/>
      </w:tblGrid>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基金名称</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华夏标普港股通低波红利交易型开放式指数证券投资基金</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基金简称</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华夏标普港股通低波红利</w:t>
            </w:r>
            <w:r w:rsidRPr="00F35F54">
              <w:rPr>
                <w:rFonts w:eastAsiaTheme="minorEastAsia"/>
                <w:sz w:val="21"/>
                <w:szCs w:val="21"/>
              </w:rPr>
              <w:t>ETF</w:t>
            </w:r>
          </w:p>
        </w:tc>
      </w:tr>
      <w:tr w:rsidR="00455F38">
        <w:trPr>
          <w:jc w:val="center"/>
        </w:trPr>
        <w:tc>
          <w:tcPr>
            <w:tcW w:w="3502" w:type="dxa"/>
            <w:vAlign w:val="center"/>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基金主代码</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159118</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基金运作方式</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交易型开放式</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基金合同生效日</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2025</w:t>
            </w:r>
            <w:r w:rsidRPr="00F35F54">
              <w:rPr>
                <w:rFonts w:eastAsiaTheme="minorEastAsia"/>
                <w:sz w:val="21"/>
                <w:szCs w:val="21"/>
              </w:rPr>
              <w:t>年</w:t>
            </w:r>
            <w:r w:rsidRPr="00F35F54">
              <w:rPr>
                <w:rFonts w:eastAsiaTheme="minorEastAsia"/>
                <w:sz w:val="21"/>
                <w:szCs w:val="21"/>
              </w:rPr>
              <w:t>11</w:t>
            </w:r>
            <w:r w:rsidRPr="00F35F54">
              <w:rPr>
                <w:rFonts w:eastAsiaTheme="minorEastAsia"/>
                <w:sz w:val="21"/>
                <w:szCs w:val="21"/>
              </w:rPr>
              <w:t>月</w:t>
            </w:r>
            <w:r w:rsidRPr="00F35F54">
              <w:rPr>
                <w:rFonts w:eastAsiaTheme="minorEastAsia"/>
                <w:sz w:val="21"/>
                <w:szCs w:val="21"/>
              </w:rPr>
              <w:t>17</w:t>
            </w:r>
            <w:r w:rsidRPr="00F35F54">
              <w:rPr>
                <w:rFonts w:eastAsiaTheme="minorEastAsia"/>
                <w:sz w:val="21"/>
                <w:szCs w:val="21"/>
              </w:rPr>
              <w:t>日</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基金管理人名称</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华夏基金管理有限公司</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基金托管人名称</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中国工商银行股份有限公司</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基金注册登记机构名称</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中国证券登记结算有限责任公司</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公告依据</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《公开募集证券投资基金信息披露管理办法》《华夏标普港股通低波红利交易型开放式指数证券投资基金基金合同》《华夏标普港股通低波红利交易型开放式指数证券投资基金招募说明书》</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申购起始日</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2025</w:t>
            </w:r>
            <w:r w:rsidRPr="00F35F54">
              <w:rPr>
                <w:rFonts w:eastAsiaTheme="minorEastAsia"/>
                <w:sz w:val="21"/>
                <w:szCs w:val="21"/>
              </w:rPr>
              <w:t>年</w:t>
            </w:r>
            <w:r w:rsidRPr="00F35F54">
              <w:rPr>
                <w:rFonts w:eastAsiaTheme="minorEastAsia"/>
                <w:sz w:val="21"/>
                <w:szCs w:val="21"/>
              </w:rPr>
              <w:t>11</w:t>
            </w:r>
            <w:r w:rsidRPr="00F35F54">
              <w:rPr>
                <w:rFonts w:eastAsiaTheme="minorEastAsia"/>
                <w:sz w:val="21"/>
                <w:szCs w:val="21"/>
              </w:rPr>
              <w:t>月</w:t>
            </w:r>
            <w:r w:rsidRPr="00F35F54">
              <w:rPr>
                <w:rFonts w:eastAsiaTheme="minorEastAsia"/>
                <w:sz w:val="21"/>
                <w:szCs w:val="21"/>
              </w:rPr>
              <w:t>27</w:t>
            </w:r>
            <w:r w:rsidRPr="00F35F54">
              <w:rPr>
                <w:rFonts w:eastAsiaTheme="minorEastAsia"/>
                <w:sz w:val="21"/>
                <w:szCs w:val="21"/>
              </w:rPr>
              <w:t>日</w:t>
            </w:r>
          </w:p>
        </w:tc>
      </w:tr>
      <w:tr w:rsidR="00455F38">
        <w:trPr>
          <w:jc w:val="center"/>
        </w:trPr>
        <w:tc>
          <w:tcPr>
            <w:tcW w:w="3502" w:type="dxa"/>
          </w:tcPr>
          <w:p w:rsidR="00455F38" w:rsidRDefault="007D6D68">
            <w:pPr>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赎回起始日</w:t>
            </w:r>
          </w:p>
        </w:tc>
        <w:tc>
          <w:tcPr>
            <w:tcW w:w="6137" w:type="dxa"/>
            <w:vAlign w:val="center"/>
          </w:tcPr>
          <w:p w:rsidR="00455F38" w:rsidRPr="00F35F54" w:rsidRDefault="007D6D68">
            <w:pPr>
              <w:rPr>
                <w:rFonts w:eastAsiaTheme="minorEastAsia"/>
                <w:sz w:val="21"/>
                <w:szCs w:val="21"/>
              </w:rPr>
            </w:pPr>
            <w:r w:rsidRPr="00F35F54">
              <w:rPr>
                <w:rFonts w:eastAsiaTheme="minorEastAsia"/>
                <w:sz w:val="21"/>
                <w:szCs w:val="21"/>
              </w:rPr>
              <w:t>2025</w:t>
            </w:r>
            <w:r w:rsidRPr="00F35F54">
              <w:rPr>
                <w:rFonts w:eastAsiaTheme="minorEastAsia"/>
                <w:sz w:val="21"/>
                <w:szCs w:val="21"/>
              </w:rPr>
              <w:t>年</w:t>
            </w:r>
            <w:r w:rsidRPr="00F35F54">
              <w:rPr>
                <w:rFonts w:eastAsiaTheme="minorEastAsia"/>
                <w:sz w:val="21"/>
                <w:szCs w:val="21"/>
              </w:rPr>
              <w:t>11</w:t>
            </w:r>
            <w:r w:rsidRPr="00F35F54">
              <w:rPr>
                <w:rFonts w:eastAsiaTheme="minorEastAsia"/>
                <w:sz w:val="21"/>
                <w:szCs w:val="21"/>
              </w:rPr>
              <w:t>月</w:t>
            </w:r>
            <w:r w:rsidRPr="00F35F54">
              <w:rPr>
                <w:rFonts w:eastAsiaTheme="minorEastAsia"/>
                <w:sz w:val="21"/>
                <w:szCs w:val="21"/>
              </w:rPr>
              <w:t>27</w:t>
            </w:r>
            <w:r w:rsidRPr="00F35F54">
              <w:rPr>
                <w:rFonts w:eastAsiaTheme="minorEastAsia"/>
                <w:sz w:val="21"/>
                <w:szCs w:val="21"/>
              </w:rPr>
              <w:t>日</w:t>
            </w:r>
          </w:p>
        </w:tc>
      </w:tr>
    </w:tbl>
    <w:p w:rsidR="00455F38" w:rsidRPr="00DC40AB" w:rsidRDefault="007D6D68" w:rsidP="002931D3">
      <w:pPr>
        <w:spacing w:line="360" w:lineRule="auto"/>
        <w:rPr>
          <w:rFonts w:eastAsiaTheme="minorEastAsia"/>
          <w:color w:val="000000"/>
          <w:sz w:val="24"/>
          <w:szCs w:val="24"/>
        </w:rPr>
      </w:pPr>
      <w:r w:rsidRPr="00DC40AB">
        <w:rPr>
          <w:rFonts w:eastAsiaTheme="minorEastAsia"/>
          <w:color w:val="000000"/>
          <w:kern w:val="0"/>
          <w:sz w:val="24"/>
          <w:szCs w:val="24"/>
        </w:rPr>
        <w:t>注：场内简称：港股通红利低波</w:t>
      </w:r>
      <w:r w:rsidRPr="00DC40AB">
        <w:rPr>
          <w:rFonts w:eastAsiaTheme="minorEastAsia"/>
          <w:color w:val="000000"/>
          <w:kern w:val="0"/>
          <w:sz w:val="24"/>
          <w:szCs w:val="24"/>
        </w:rPr>
        <w:t>ETF</w:t>
      </w:r>
      <w:r w:rsidRPr="00DC40AB">
        <w:rPr>
          <w:rFonts w:eastAsiaTheme="minorEastAsia"/>
          <w:color w:val="000000"/>
          <w:kern w:val="0"/>
          <w:sz w:val="24"/>
          <w:szCs w:val="24"/>
        </w:rPr>
        <w:t>基金。</w:t>
      </w:r>
    </w:p>
    <w:p w:rsidR="00AB3725" w:rsidRPr="004602BA" w:rsidRDefault="004C7922" w:rsidP="00DF78E1">
      <w:pPr>
        <w:pStyle w:val="2"/>
        <w:spacing w:before="260" w:after="260"/>
        <w:ind w:firstLineChars="200" w:firstLine="482"/>
        <w:rPr>
          <w:rFonts w:ascii="Times New Roman" w:eastAsiaTheme="minorEastAsia" w:hAnsi="Times New Roman"/>
        </w:rPr>
      </w:pPr>
      <w:bookmarkStart w:id="2" w:name="_Hlk135902631"/>
      <w:r w:rsidRPr="004602BA">
        <w:rPr>
          <w:rFonts w:ascii="Times New Roman" w:eastAsiaTheme="minorEastAsia" w:hAnsi="Times New Roman"/>
        </w:rPr>
        <w:t>2</w:t>
      </w:r>
      <w:r w:rsidR="00AB3725" w:rsidRPr="004602BA">
        <w:rPr>
          <w:rFonts w:ascii="Times New Roman" w:eastAsiaTheme="minorEastAsia" w:hAnsi="Times New Roman"/>
        </w:rPr>
        <w:t xml:space="preserve"> </w:t>
      </w:r>
      <w:r w:rsidR="00AB3725" w:rsidRPr="004602BA">
        <w:rPr>
          <w:rFonts w:ascii="Times New Roman" w:eastAsiaTheme="minorEastAsia" w:hAnsi="Times New Roman"/>
        </w:rPr>
        <w:t>日常申购、赎回业务的办理时间</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投资人在开放日办理华夏标普港股通低波红利交易型开放式指数证券投资基金（以下简称</w:t>
      </w:r>
      <w:r>
        <w:rPr>
          <w:rFonts w:eastAsiaTheme="minorEastAsia"/>
          <w:color w:val="000000"/>
          <w:sz w:val="24"/>
          <w:szCs w:val="24"/>
        </w:rPr>
        <w:t>“</w:t>
      </w:r>
      <w:r>
        <w:rPr>
          <w:rFonts w:eastAsiaTheme="minorEastAsia"/>
          <w:color w:val="000000"/>
          <w:sz w:val="24"/>
          <w:szCs w:val="24"/>
        </w:rPr>
        <w:t>本基金</w:t>
      </w:r>
      <w:r>
        <w:rPr>
          <w:rFonts w:eastAsiaTheme="minorEastAsia"/>
          <w:color w:val="000000"/>
          <w:sz w:val="24"/>
          <w:szCs w:val="24"/>
        </w:rPr>
        <w:t>”</w:t>
      </w:r>
      <w:r>
        <w:rPr>
          <w:rFonts w:eastAsiaTheme="minorEastAsia"/>
          <w:color w:val="000000"/>
          <w:sz w:val="24"/>
          <w:szCs w:val="24"/>
        </w:rPr>
        <w:t>）基金份额的申购和赎回，本基金的开放日为港股通交易日，但基金管理人根据法律法规、中国证监会的要求或基金合同的规定公告暂停申购、赎回时除外。开放日的具体业务办理时间为深圳证券交易所的交易时间。</w:t>
      </w:r>
    </w:p>
    <w:p w:rsidR="00AB3725" w:rsidRPr="00AB3725" w:rsidRDefault="00AB3725" w:rsidP="0029521B">
      <w:pPr>
        <w:spacing w:line="360" w:lineRule="auto"/>
        <w:ind w:firstLineChars="200" w:firstLine="480"/>
        <w:rPr>
          <w:rFonts w:eastAsiaTheme="minorEastAsia"/>
          <w:color w:val="000000"/>
          <w:sz w:val="24"/>
          <w:szCs w:val="24"/>
        </w:rPr>
      </w:pPr>
      <w:r w:rsidRPr="002F7EF1">
        <w:rPr>
          <w:rFonts w:eastAsiaTheme="minorEastAsia"/>
          <w:color w:val="000000"/>
          <w:sz w:val="24"/>
          <w:szCs w:val="24"/>
        </w:rPr>
        <w:t>若出现新的证券</w:t>
      </w:r>
      <w:r w:rsidRPr="002F7EF1">
        <w:rPr>
          <w:rFonts w:eastAsiaTheme="minorEastAsia"/>
          <w:color w:val="000000"/>
          <w:sz w:val="24"/>
          <w:szCs w:val="24"/>
        </w:rPr>
        <w:t>/</w:t>
      </w:r>
      <w:r w:rsidRPr="002F7EF1">
        <w:rPr>
          <w:rFonts w:eastAsiaTheme="minorEastAsia"/>
          <w:color w:val="000000"/>
          <w:sz w:val="24"/>
          <w:szCs w:val="24"/>
        </w:rPr>
        <w:t>期货交易市场、证券</w:t>
      </w:r>
      <w:r w:rsidRPr="002F7EF1">
        <w:rPr>
          <w:rFonts w:eastAsiaTheme="minorEastAsia"/>
          <w:color w:val="000000"/>
          <w:sz w:val="24"/>
          <w:szCs w:val="24"/>
        </w:rPr>
        <w:t>/</w:t>
      </w:r>
      <w:r w:rsidRPr="002F7EF1">
        <w:rPr>
          <w:rFonts w:eastAsiaTheme="minorEastAsia"/>
          <w:color w:val="000000"/>
          <w:sz w:val="24"/>
          <w:szCs w:val="24"/>
        </w:rPr>
        <w:t>期货交易所交易时间变更或实际情况需要，基金管理人有权视情况对前述开放日及开放时间进行相应的调整，但应在实施日前依照《公开募集证券投资基金信息披露管理办法》（以下简称</w:t>
      </w:r>
      <w:r w:rsidRPr="002F7EF1">
        <w:rPr>
          <w:rFonts w:eastAsiaTheme="minorEastAsia"/>
          <w:color w:val="000000"/>
          <w:sz w:val="24"/>
          <w:szCs w:val="24"/>
        </w:rPr>
        <w:t>“</w:t>
      </w:r>
      <w:r w:rsidRPr="002F7EF1">
        <w:rPr>
          <w:rFonts w:eastAsiaTheme="minorEastAsia"/>
          <w:color w:val="000000"/>
          <w:sz w:val="24"/>
          <w:szCs w:val="24"/>
        </w:rPr>
        <w:t>《信息披露办法》</w:t>
      </w:r>
      <w:r w:rsidRPr="002F7EF1">
        <w:rPr>
          <w:rFonts w:eastAsiaTheme="minorEastAsia"/>
          <w:color w:val="000000"/>
          <w:sz w:val="24"/>
          <w:szCs w:val="24"/>
        </w:rPr>
        <w:t>”</w:t>
      </w:r>
      <w:r w:rsidRPr="002F7EF1">
        <w:rPr>
          <w:rFonts w:eastAsiaTheme="minorEastAsia"/>
          <w:color w:val="000000"/>
          <w:sz w:val="24"/>
          <w:szCs w:val="24"/>
        </w:rPr>
        <w:t>）的有关规定在规定媒介上公告。</w:t>
      </w:r>
      <w:bookmarkEnd w:id="2"/>
    </w:p>
    <w:p w:rsidR="00B546D4" w:rsidRPr="004602BA" w:rsidRDefault="00B546D4" w:rsidP="00DF78E1">
      <w:pPr>
        <w:pStyle w:val="2"/>
        <w:spacing w:before="260" w:after="260"/>
        <w:ind w:firstLineChars="200" w:firstLine="482"/>
        <w:rPr>
          <w:rFonts w:ascii="Times New Roman" w:eastAsiaTheme="minorEastAsia" w:hAnsi="Times New Roman"/>
        </w:rPr>
      </w:pPr>
      <w:r w:rsidRPr="004602BA">
        <w:rPr>
          <w:rFonts w:ascii="Times New Roman" w:eastAsiaTheme="minorEastAsia" w:hAnsi="Times New Roman"/>
        </w:rPr>
        <w:t xml:space="preserve">3 </w:t>
      </w:r>
      <w:r w:rsidRPr="004602BA">
        <w:rPr>
          <w:rFonts w:ascii="Times New Roman" w:eastAsiaTheme="minorEastAsia" w:hAnsi="Times New Roman"/>
        </w:rPr>
        <w:t>日常申购</w:t>
      </w:r>
      <w:r w:rsidRPr="004602BA">
        <w:rPr>
          <w:rFonts w:ascii="Times New Roman" w:eastAsiaTheme="minorEastAsia" w:hAnsi="Times New Roman" w:hint="eastAsia"/>
        </w:rPr>
        <w:t>、赎回</w:t>
      </w:r>
      <w:r w:rsidRPr="004602BA">
        <w:rPr>
          <w:rFonts w:ascii="Times New Roman" w:eastAsiaTheme="minorEastAsia" w:hAnsi="Times New Roman"/>
        </w:rPr>
        <w:t>业务</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3.1</w:t>
      </w:r>
      <w:r>
        <w:rPr>
          <w:rFonts w:eastAsiaTheme="minorEastAsia"/>
          <w:color w:val="000000"/>
          <w:sz w:val="24"/>
          <w:szCs w:val="24"/>
        </w:rPr>
        <w:t>申购与赎回的原则</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lastRenderedPageBreak/>
        <w:t>1</w:t>
      </w:r>
      <w:r>
        <w:rPr>
          <w:rFonts w:eastAsiaTheme="minorEastAsia"/>
          <w:color w:val="000000"/>
          <w:sz w:val="24"/>
          <w:szCs w:val="24"/>
        </w:rPr>
        <w:t>、基金采用</w:t>
      </w:r>
      <w:r>
        <w:rPr>
          <w:rFonts w:eastAsiaTheme="minorEastAsia"/>
          <w:color w:val="000000"/>
          <w:sz w:val="24"/>
          <w:szCs w:val="24"/>
        </w:rPr>
        <w:t>“</w:t>
      </w:r>
      <w:r>
        <w:rPr>
          <w:rFonts w:eastAsiaTheme="minorEastAsia"/>
          <w:color w:val="000000"/>
          <w:sz w:val="24"/>
          <w:szCs w:val="24"/>
        </w:rPr>
        <w:t>份额申购、份额赎回</w:t>
      </w:r>
      <w:r>
        <w:rPr>
          <w:rFonts w:eastAsiaTheme="minorEastAsia"/>
          <w:color w:val="000000"/>
          <w:sz w:val="24"/>
          <w:szCs w:val="24"/>
        </w:rPr>
        <w:t>”</w:t>
      </w:r>
      <w:r>
        <w:rPr>
          <w:rFonts w:eastAsiaTheme="minorEastAsia"/>
          <w:color w:val="000000"/>
          <w:sz w:val="24"/>
          <w:szCs w:val="24"/>
        </w:rPr>
        <w:t>原则，即申购、赎回均以份额申请。</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、基金的申购对价、赎回对价包括现金替代、现金差额及其他对价。</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、申购、赎回申请提交后不得撤销。</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4</w:t>
      </w:r>
      <w:r>
        <w:rPr>
          <w:rFonts w:eastAsiaTheme="minorEastAsia"/>
          <w:color w:val="000000"/>
          <w:sz w:val="24"/>
          <w:szCs w:val="24"/>
        </w:rPr>
        <w:t>、申购、赎回应遵守《业务规则》及其他相关规定。</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、本基金申购、赎回的币种为人民币。基金管理人可以根据市场情况，在履行适当的程序后，增加新的销售币种，具体见基金份额发售公告或基金管理人届时发布的相关公告。</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6</w:t>
      </w:r>
      <w:r>
        <w:rPr>
          <w:rFonts w:eastAsiaTheme="minorEastAsia"/>
          <w:color w:val="000000"/>
          <w:sz w:val="24"/>
          <w:szCs w:val="24"/>
        </w:rPr>
        <w:t>、基金管理人可在不违反法律法规且对基金份额持有人利益无实质性不利影响的情况下，对上述原则进行调整。基金管理人必须在新规则开始实施前依照《信息披露办法》的有关规定在规定媒介上公告。</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3.2</w:t>
      </w:r>
      <w:r>
        <w:rPr>
          <w:rFonts w:eastAsiaTheme="minorEastAsia"/>
          <w:color w:val="000000"/>
          <w:sz w:val="24"/>
          <w:szCs w:val="24"/>
        </w:rPr>
        <w:t>申购和赎回的数额限制</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、投资者申购、赎回的基金份额需为基金最小申购、赎回单位的整数倍。目前，本基金最小申购、赎回单位为</w:t>
      </w:r>
      <w:r>
        <w:rPr>
          <w:rFonts w:eastAsiaTheme="minorEastAsia"/>
          <w:color w:val="000000"/>
          <w:sz w:val="24"/>
          <w:szCs w:val="24"/>
        </w:rPr>
        <w:t>100</w:t>
      </w:r>
      <w:r>
        <w:rPr>
          <w:rFonts w:eastAsiaTheme="minorEastAsia"/>
          <w:color w:val="000000"/>
          <w:sz w:val="24"/>
          <w:szCs w:val="24"/>
        </w:rPr>
        <w:t>万份。</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基金管理人可根据基金运作情况、市场变化以及投资者需求等因素对基金的最小申购、赎回单位进行调整并提前公告。</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、基金管理人可在法律法规允许的情况下，调整上述规定申购和赎回的数额限制。基金管理人必须在调整前依照《信息披露办法》的有关规定在规定媒介上公告。</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3.3</w:t>
      </w:r>
      <w:r>
        <w:rPr>
          <w:rFonts w:eastAsiaTheme="minorEastAsia"/>
          <w:color w:val="000000"/>
          <w:sz w:val="24"/>
          <w:szCs w:val="24"/>
        </w:rPr>
        <w:t>申购与赎回的对价和费用</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申购对价是指投资者申购基金份额时应交付的现金替代、现金差额及其他对价。赎回对价是指基金份额持有人赎回基金份额时，基金管理人应交付的现金替代、现金差额及其他对价。申购对价、赎回对价根据申购赎回清单和投资者申购、赎回的基金份额数额确定。</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w:t>
      </w:r>
      <w:r>
        <w:rPr>
          <w:rFonts w:eastAsiaTheme="minorEastAsia"/>
          <w:color w:val="000000"/>
          <w:sz w:val="24"/>
          <w:szCs w:val="24"/>
        </w:rPr>
        <w:t>T</w:t>
      </w:r>
      <w:r>
        <w:rPr>
          <w:rFonts w:eastAsiaTheme="minorEastAsia"/>
          <w:color w:val="000000"/>
          <w:sz w:val="24"/>
          <w:szCs w:val="24"/>
        </w:rPr>
        <w:t>日的申购赎回清单在当日深圳证券交易所开市前公告。未来，若市场</w:t>
      </w:r>
      <w:r>
        <w:rPr>
          <w:rFonts w:eastAsiaTheme="minorEastAsia"/>
          <w:color w:val="000000"/>
          <w:sz w:val="24"/>
          <w:szCs w:val="24"/>
        </w:rPr>
        <w:lastRenderedPageBreak/>
        <w:t>情况发生变化，或相关业务规则发生变化，基金管理人可以在不违反相关法律法规且对基金份额持有人利益无实质性不利影响的情况下对申购赎回清单计算和公告时间进行调整并提前公告，无须召开基金份额持有人大会。</w:t>
      </w:r>
    </w:p>
    <w:p w:rsidR="002311B5" w:rsidRPr="002311B5" w:rsidRDefault="002311B5" w:rsidP="0029521B">
      <w:pPr>
        <w:spacing w:line="360" w:lineRule="auto"/>
        <w:ind w:firstLineChars="200" w:firstLine="480"/>
        <w:rPr>
          <w:rFonts w:eastAsiaTheme="minorEastAsia"/>
          <w:color w:val="000000"/>
          <w:sz w:val="24"/>
          <w:szCs w:val="24"/>
        </w:rPr>
      </w:pPr>
      <w:r w:rsidRPr="0042524C">
        <w:rPr>
          <w:rFonts w:eastAsiaTheme="minorEastAsia"/>
          <w:color w:val="000000"/>
          <w:sz w:val="24"/>
          <w:szCs w:val="24"/>
        </w:rPr>
        <w:t>3</w:t>
      </w:r>
      <w:r w:rsidRPr="0042524C">
        <w:rPr>
          <w:rFonts w:eastAsiaTheme="minorEastAsia"/>
          <w:color w:val="000000"/>
          <w:sz w:val="24"/>
          <w:szCs w:val="24"/>
        </w:rPr>
        <w:t>、投资者在申购或赎回基金份额时，申购赎回代理机构可按照不超过</w:t>
      </w:r>
      <w:r w:rsidRPr="0042524C">
        <w:rPr>
          <w:rFonts w:eastAsiaTheme="minorEastAsia"/>
          <w:color w:val="000000"/>
          <w:sz w:val="24"/>
          <w:szCs w:val="24"/>
        </w:rPr>
        <w:t>0.5%</w:t>
      </w:r>
      <w:r w:rsidRPr="0042524C">
        <w:rPr>
          <w:rFonts w:eastAsiaTheme="minorEastAsia"/>
          <w:color w:val="000000"/>
          <w:sz w:val="24"/>
          <w:szCs w:val="24"/>
        </w:rPr>
        <w:t>的标准收取佣金，其中包含证券交易所、登记机构等收取的相关费用。</w:t>
      </w:r>
    </w:p>
    <w:p w:rsidR="00AD3379" w:rsidRPr="004602BA" w:rsidRDefault="004C7922" w:rsidP="00DF78E1">
      <w:pPr>
        <w:pStyle w:val="2"/>
        <w:spacing w:before="260" w:after="260"/>
        <w:ind w:firstLineChars="200" w:firstLine="482"/>
        <w:rPr>
          <w:rFonts w:ascii="Times New Roman" w:eastAsiaTheme="minorEastAsia" w:hAnsi="Times New Roman"/>
        </w:rPr>
      </w:pPr>
      <w:r w:rsidRPr="00A974C2">
        <w:rPr>
          <w:rFonts w:ascii="Times New Roman" w:eastAsiaTheme="minorEastAsia" w:hAnsi="Times New Roman"/>
        </w:rPr>
        <w:t>4</w:t>
      </w:r>
      <w:r w:rsidR="00AD3379" w:rsidRPr="00A974C2">
        <w:rPr>
          <w:rFonts w:ascii="Times New Roman" w:eastAsiaTheme="minorEastAsia" w:hAnsi="Times New Roman"/>
        </w:rPr>
        <w:t xml:space="preserve"> </w:t>
      </w:r>
      <w:r w:rsidR="00AD3379" w:rsidRPr="00A974C2">
        <w:rPr>
          <w:rFonts w:ascii="Times New Roman" w:eastAsiaTheme="minorEastAsia" w:hAnsi="Times New Roman" w:hint="eastAsia"/>
        </w:rPr>
        <w:t>申购赎回代办证券公司</w:t>
      </w:r>
    </w:p>
    <w:tbl>
      <w:tblPr>
        <w:tblStyle w:val="a8"/>
        <w:tblW w:w="0" w:type="auto"/>
        <w:tblLook w:val="04A0"/>
      </w:tblPr>
      <w:tblGrid>
        <w:gridCol w:w="887"/>
        <w:gridCol w:w="3043"/>
        <w:gridCol w:w="2530"/>
        <w:gridCol w:w="2062"/>
      </w:tblGrid>
      <w:tr w:rsidR="00946D58" w:rsidRPr="00946D58" w:rsidTr="00A762F7">
        <w:tc>
          <w:tcPr>
            <w:tcW w:w="4260" w:type="dxa"/>
            <w:gridSpan w:val="2"/>
          </w:tcPr>
          <w:p w:rsidR="00946D58" w:rsidRPr="00946D58" w:rsidRDefault="00946D58" w:rsidP="00A762F7">
            <w:pPr>
              <w:rPr>
                <w:rFonts w:eastAsiaTheme="minorEastAsia"/>
                <w:sz w:val="21"/>
                <w:szCs w:val="21"/>
              </w:rPr>
            </w:pPr>
            <w:r w:rsidRPr="00946D58">
              <w:rPr>
                <w:rFonts w:eastAsiaTheme="minorEastAsia"/>
                <w:sz w:val="21"/>
                <w:szCs w:val="21"/>
              </w:rPr>
              <w:t>销售机构名称</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网址</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客户服务电话</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国泰海通证券股份有限公司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www.gtht.com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95521</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中信建投证券股份有限公司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www.csc108.com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95587</w:t>
            </w:r>
            <w:r w:rsidRPr="00946D58">
              <w:rPr>
                <w:rFonts w:eastAsiaTheme="minorEastAsia"/>
                <w:sz w:val="21"/>
                <w:szCs w:val="21"/>
              </w:rPr>
              <w:t>、</w:t>
            </w:r>
            <w:r w:rsidRPr="00946D58">
              <w:rPr>
                <w:rFonts w:eastAsiaTheme="minorEastAsia"/>
                <w:sz w:val="21"/>
                <w:szCs w:val="21"/>
              </w:rPr>
              <w:t>4008-888-108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国信证券股份有限公司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www.guosen.com.cn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95536</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4</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招商证券股份有限公司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www.cmschina.com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95565</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5</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广发证券股份有限公司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www.gf.com.cn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95575</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6</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中信证券股份有限公司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www.cs.ecitic.com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95548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7</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中国银河证券股份有限公司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www.chinastock.com.cn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4008-888-888</w:t>
            </w:r>
            <w:r w:rsidRPr="00946D58">
              <w:rPr>
                <w:rFonts w:eastAsiaTheme="minorEastAsia"/>
                <w:sz w:val="21"/>
                <w:szCs w:val="21"/>
              </w:rPr>
              <w:t>或</w:t>
            </w:r>
            <w:r w:rsidRPr="00946D58">
              <w:rPr>
                <w:rFonts w:eastAsiaTheme="minorEastAsia"/>
                <w:sz w:val="21"/>
                <w:szCs w:val="21"/>
              </w:rPr>
              <w:t>95551</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8</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申万宏源证券有限公司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www.swhysc.com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95523</w:t>
            </w:r>
            <w:r w:rsidRPr="00946D58">
              <w:rPr>
                <w:rFonts w:eastAsiaTheme="minorEastAsia"/>
                <w:sz w:val="21"/>
                <w:szCs w:val="21"/>
              </w:rPr>
              <w:t>、</w:t>
            </w:r>
            <w:r w:rsidRPr="00946D58">
              <w:rPr>
                <w:rFonts w:eastAsiaTheme="minorEastAsia"/>
                <w:sz w:val="21"/>
                <w:szCs w:val="21"/>
              </w:rPr>
              <w:t>400-889-5523</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9</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国投证券股份有限公司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https://www.sdicsc.com.cn/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95517</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10</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西南证券股份有限公司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www.swsc.com.cn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95355</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11</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湘财证券股份有限公司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www.xcsc.com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95351</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12</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民生证券股份有限公司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www.mszq.com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95376</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13</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渤海证券股份有限公司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https://www.bhzq.com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956066</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14</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华泰证券股份有限公司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www.htsc.com.cn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95597</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15</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山西证券股份有限公司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www.i618.com.cn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95573</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16</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中信证券（山东）有限责任公司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sd.citics.com/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95548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17</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东兴证券股份有限公司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www.dxzq.net.cn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95309</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18</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东吴证券股份有限公司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www.dwzq.com.cn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95330</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19</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方正证券股份有限公司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www.foundersc.com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95571</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20</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长城证券股份有限公司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www.cgws.com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95514</w:t>
            </w:r>
            <w:r w:rsidRPr="00946D58">
              <w:rPr>
                <w:rFonts w:eastAsiaTheme="minorEastAsia"/>
                <w:sz w:val="21"/>
                <w:szCs w:val="21"/>
              </w:rPr>
              <w:t>、</w:t>
            </w:r>
            <w:r w:rsidRPr="00946D58">
              <w:rPr>
                <w:rFonts w:eastAsiaTheme="minorEastAsia"/>
                <w:sz w:val="21"/>
                <w:szCs w:val="21"/>
              </w:rPr>
              <w:t>400-6666-888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21</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中信证券华南股份有限公司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www.gzs.com.cn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95548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22</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东北证券股份有限公司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www.nesc.cn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95360</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23</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浙商证券股份有限公司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www.stocke.com.cn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95345</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24</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平安证券股份有限公司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www.pingan.com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95511-8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25</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华安证券股份有限公司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www.hazq.com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95318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26</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东莞证券股份有限公司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www.dgzq.com.cn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95328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27</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东海证券股份有限公司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www.longone.com.cn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95531</w:t>
            </w:r>
            <w:r w:rsidRPr="00946D58">
              <w:rPr>
                <w:rFonts w:eastAsiaTheme="minorEastAsia"/>
                <w:sz w:val="21"/>
                <w:szCs w:val="21"/>
              </w:rPr>
              <w:t>、</w:t>
            </w:r>
            <w:r w:rsidRPr="00946D58">
              <w:rPr>
                <w:rFonts w:eastAsiaTheme="minorEastAsia"/>
                <w:sz w:val="21"/>
                <w:szCs w:val="21"/>
              </w:rPr>
              <w:t>400-888-8588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28</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国盛证券有限责任公司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www.gszq.com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956080</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29</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华西证券股份有限公司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www.hx168.com.cn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95584</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30</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申万宏源西部证券有限公司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www.swhysc.com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95523</w:t>
            </w:r>
            <w:r w:rsidRPr="00946D58">
              <w:rPr>
                <w:rFonts w:eastAsiaTheme="minorEastAsia"/>
                <w:sz w:val="21"/>
                <w:szCs w:val="21"/>
              </w:rPr>
              <w:t>、</w:t>
            </w:r>
            <w:r w:rsidRPr="00946D58">
              <w:rPr>
                <w:rFonts w:eastAsiaTheme="minorEastAsia"/>
                <w:sz w:val="21"/>
                <w:szCs w:val="21"/>
              </w:rPr>
              <w:t>400-889-5523</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31</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中泰证券股份有限公司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www.zts.com.cn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95538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32</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西部证券股份有限公司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www.westsecu.com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95582</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33</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华福证券有限责任公司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www.hfzq.com.cn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95547</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34</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中国国际金融股份有限公司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www.cicc.com.cn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010-65051166</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35</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中国中金财富证券有限公司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www.china-invs.cn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400-600-8008</w:t>
            </w:r>
            <w:r w:rsidRPr="00946D58">
              <w:rPr>
                <w:rFonts w:eastAsiaTheme="minorEastAsia"/>
                <w:sz w:val="21"/>
                <w:szCs w:val="21"/>
              </w:rPr>
              <w:t>、</w:t>
            </w:r>
            <w:r w:rsidRPr="00946D58">
              <w:rPr>
                <w:rFonts w:eastAsiaTheme="minorEastAsia"/>
                <w:sz w:val="21"/>
                <w:szCs w:val="21"/>
              </w:rPr>
              <w:t>95532</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36</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东方财富证券股份有限公司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http://www.18.cn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95357</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37</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江海证券有限公司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www.jhzq.com.cn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956007</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38</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国金证券股份有限公司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www.gjzq.com.cn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95310</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39</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华宝证券股份有限公司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www.cnhbstock.com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400-820-9898</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40</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国新证券股份有限公司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www.crsec.com.cn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95390</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41</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财达证券股份有限公司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www.s10000.com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95363</w:t>
            </w:r>
            <w:r w:rsidRPr="00946D58">
              <w:rPr>
                <w:rFonts w:eastAsiaTheme="minorEastAsia"/>
                <w:sz w:val="21"/>
                <w:szCs w:val="21"/>
              </w:rPr>
              <w:t>（河北省内）、</w:t>
            </w:r>
            <w:r w:rsidRPr="00946D58">
              <w:rPr>
                <w:rFonts w:eastAsiaTheme="minorEastAsia"/>
                <w:sz w:val="21"/>
                <w:szCs w:val="21"/>
              </w:rPr>
              <w:t>0311-95363</w:t>
            </w:r>
            <w:r w:rsidRPr="00946D58">
              <w:rPr>
                <w:rFonts w:eastAsiaTheme="minorEastAsia"/>
                <w:sz w:val="21"/>
                <w:szCs w:val="21"/>
              </w:rPr>
              <w:t>（河北省外）</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42</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万和证券股份有限公司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http://www.vanho.cn/</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4008-882-882</w:t>
            </w:r>
          </w:p>
        </w:tc>
      </w:tr>
      <w:tr w:rsidR="00946D58" w:rsidRPr="00946D58" w:rsidTr="00A762F7">
        <w:tc>
          <w:tcPr>
            <w:tcW w:w="959" w:type="dxa"/>
          </w:tcPr>
          <w:p w:rsidR="00946D58" w:rsidRPr="00946D58" w:rsidRDefault="00946D58" w:rsidP="00A762F7">
            <w:pPr>
              <w:rPr>
                <w:rFonts w:eastAsiaTheme="minorEastAsia"/>
                <w:sz w:val="21"/>
                <w:szCs w:val="21"/>
              </w:rPr>
            </w:pPr>
            <w:r w:rsidRPr="00946D58">
              <w:rPr>
                <w:rFonts w:eastAsiaTheme="minorEastAsia"/>
                <w:sz w:val="21"/>
                <w:szCs w:val="21"/>
              </w:rPr>
              <w:t>43</w:t>
            </w:r>
          </w:p>
        </w:tc>
        <w:tc>
          <w:tcPr>
            <w:tcW w:w="3417" w:type="dxa"/>
          </w:tcPr>
          <w:p w:rsidR="00946D58" w:rsidRPr="00946D58" w:rsidRDefault="00946D58" w:rsidP="00A762F7">
            <w:pPr>
              <w:rPr>
                <w:rFonts w:eastAsiaTheme="minorEastAsia"/>
                <w:sz w:val="21"/>
                <w:szCs w:val="21"/>
              </w:rPr>
            </w:pPr>
            <w:r w:rsidRPr="00946D58">
              <w:rPr>
                <w:rFonts w:eastAsiaTheme="minorEastAsia"/>
                <w:sz w:val="21"/>
                <w:szCs w:val="21"/>
              </w:rPr>
              <w:t>联储证券股份有限公司</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http://www.lczq.com</w:t>
            </w:r>
          </w:p>
        </w:tc>
        <w:tc>
          <w:tcPr>
            <w:tcW w:w="2131" w:type="dxa"/>
          </w:tcPr>
          <w:p w:rsidR="00946D58" w:rsidRPr="00946D58" w:rsidRDefault="00946D58" w:rsidP="00A762F7">
            <w:pPr>
              <w:rPr>
                <w:rFonts w:eastAsiaTheme="minorEastAsia"/>
                <w:sz w:val="21"/>
                <w:szCs w:val="21"/>
              </w:rPr>
            </w:pPr>
            <w:r w:rsidRPr="00946D58">
              <w:rPr>
                <w:rFonts w:eastAsiaTheme="minorEastAsia"/>
                <w:sz w:val="21"/>
                <w:szCs w:val="21"/>
              </w:rPr>
              <w:t>956006</w:t>
            </w:r>
          </w:p>
        </w:tc>
      </w:tr>
    </w:tbl>
    <w:p w:rsidR="00AD3379" w:rsidRPr="00F92D72" w:rsidRDefault="002311B5" w:rsidP="00E0078B">
      <w:pPr>
        <w:spacing w:line="360" w:lineRule="auto"/>
        <w:ind w:firstLineChars="200" w:firstLine="480"/>
        <w:rPr>
          <w:rFonts w:eastAsiaTheme="minorEastAsia"/>
          <w:color w:val="000000"/>
          <w:sz w:val="24"/>
          <w:szCs w:val="24"/>
        </w:rPr>
      </w:pPr>
      <w:r w:rsidRPr="00F92D72">
        <w:rPr>
          <w:rFonts w:eastAsiaTheme="minorEastAsia"/>
          <w:color w:val="000000"/>
          <w:sz w:val="24"/>
          <w:szCs w:val="24"/>
        </w:rPr>
        <w:t>投资者办理本基金申购、赎回业务的具体流程、规则等以及各销售机构的业务办理状况，请参照各销售机构的规定执行。本公司可新增或调整本基金申购赎回代办证券公司并在官网（</w:t>
      </w:r>
      <w:r w:rsidRPr="00F92D72">
        <w:rPr>
          <w:rFonts w:eastAsiaTheme="minorEastAsia"/>
          <w:color w:val="000000"/>
          <w:sz w:val="24"/>
          <w:szCs w:val="24"/>
        </w:rPr>
        <w:t>www.ChinaAMC.com</w:t>
      </w:r>
      <w:r w:rsidRPr="00F92D72">
        <w:rPr>
          <w:rFonts w:eastAsiaTheme="minorEastAsia"/>
          <w:color w:val="000000"/>
          <w:sz w:val="24"/>
          <w:szCs w:val="24"/>
        </w:rPr>
        <w:t>）公示，投资者可登录查询。</w:t>
      </w:r>
    </w:p>
    <w:p w:rsidR="00CB7B0B" w:rsidRPr="004602BA" w:rsidRDefault="004C7922" w:rsidP="00DF78E1">
      <w:pPr>
        <w:pStyle w:val="2"/>
        <w:spacing w:before="260" w:after="260"/>
        <w:ind w:firstLineChars="200" w:firstLine="482"/>
        <w:rPr>
          <w:rFonts w:ascii="Times New Roman" w:eastAsiaTheme="minorEastAsia" w:hAnsi="Times New Roman"/>
        </w:rPr>
      </w:pPr>
      <w:bookmarkStart w:id="3" w:name="_Hlk135658032"/>
      <w:r w:rsidRPr="004602BA">
        <w:rPr>
          <w:rFonts w:ascii="Times New Roman" w:eastAsiaTheme="minorEastAsia" w:hAnsi="Times New Roman"/>
        </w:rPr>
        <w:t>5</w:t>
      </w:r>
      <w:bookmarkEnd w:id="3"/>
      <w:r w:rsidR="002F6CCA">
        <w:rPr>
          <w:rFonts w:ascii="Times New Roman" w:eastAsiaTheme="minorEastAsia" w:hAnsi="Times New Roman"/>
        </w:rPr>
        <w:t xml:space="preserve"> </w:t>
      </w:r>
      <w:r w:rsidR="00CB7B0B" w:rsidRPr="004602BA">
        <w:rPr>
          <w:rFonts w:ascii="Times New Roman" w:eastAsiaTheme="minorEastAsia" w:hAnsi="Times New Roman"/>
        </w:rPr>
        <w:t>基金份额净值公告的披露安排</w:t>
      </w:r>
    </w:p>
    <w:p w:rsidR="00CB7B0B" w:rsidRDefault="00CB7B0B" w:rsidP="00E0078B">
      <w:pPr>
        <w:spacing w:line="360" w:lineRule="auto"/>
        <w:ind w:firstLineChars="200" w:firstLine="480"/>
        <w:rPr>
          <w:rFonts w:eastAsiaTheme="minorEastAsia"/>
          <w:color w:val="000000"/>
          <w:sz w:val="24"/>
          <w:szCs w:val="24"/>
        </w:rPr>
      </w:pPr>
      <w:r w:rsidRPr="0044492E">
        <w:rPr>
          <w:rFonts w:eastAsiaTheme="minorEastAsia"/>
          <w:color w:val="000000"/>
          <w:sz w:val="24"/>
          <w:szCs w:val="24"/>
        </w:rPr>
        <w:t>在开始办理基金份额申购或者赎回后，基金管理人应当在不晚于每个开放日的次日，通过规定网站、基金销售机构网站或者营业网点，披露开放日的基金份额净值和基金份额累计净值。基金上市交易后，还将在证券交易所行情发布系统揭示基金份额净值。</w:t>
      </w:r>
    </w:p>
    <w:p w:rsidR="00E33B5B" w:rsidRPr="004602BA" w:rsidRDefault="00E33B5B" w:rsidP="00DF78E1">
      <w:pPr>
        <w:pStyle w:val="2"/>
        <w:spacing w:before="260" w:after="260"/>
        <w:ind w:firstLineChars="200" w:firstLine="482"/>
        <w:rPr>
          <w:rFonts w:ascii="Times New Roman" w:eastAsiaTheme="minorEastAsia" w:hAnsi="Times New Roman"/>
        </w:rPr>
      </w:pPr>
      <w:r w:rsidRPr="004602BA">
        <w:rPr>
          <w:rFonts w:ascii="Times New Roman" w:eastAsiaTheme="minorEastAsia" w:hAnsi="Times New Roman"/>
        </w:rPr>
        <w:t xml:space="preserve">6 </w:t>
      </w:r>
      <w:r w:rsidRPr="004602BA">
        <w:rPr>
          <w:rFonts w:ascii="Times New Roman" w:eastAsiaTheme="minorEastAsia" w:hAnsi="Times New Roman"/>
        </w:rPr>
        <w:t>其他需要提示的事项</w:t>
      </w:r>
    </w:p>
    <w:p w:rsidR="000E1A55" w:rsidRDefault="005E05B6">
      <w:pPr>
        <w:spacing w:line="360" w:lineRule="auto"/>
        <w:ind w:firstLineChars="200" w:firstLine="480"/>
        <w:rPr>
          <w:rFonts w:eastAsiaTheme="minorEastAsia"/>
          <w:color w:val="000000"/>
          <w:sz w:val="24"/>
          <w:szCs w:val="24"/>
        </w:rPr>
      </w:pPr>
      <w:r>
        <w:rPr>
          <w:rFonts w:eastAsiaTheme="minorEastAsia" w:hint="eastAsia"/>
          <w:color w:val="000000"/>
          <w:sz w:val="24"/>
          <w:szCs w:val="24"/>
        </w:rPr>
        <w:t>1</w:t>
      </w:r>
      <w:r>
        <w:rPr>
          <w:rFonts w:eastAsiaTheme="minorEastAsia" w:hint="eastAsia"/>
          <w:color w:val="000000"/>
          <w:sz w:val="24"/>
          <w:szCs w:val="24"/>
        </w:rPr>
        <w:t>、</w:t>
      </w:r>
      <w:r w:rsidR="00FC2E0C">
        <w:rPr>
          <w:rFonts w:eastAsiaTheme="minorEastAsia"/>
          <w:color w:val="000000"/>
          <w:sz w:val="24"/>
          <w:szCs w:val="24"/>
        </w:rPr>
        <w:t>投资者欲了解本基金的详细情况，请登录本公司网站（</w:t>
      </w:r>
      <w:r w:rsidR="00FC2E0C">
        <w:rPr>
          <w:rFonts w:eastAsiaTheme="minorEastAsia"/>
          <w:color w:val="000000"/>
          <w:sz w:val="24"/>
          <w:szCs w:val="24"/>
        </w:rPr>
        <w:t>www.ChinaAMC.com</w:t>
      </w:r>
      <w:r w:rsidR="00FC2E0C">
        <w:rPr>
          <w:rFonts w:eastAsiaTheme="minorEastAsia"/>
          <w:color w:val="000000"/>
          <w:sz w:val="24"/>
          <w:szCs w:val="24"/>
        </w:rPr>
        <w:t>）查阅本基金基金合同、招募说明书及基金产品资料概要等法律文件，也可拨打本公司客户服务电话（</w:t>
      </w:r>
      <w:r w:rsidR="00FC2E0C">
        <w:rPr>
          <w:rFonts w:eastAsiaTheme="minorEastAsia"/>
          <w:color w:val="000000"/>
          <w:sz w:val="24"/>
          <w:szCs w:val="24"/>
        </w:rPr>
        <w:t>400-818-6666</w:t>
      </w:r>
      <w:r w:rsidR="00FC2E0C">
        <w:rPr>
          <w:rFonts w:eastAsiaTheme="minorEastAsia"/>
          <w:color w:val="000000"/>
          <w:sz w:val="24"/>
          <w:szCs w:val="24"/>
        </w:rPr>
        <w:t>）了解本基金日常申购、赎回事宜。</w:t>
      </w:r>
    </w:p>
    <w:p w:rsidR="000E1A55" w:rsidRDefault="005E05B6">
      <w:pPr>
        <w:spacing w:line="360" w:lineRule="auto"/>
        <w:ind w:firstLineChars="200" w:firstLine="480"/>
        <w:rPr>
          <w:rFonts w:eastAsiaTheme="minorEastAsia"/>
          <w:color w:val="000000"/>
          <w:sz w:val="24"/>
          <w:szCs w:val="24"/>
        </w:rPr>
      </w:pPr>
      <w:r>
        <w:rPr>
          <w:rFonts w:eastAsiaTheme="minorEastAsia" w:hint="eastAsia"/>
          <w:color w:val="000000"/>
          <w:sz w:val="24"/>
          <w:szCs w:val="24"/>
        </w:rPr>
        <w:t>2</w:t>
      </w:r>
      <w:r>
        <w:rPr>
          <w:rFonts w:eastAsiaTheme="minorEastAsia" w:hint="eastAsia"/>
          <w:color w:val="000000"/>
          <w:sz w:val="24"/>
          <w:szCs w:val="24"/>
        </w:rPr>
        <w:t>、</w:t>
      </w:r>
      <w:r w:rsidR="00FC2E0C">
        <w:rPr>
          <w:rFonts w:eastAsiaTheme="minorEastAsia"/>
          <w:color w:val="000000"/>
          <w:sz w:val="24"/>
          <w:szCs w:val="24"/>
        </w:rPr>
        <w:t>本基金将自</w:t>
      </w:r>
      <w:r w:rsidR="00FC2E0C">
        <w:rPr>
          <w:rFonts w:eastAsiaTheme="minorEastAsia"/>
          <w:color w:val="000000"/>
          <w:sz w:val="24"/>
          <w:szCs w:val="24"/>
        </w:rPr>
        <w:t>2025</w:t>
      </w:r>
      <w:r w:rsidR="00FC2E0C">
        <w:rPr>
          <w:rFonts w:eastAsiaTheme="minorEastAsia"/>
          <w:color w:val="000000"/>
          <w:sz w:val="24"/>
          <w:szCs w:val="24"/>
        </w:rPr>
        <w:t>年</w:t>
      </w:r>
      <w:r w:rsidR="00FC2E0C">
        <w:rPr>
          <w:rFonts w:eastAsiaTheme="minorEastAsia"/>
          <w:color w:val="000000"/>
          <w:sz w:val="24"/>
          <w:szCs w:val="24"/>
        </w:rPr>
        <w:t>11</w:t>
      </w:r>
      <w:r w:rsidR="00FC2E0C">
        <w:rPr>
          <w:rFonts w:eastAsiaTheme="minorEastAsia"/>
          <w:color w:val="000000"/>
          <w:sz w:val="24"/>
          <w:szCs w:val="24"/>
        </w:rPr>
        <w:t>月</w:t>
      </w:r>
      <w:r w:rsidR="00FC2E0C">
        <w:rPr>
          <w:rFonts w:eastAsiaTheme="minorEastAsia"/>
          <w:color w:val="000000"/>
          <w:sz w:val="24"/>
          <w:szCs w:val="24"/>
        </w:rPr>
        <w:t>27</w:t>
      </w:r>
      <w:r w:rsidR="00FC2E0C">
        <w:rPr>
          <w:rFonts w:eastAsiaTheme="minorEastAsia"/>
          <w:color w:val="000000"/>
          <w:sz w:val="24"/>
          <w:szCs w:val="24"/>
        </w:rPr>
        <w:t>日起在深圳证券交易所上市交易，投资者可通过本公司网站查阅本公司于</w:t>
      </w:r>
      <w:r w:rsidR="00FC2E0C">
        <w:rPr>
          <w:rFonts w:eastAsiaTheme="minorEastAsia"/>
          <w:color w:val="000000"/>
          <w:sz w:val="24"/>
          <w:szCs w:val="24"/>
        </w:rPr>
        <w:t>2025</w:t>
      </w:r>
      <w:r w:rsidR="00FC2E0C">
        <w:rPr>
          <w:rFonts w:eastAsiaTheme="minorEastAsia"/>
          <w:color w:val="000000"/>
          <w:sz w:val="24"/>
          <w:szCs w:val="24"/>
        </w:rPr>
        <w:t>年</w:t>
      </w:r>
      <w:r w:rsidR="00FC2E0C">
        <w:rPr>
          <w:rFonts w:eastAsiaTheme="minorEastAsia"/>
          <w:color w:val="000000"/>
          <w:sz w:val="24"/>
          <w:szCs w:val="24"/>
        </w:rPr>
        <w:t>11</w:t>
      </w:r>
      <w:r w:rsidR="00FC2E0C">
        <w:rPr>
          <w:rFonts w:eastAsiaTheme="minorEastAsia"/>
          <w:color w:val="000000"/>
          <w:sz w:val="24"/>
          <w:szCs w:val="24"/>
        </w:rPr>
        <w:t>月</w:t>
      </w:r>
      <w:r w:rsidR="00FC2E0C">
        <w:rPr>
          <w:rFonts w:eastAsiaTheme="minorEastAsia"/>
          <w:color w:val="000000"/>
          <w:sz w:val="24"/>
          <w:szCs w:val="24"/>
        </w:rPr>
        <w:t>24</w:t>
      </w:r>
      <w:r w:rsidR="00FC2E0C">
        <w:rPr>
          <w:rFonts w:eastAsiaTheme="minorEastAsia"/>
          <w:color w:val="000000"/>
          <w:sz w:val="24"/>
          <w:szCs w:val="24"/>
        </w:rPr>
        <w:t>日发布的《华夏标普港股通低波红利交易型开放式指数证券投资基金上市交易公告书》了解相关信息。</w:t>
      </w:r>
    </w:p>
    <w:p w:rsidR="000E1A55" w:rsidRPr="00FC2E0C" w:rsidRDefault="00FC2E0C">
      <w:pPr>
        <w:spacing w:line="360" w:lineRule="auto"/>
        <w:ind w:firstLineChars="200" w:firstLine="482"/>
        <w:rPr>
          <w:rFonts w:eastAsiaTheme="minorEastAsia"/>
          <w:b/>
          <w:color w:val="000000"/>
          <w:sz w:val="24"/>
          <w:szCs w:val="24"/>
        </w:rPr>
      </w:pPr>
      <w:r w:rsidRPr="00FC2E0C">
        <w:rPr>
          <w:rFonts w:eastAsiaTheme="minorEastAsia"/>
          <w:b/>
          <w:color w:val="000000"/>
          <w:sz w:val="24"/>
          <w:szCs w:val="24"/>
        </w:rPr>
        <w:t>风险提示：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管理风险，本基金场内投资采用证券公司交易和结算模式的风险，本基金的特定风险等。本基金为指数基金，投资者投资于本基金面临跟踪误差控制未达约定目标、成份股停牌等潜在风险。此外，本基金作为交易型开放式指数证券投资基金，特定风险还包括：标的指数回报与股票市场平均回报偏离的风险、标的指数波动的风险、基金投资组合回报与标的指数回报偏离的风险、指数编制机构停止服务的风险、标的指数变更的风险、成份股停牌或退市的风险、基金份额二级市场交易价格折溢价的风险、申购赎回清单差错风险、参考</w:t>
      </w:r>
      <w:r w:rsidRPr="00FC2E0C">
        <w:rPr>
          <w:rFonts w:eastAsiaTheme="minorEastAsia"/>
          <w:b/>
          <w:color w:val="000000"/>
          <w:sz w:val="24"/>
          <w:szCs w:val="24"/>
        </w:rPr>
        <w:t>IOPV</w:t>
      </w:r>
      <w:r w:rsidRPr="00FC2E0C">
        <w:rPr>
          <w:rFonts w:eastAsiaTheme="minorEastAsia"/>
          <w:b/>
          <w:color w:val="000000"/>
          <w:sz w:val="24"/>
          <w:szCs w:val="24"/>
        </w:rPr>
        <w:t>决策和</w:t>
      </w:r>
      <w:r w:rsidRPr="00FC2E0C">
        <w:rPr>
          <w:rFonts w:eastAsiaTheme="minorEastAsia"/>
          <w:b/>
          <w:color w:val="000000"/>
          <w:sz w:val="24"/>
          <w:szCs w:val="24"/>
        </w:rPr>
        <w:t>IOPV</w:t>
      </w:r>
      <w:r w:rsidRPr="00FC2E0C">
        <w:rPr>
          <w:rFonts w:eastAsiaTheme="minorEastAsia"/>
          <w:b/>
          <w:color w:val="000000"/>
          <w:sz w:val="24"/>
          <w:szCs w:val="24"/>
        </w:rPr>
        <w:t>计算错误的风险、退市风险、投资者申购赎回失败的风险、申购赎回的代理买卖风险、基金收益分配后基金份额净值低于面值的风险、第三方机构服务的风险等。本基金资产投资于港股，会面临港股通机制下因投资环境、投资标的、市场制度以及交易规则等差异带来的特有风险，包括港股市场股价波动较大的风险、汇率风险、港股通机制下交易日不连贯可能带来的风险等。本基金为股票型基金，其预期风险和预期收益高于混合型基金、债券型基金与货币市场基金。根据</w:t>
      </w:r>
      <w:r w:rsidRPr="00FC2E0C">
        <w:rPr>
          <w:rFonts w:eastAsiaTheme="minorEastAsia"/>
          <w:b/>
          <w:color w:val="000000"/>
          <w:sz w:val="24"/>
          <w:szCs w:val="24"/>
        </w:rPr>
        <w:t>2017</w:t>
      </w:r>
      <w:r w:rsidRPr="00FC2E0C">
        <w:rPr>
          <w:rFonts w:eastAsiaTheme="minorEastAsia"/>
          <w:b/>
          <w:color w:val="000000"/>
          <w:sz w:val="24"/>
          <w:szCs w:val="24"/>
        </w:rPr>
        <w:t>年</w:t>
      </w:r>
      <w:r w:rsidRPr="00FC2E0C">
        <w:rPr>
          <w:rFonts w:eastAsiaTheme="minorEastAsia"/>
          <w:b/>
          <w:color w:val="000000"/>
          <w:sz w:val="24"/>
          <w:szCs w:val="24"/>
        </w:rPr>
        <w:t>7</w:t>
      </w:r>
      <w:r w:rsidRPr="00FC2E0C">
        <w:rPr>
          <w:rFonts w:eastAsiaTheme="minorEastAsia"/>
          <w:b/>
          <w:color w:val="000000"/>
          <w:sz w:val="24"/>
          <w:szCs w:val="24"/>
        </w:rPr>
        <w:t>月</w:t>
      </w:r>
      <w:r w:rsidRPr="00FC2E0C">
        <w:rPr>
          <w:rFonts w:eastAsiaTheme="minorEastAsia"/>
          <w:b/>
          <w:color w:val="000000"/>
          <w:sz w:val="24"/>
          <w:szCs w:val="24"/>
        </w:rPr>
        <w:t>1</w:t>
      </w:r>
      <w:r w:rsidRPr="00FC2E0C">
        <w:rPr>
          <w:rFonts w:eastAsiaTheme="minorEastAsia"/>
          <w:b/>
          <w:color w:val="000000"/>
          <w:sz w:val="24"/>
          <w:szCs w:val="24"/>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0E1A55" w:rsidRPr="00FC2E0C" w:rsidRDefault="00FC2E0C">
      <w:pPr>
        <w:spacing w:line="360" w:lineRule="auto"/>
        <w:ind w:firstLineChars="200" w:firstLine="482"/>
        <w:rPr>
          <w:rFonts w:eastAsiaTheme="minorEastAsia"/>
          <w:b/>
          <w:color w:val="000000"/>
          <w:sz w:val="24"/>
          <w:szCs w:val="24"/>
        </w:rPr>
      </w:pPr>
      <w:r w:rsidRPr="00FC2E0C">
        <w:rPr>
          <w:rFonts w:eastAsiaTheme="minorEastAsia"/>
          <w:b/>
          <w:color w:val="000000"/>
          <w:sz w:val="24"/>
          <w:szCs w:val="24"/>
        </w:rPr>
        <w:t>标普港股通低波红利指数是</w:t>
      </w:r>
      <w:r w:rsidRPr="00FC2E0C">
        <w:rPr>
          <w:rFonts w:eastAsiaTheme="minorEastAsia"/>
          <w:b/>
          <w:color w:val="000000"/>
          <w:sz w:val="24"/>
          <w:szCs w:val="24"/>
        </w:rPr>
        <w:t xml:space="preserve"> S&amp;P Dow Jones Indices LLC </w:t>
      </w:r>
      <w:r w:rsidRPr="00FC2E0C">
        <w:rPr>
          <w:rFonts w:eastAsiaTheme="minorEastAsia"/>
          <w:b/>
          <w:color w:val="000000"/>
          <w:sz w:val="24"/>
          <w:szCs w:val="24"/>
        </w:rPr>
        <w:t>或其关联公司（</w:t>
      </w:r>
      <w:r w:rsidRPr="00FC2E0C">
        <w:rPr>
          <w:rFonts w:eastAsiaTheme="minorEastAsia"/>
          <w:b/>
          <w:color w:val="000000"/>
          <w:sz w:val="24"/>
          <w:szCs w:val="24"/>
        </w:rPr>
        <w:t>“SPDJI”</w:t>
      </w:r>
      <w:r w:rsidRPr="00FC2E0C">
        <w:rPr>
          <w:rFonts w:eastAsiaTheme="minorEastAsia"/>
          <w:b/>
          <w:color w:val="000000"/>
          <w:sz w:val="24"/>
          <w:szCs w:val="24"/>
        </w:rPr>
        <w:t>）的一款产品，且已授权予华夏基金管理有限公司使用。</w:t>
      </w:r>
      <w:r w:rsidRPr="00FC2E0C">
        <w:rPr>
          <w:rFonts w:eastAsiaTheme="minorEastAsia"/>
          <w:b/>
          <w:color w:val="000000"/>
          <w:sz w:val="24"/>
          <w:szCs w:val="24"/>
        </w:rPr>
        <w:t>S&amp;P®</w:t>
      </w:r>
      <w:r w:rsidRPr="00FC2E0C">
        <w:rPr>
          <w:rFonts w:eastAsiaTheme="minorEastAsia"/>
          <w:b/>
          <w:color w:val="000000"/>
          <w:sz w:val="24"/>
          <w:szCs w:val="24"/>
        </w:rPr>
        <w:t>、</w:t>
      </w:r>
      <w:r w:rsidRPr="00FC2E0C">
        <w:rPr>
          <w:rFonts w:eastAsiaTheme="minorEastAsia"/>
          <w:b/>
          <w:color w:val="000000"/>
          <w:sz w:val="24"/>
          <w:szCs w:val="24"/>
        </w:rPr>
        <w:t>S&amp;P 500®</w:t>
      </w:r>
      <w:r w:rsidRPr="00FC2E0C">
        <w:rPr>
          <w:rFonts w:eastAsiaTheme="minorEastAsia"/>
          <w:b/>
          <w:color w:val="000000"/>
          <w:sz w:val="24"/>
          <w:szCs w:val="24"/>
        </w:rPr>
        <w:t>、</w:t>
      </w:r>
      <w:r w:rsidRPr="00FC2E0C">
        <w:rPr>
          <w:rFonts w:eastAsiaTheme="minorEastAsia"/>
          <w:b/>
          <w:color w:val="000000"/>
          <w:sz w:val="24"/>
          <w:szCs w:val="24"/>
        </w:rPr>
        <w:t>SPX®</w:t>
      </w:r>
      <w:r w:rsidRPr="00FC2E0C">
        <w:rPr>
          <w:rFonts w:eastAsiaTheme="minorEastAsia"/>
          <w:b/>
          <w:color w:val="000000"/>
          <w:sz w:val="24"/>
          <w:szCs w:val="24"/>
        </w:rPr>
        <w:t>、</w:t>
      </w:r>
      <w:r w:rsidRPr="00FC2E0C">
        <w:rPr>
          <w:rFonts w:eastAsiaTheme="minorEastAsia"/>
          <w:b/>
          <w:color w:val="000000"/>
          <w:sz w:val="24"/>
          <w:szCs w:val="24"/>
        </w:rPr>
        <w:t>SPY®</w:t>
      </w:r>
      <w:r w:rsidRPr="00FC2E0C">
        <w:rPr>
          <w:rFonts w:eastAsiaTheme="minorEastAsia"/>
          <w:b/>
          <w:color w:val="000000"/>
          <w:sz w:val="24"/>
          <w:szCs w:val="24"/>
        </w:rPr>
        <w:t>、</w:t>
      </w:r>
      <w:r w:rsidRPr="00FC2E0C">
        <w:rPr>
          <w:rFonts w:eastAsiaTheme="minorEastAsia"/>
          <w:b/>
          <w:color w:val="000000"/>
          <w:sz w:val="24"/>
          <w:szCs w:val="24"/>
        </w:rPr>
        <w:t>US 500™</w:t>
      </w:r>
      <w:r w:rsidRPr="00FC2E0C">
        <w:rPr>
          <w:rFonts w:eastAsiaTheme="minorEastAsia"/>
          <w:b/>
          <w:color w:val="000000"/>
          <w:sz w:val="24"/>
          <w:szCs w:val="24"/>
        </w:rPr>
        <w:t>、</w:t>
      </w:r>
      <w:r w:rsidRPr="00FC2E0C">
        <w:rPr>
          <w:rFonts w:eastAsiaTheme="minorEastAsia"/>
          <w:b/>
          <w:color w:val="000000"/>
          <w:sz w:val="24"/>
          <w:szCs w:val="24"/>
        </w:rPr>
        <w:t>The 500™</w:t>
      </w:r>
      <w:r w:rsidRPr="00FC2E0C">
        <w:rPr>
          <w:rFonts w:eastAsiaTheme="minorEastAsia"/>
          <w:b/>
          <w:color w:val="000000"/>
          <w:sz w:val="24"/>
          <w:szCs w:val="24"/>
        </w:rPr>
        <w:t>、</w:t>
      </w:r>
      <w:r w:rsidRPr="00FC2E0C">
        <w:rPr>
          <w:rFonts w:eastAsiaTheme="minorEastAsia"/>
          <w:b/>
          <w:color w:val="000000"/>
          <w:sz w:val="24"/>
          <w:szCs w:val="24"/>
        </w:rPr>
        <w:t>iBoxx®</w:t>
      </w:r>
      <w:r w:rsidRPr="00FC2E0C">
        <w:rPr>
          <w:rFonts w:eastAsiaTheme="minorEastAsia"/>
          <w:b/>
          <w:color w:val="000000"/>
          <w:sz w:val="24"/>
          <w:szCs w:val="24"/>
        </w:rPr>
        <w:t>、</w:t>
      </w:r>
      <w:r w:rsidRPr="00FC2E0C">
        <w:rPr>
          <w:rFonts w:eastAsiaTheme="minorEastAsia"/>
          <w:b/>
          <w:color w:val="000000"/>
          <w:sz w:val="24"/>
          <w:szCs w:val="24"/>
        </w:rPr>
        <w:t xml:space="preserve">iTraxx® </w:t>
      </w:r>
      <w:r w:rsidRPr="00FC2E0C">
        <w:rPr>
          <w:rFonts w:eastAsiaTheme="minorEastAsia"/>
          <w:b/>
          <w:color w:val="000000"/>
          <w:sz w:val="24"/>
          <w:szCs w:val="24"/>
        </w:rPr>
        <w:t>和</w:t>
      </w:r>
      <w:r w:rsidRPr="00FC2E0C">
        <w:rPr>
          <w:rFonts w:eastAsiaTheme="minorEastAsia"/>
          <w:b/>
          <w:color w:val="000000"/>
          <w:sz w:val="24"/>
          <w:szCs w:val="24"/>
        </w:rPr>
        <w:t xml:space="preserve"> CDX® </w:t>
      </w:r>
      <w:r w:rsidRPr="00FC2E0C">
        <w:rPr>
          <w:rFonts w:eastAsiaTheme="minorEastAsia"/>
          <w:b/>
          <w:color w:val="000000"/>
          <w:sz w:val="24"/>
          <w:szCs w:val="24"/>
        </w:rPr>
        <w:t>是</w:t>
      </w:r>
      <w:r w:rsidRPr="00FC2E0C">
        <w:rPr>
          <w:rFonts w:eastAsiaTheme="minorEastAsia"/>
          <w:b/>
          <w:color w:val="000000"/>
          <w:sz w:val="24"/>
          <w:szCs w:val="24"/>
        </w:rPr>
        <w:t xml:space="preserve"> S&amp;P Global, Inc. </w:t>
      </w:r>
      <w:r w:rsidRPr="00FC2E0C">
        <w:rPr>
          <w:rFonts w:eastAsiaTheme="minorEastAsia"/>
          <w:b/>
          <w:color w:val="000000"/>
          <w:sz w:val="24"/>
          <w:szCs w:val="24"/>
        </w:rPr>
        <w:t>或其关联公司（</w:t>
      </w:r>
      <w:r w:rsidRPr="00FC2E0C">
        <w:rPr>
          <w:rFonts w:eastAsiaTheme="minorEastAsia"/>
          <w:b/>
          <w:color w:val="000000"/>
          <w:sz w:val="24"/>
          <w:szCs w:val="24"/>
        </w:rPr>
        <w:t>“S&amp;P”</w:t>
      </w:r>
      <w:r w:rsidRPr="00FC2E0C">
        <w:rPr>
          <w:rFonts w:eastAsiaTheme="minorEastAsia"/>
          <w:b/>
          <w:color w:val="000000"/>
          <w:sz w:val="24"/>
          <w:szCs w:val="24"/>
        </w:rPr>
        <w:t>）的商标；</w:t>
      </w:r>
      <w:r w:rsidRPr="00FC2E0C">
        <w:rPr>
          <w:rFonts w:eastAsiaTheme="minorEastAsia"/>
          <w:b/>
          <w:color w:val="000000"/>
          <w:sz w:val="24"/>
          <w:szCs w:val="24"/>
        </w:rPr>
        <w:t xml:space="preserve">Dow Jones® </w:t>
      </w:r>
      <w:r w:rsidRPr="00FC2E0C">
        <w:rPr>
          <w:rFonts w:eastAsiaTheme="minorEastAsia"/>
          <w:b/>
          <w:color w:val="000000"/>
          <w:sz w:val="24"/>
          <w:szCs w:val="24"/>
        </w:rPr>
        <w:t>是</w:t>
      </w:r>
      <w:r w:rsidRPr="00FC2E0C">
        <w:rPr>
          <w:rFonts w:eastAsiaTheme="minorEastAsia"/>
          <w:b/>
          <w:color w:val="000000"/>
          <w:sz w:val="24"/>
          <w:szCs w:val="24"/>
        </w:rPr>
        <w:t xml:space="preserve"> Dow Jones Trademark Holdings LLC</w:t>
      </w:r>
      <w:r w:rsidRPr="00FC2E0C">
        <w:rPr>
          <w:rFonts w:eastAsiaTheme="minorEastAsia"/>
          <w:b/>
          <w:color w:val="000000"/>
          <w:sz w:val="24"/>
          <w:szCs w:val="24"/>
        </w:rPr>
        <w:t>（</w:t>
      </w:r>
      <w:r w:rsidRPr="00FC2E0C">
        <w:rPr>
          <w:rFonts w:eastAsiaTheme="minorEastAsia"/>
          <w:b/>
          <w:color w:val="000000"/>
          <w:sz w:val="24"/>
          <w:szCs w:val="24"/>
        </w:rPr>
        <w:t>“Dow Jones”</w:t>
      </w:r>
      <w:r w:rsidRPr="00FC2E0C">
        <w:rPr>
          <w:rFonts w:eastAsiaTheme="minorEastAsia"/>
          <w:b/>
          <w:color w:val="000000"/>
          <w:sz w:val="24"/>
          <w:szCs w:val="24"/>
        </w:rPr>
        <w:t>）的注册商标；这些商标已由</w:t>
      </w:r>
      <w:r w:rsidRPr="00FC2E0C">
        <w:rPr>
          <w:rFonts w:eastAsiaTheme="minorEastAsia"/>
          <w:b/>
          <w:color w:val="000000"/>
          <w:sz w:val="24"/>
          <w:szCs w:val="24"/>
        </w:rPr>
        <w:t xml:space="preserve"> SPDJI </w:t>
      </w:r>
      <w:r w:rsidRPr="00FC2E0C">
        <w:rPr>
          <w:rFonts w:eastAsiaTheme="minorEastAsia"/>
          <w:b/>
          <w:color w:val="000000"/>
          <w:sz w:val="24"/>
          <w:szCs w:val="24"/>
        </w:rPr>
        <w:t>获授权使用并已从属授权予华夏基金管理有限公司用于特定用途。</w:t>
      </w:r>
      <w:r w:rsidRPr="00FC2E0C">
        <w:rPr>
          <w:rFonts w:eastAsiaTheme="minorEastAsia"/>
          <w:b/>
          <w:color w:val="000000"/>
          <w:sz w:val="24"/>
          <w:szCs w:val="24"/>
        </w:rPr>
        <w:t>SPDJI</w:t>
      </w:r>
      <w:r w:rsidRPr="00FC2E0C">
        <w:rPr>
          <w:rFonts w:eastAsiaTheme="minorEastAsia"/>
          <w:b/>
          <w:color w:val="000000"/>
          <w:sz w:val="24"/>
          <w:szCs w:val="24"/>
        </w:rPr>
        <w:t>、</w:t>
      </w:r>
      <w:r w:rsidRPr="00FC2E0C">
        <w:rPr>
          <w:rFonts w:eastAsiaTheme="minorEastAsia"/>
          <w:b/>
          <w:color w:val="000000"/>
          <w:sz w:val="24"/>
          <w:szCs w:val="24"/>
        </w:rPr>
        <w:t>Dow Jones</w:t>
      </w:r>
      <w:r w:rsidRPr="00FC2E0C">
        <w:rPr>
          <w:rFonts w:eastAsiaTheme="minorEastAsia"/>
          <w:b/>
          <w:color w:val="000000"/>
          <w:sz w:val="24"/>
          <w:szCs w:val="24"/>
        </w:rPr>
        <w:t>、</w:t>
      </w:r>
      <w:r w:rsidRPr="00FC2E0C">
        <w:rPr>
          <w:rFonts w:eastAsiaTheme="minorEastAsia"/>
          <w:b/>
          <w:color w:val="000000"/>
          <w:sz w:val="24"/>
          <w:szCs w:val="24"/>
        </w:rPr>
        <w:t xml:space="preserve">S&amp;P </w:t>
      </w:r>
      <w:r w:rsidRPr="00FC2E0C">
        <w:rPr>
          <w:rFonts w:eastAsiaTheme="minorEastAsia"/>
          <w:b/>
          <w:color w:val="000000"/>
          <w:sz w:val="24"/>
          <w:szCs w:val="24"/>
        </w:rPr>
        <w:t>及其各自的关联公司均不保荐或销售本基金，而且他们中的任何一方既不对投资有关产品的合理性做出任何声明，也不就标普港股通低波红利指数的任何错误、遗漏或中断承担任何法律责任。</w:t>
      </w:r>
    </w:p>
    <w:p w:rsidR="000E1A55" w:rsidRPr="00FC2E0C" w:rsidRDefault="00FC2E0C">
      <w:pPr>
        <w:spacing w:line="360" w:lineRule="auto"/>
        <w:ind w:firstLineChars="200" w:firstLine="482"/>
        <w:rPr>
          <w:rFonts w:eastAsiaTheme="minorEastAsia"/>
          <w:b/>
          <w:color w:val="000000"/>
          <w:sz w:val="24"/>
          <w:szCs w:val="24"/>
        </w:rPr>
      </w:pPr>
      <w:r w:rsidRPr="00FC2E0C">
        <w:rPr>
          <w:rFonts w:eastAsiaTheme="minorEastAsia"/>
          <w:b/>
          <w:color w:val="000000"/>
          <w:sz w:val="24"/>
          <w:szCs w:val="24"/>
        </w:rPr>
        <w:t>本基金为交易型开放式指数证券投资基金（</w:t>
      </w:r>
      <w:r w:rsidRPr="00FC2E0C">
        <w:rPr>
          <w:rFonts w:eastAsiaTheme="minorEastAsia"/>
          <w:b/>
          <w:color w:val="000000"/>
          <w:sz w:val="24"/>
          <w:szCs w:val="24"/>
        </w:rPr>
        <w:t>ETF</w:t>
      </w:r>
      <w:r w:rsidRPr="00FC2E0C">
        <w:rPr>
          <w:rFonts w:eastAsiaTheme="minorEastAsia"/>
          <w:b/>
          <w:color w:val="000000"/>
          <w:sz w:val="24"/>
          <w:szCs w:val="24"/>
        </w:rPr>
        <w:t>），在深圳证券交易所上市。由于本基金的标的指数组合证券为香港交易所证券，基金份额的清算交收与境内普通</w:t>
      </w:r>
      <w:r w:rsidRPr="00FC2E0C">
        <w:rPr>
          <w:rFonts w:eastAsiaTheme="minorEastAsia"/>
          <w:b/>
          <w:color w:val="000000"/>
          <w:sz w:val="24"/>
          <w:szCs w:val="24"/>
        </w:rPr>
        <w:t>ETF</w:t>
      </w:r>
      <w:r w:rsidRPr="00FC2E0C">
        <w:rPr>
          <w:rFonts w:eastAsiaTheme="minorEastAsia"/>
          <w:b/>
          <w:color w:val="000000"/>
          <w:sz w:val="24"/>
          <w:szCs w:val="24"/>
        </w:rPr>
        <w:t>存在一定差异。通常情况下，</w:t>
      </w:r>
      <w:r w:rsidRPr="00FC2E0C">
        <w:rPr>
          <w:rFonts w:eastAsiaTheme="minorEastAsia"/>
          <w:b/>
          <w:color w:val="000000"/>
          <w:sz w:val="24"/>
          <w:szCs w:val="24"/>
        </w:rPr>
        <w:t>T</w:t>
      </w:r>
      <w:r w:rsidRPr="00FC2E0C">
        <w:rPr>
          <w:rFonts w:eastAsiaTheme="minorEastAsia"/>
          <w:b/>
          <w:color w:val="000000"/>
          <w:sz w:val="24"/>
          <w:szCs w:val="24"/>
        </w:rPr>
        <w:t>日申购的基金份额在交收完成后可以卖出或赎回。投资者认购本基金时需具有深圳证券账户，但需注意，使用基金账户只能参与本基金的现金认购和二级市场交易，如投资者需要参与基金的申购、赎回，则应使用</w:t>
      </w:r>
      <w:r w:rsidRPr="00FC2E0C">
        <w:rPr>
          <w:rFonts w:eastAsiaTheme="minorEastAsia"/>
          <w:b/>
          <w:color w:val="000000"/>
          <w:sz w:val="24"/>
          <w:szCs w:val="24"/>
        </w:rPr>
        <w:t>A</w:t>
      </w:r>
      <w:r w:rsidRPr="00FC2E0C">
        <w:rPr>
          <w:rFonts w:eastAsiaTheme="minorEastAsia"/>
          <w:b/>
          <w:color w:val="000000"/>
          <w:sz w:val="24"/>
          <w:szCs w:val="24"/>
        </w:rPr>
        <w:t>股账户。本基金以人民币募集和计价，本基金可投资于香港市场以港币计价的金融工具，人民币对港币的汇率的波动可能加大基金净值的波动，从而对基金业绩产生一定影响。</w:t>
      </w:r>
    </w:p>
    <w:p w:rsidR="000E1A55" w:rsidRPr="00FC2E0C" w:rsidRDefault="00FC2E0C">
      <w:pPr>
        <w:spacing w:line="360" w:lineRule="auto"/>
        <w:ind w:firstLineChars="200" w:firstLine="482"/>
        <w:rPr>
          <w:rFonts w:eastAsiaTheme="minorEastAsia"/>
          <w:b/>
          <w:color w:val="000000"/>
          <w:sz w:val="24"/>
          <w:szCs w:val="24"/>
        </w:rPr>
      </w:pPr>
      <w:r w:rsidRPr="00FC2E0C">
        <w:rPr>
          <w:rFonts w:eastAsiaTheme="minorEastAsia"/>
          <w:b/>
          <w:color w:val="000000"/>
          <w:sz w:val="24"/>
          <w:szCs w:val="24"/>
        </w:rPr>
        <w:t>本基金可投资存托凭证，基金净值可能受到存托凭证的境外基础证券价格波动影响，存托凭证的境外基础证券的相关风险可能直接或间接成为本基金的风险。</w:t>
      </w:r>
    </w:p>
    <w:p w:rsidR="000E1A55" w:rsidRPr="00FC2E0C" w:rsidRDefault="00FC2E0C">
      <w:pPr>
        <w:spacing w:line="360" w:lineRule="auto"/>
        <w:ind w:firstLineChars="200" w:firstLine="482"/>
        <w:rPr>
          <w:rFonts w:eastAsiaTheme="minorEastAsia"/>
          <w:b/>
          <w:color w:val="000000"/>
          <w:sz w:val="24"/>
          <w:szCs w:val="24"/>
        </w:rPr>
      </w:pPr>
      <w:r w:rsidRPr="00FC2E0C">
        <w:rPr>
          <w:rFonts w:eastAsiaTheme="minorEastAsia"/>
          <w:b/>
          <w:color w:val="000000"/>
          <w:sz w:val="24"/>
          <w:szCs w:val="24"/>
        </w:rPr>
        <w:t>本基金可投资于股票期权、股指期货、国债期货等金融衍生品，可能面临的风险包括市场风险、流动性风险、基差风险、保证金风险、信用风险、操作风险等。本基金可投资于资产支持证券，可能面临的风险包括信用风险、利率风险、流动性风险、提前偿付风险、操作风险和法律风险等。本基金可参与转融通证券出借业务，面临的风险包括但不限于流动性风险、信用风险、市场风险、操作风险等。</w:t>
      </w:r>
    </w:p>
    <w:p w:rsidR="000E1A55" w:rsidRPr="00FC2E0C" w:rsidRDefault="00FC2E0C">
      <w:pPr>
        <w:spacing w:line="360" w:lineRule="auto"/>
        <w:ind w:firstLineChars="200" w:firstLine="482"/>
        <w:rPr>
          <w:rFonts w:eastAsiaTheme="minorEastAsia"/>
          <w:b/>
          <w:color w:val="000000"/>
          <w:sz w:val="24"/>
          <w:szCs w:val="24"/>
        </w:rPr>
      </w:pPr>
      <w:r w:rsidRPr="00FC2E0C">
        <w:rPr>
          <w:rFonts w:eastAsiaTheme="minorEastAsia"/>
          <w:b/>
          <w:color w:val="000000"/>
          <w:sz w:val="24"/>
          <w:szCs w:val="24"/>
        </w:rPr>
        <w:t>基金管理人依照恪尽职守、诚实信用、谨慎勤勉的原则管理和运用基金财产，但不保证基金一定盈利，也不保证最低收益。基金管理人提醒投资者基金投资的</w:t>
      </w:r>
      <w:r w:rsidRPr="00FC2E0C">
        <w:rPr>
          <w:rFonts w:eastAsiaTheme="minorEastAsia"/>
          <w:b/>
          <w:color w:val="000000"/>
          <w:sz w:val="24"/>
          <w:szCs w:val="24"/>
        </w:rPr>
        <w:t>“</w:t>
      </w:r>
      <w:r w:rsidRPr="00FC2E0C">
        <w:rPr>
          <w:rFonts w:eastAsiaTheme="minorEastAsia"/>
          <w:b/>
          <w:color w:val="000000"/>
          <w:sz w:val="24"/>
          <w:szCs w:val="24"/>
        </w:rPr>
        <w:t>买者自负</w:t>
      </w:r>
      <w:r w:rsidRPr="00FC2E0C">
        <w:rPr>
          <w:rFonts w:eastAsiaTheme="minorEastAsia"/>
          <w:b/>
          <w:color w:val="000000"/>
          <w:sz w:val="24"/>
          <w:szCs w:val="24"/>
        </w:rPr>
        <w:t>”</w:t>
      </w:r>
      <w:r w:rsidRPr="00FC2E0C">
        <w:rPr>
          <w:rFonts w:eastAsiaTheme="minorEastAsia"/>
          <w:b/>
          <w:color w:val="000000"/>
          <w:sz w:val="24"/>
          <w:szCs w:val="24"/>
        </w:rPr>
        <w:t>原则，在做出投资决策后，基金运营状况与基金净值变化引致的投资风险，由投资者自行负担。投资有风险，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0E1A55" w:rsidRDefault="00FC2E0C">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0E1A55" w:rsidRDefault="00FC2E0C" w:rsidP="00FC2E0C">
      <w:pPr>
        <w:spacing w:line="360" w:lineRule="auto"/>
        <w:ind w:firstLineChars="200" w:firstLine="480"/>
        <w:jc w:val="right"/>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E33B5B" w:rsidRPr="0044492E" w:rsidRDefault="00E33B5B" w:rsidP="00FC2E0C">
      <w:pPr>
        <w:spacing w:line="360" w:lineRule="auto"/>
        <w:ind w:firstLineChars="200" w:firstLine="480"/>
        <w:jc w:val="right"/>
        <w:rPr>
          <w:rFonts w:eastAsiaTheme="minorEastAsia"/>
          <w:color w:val="000000"/>
          <w:sz w:val="24"/>
          <w:szCs w:val="24"/>
        </w:rPr>
      </w:pPr>
      <w:r w:rsidRPr="0044492E">
        <w:rPr>
          <w:rFonts w:eastAsiaTheme="minorEastAsia"/>
          <w:color w:val="000000"/>
          <w:sz w:val="24"/>
          <w:szCs w:val="24"/>
        </w:rPr>
        <w:t xml:space="preserve">                                         </w:t>
      </w:r>
      <w:r w:rsidRPr="0044492E">
        <w:rPr>
          <w:rFonts w:eastAsiaTheme="minorEastAsia"/>
          <w:color w:val="000000"/>
          <w:sz w:val="24"/>
          <w:szCs w:val="24"/>
        </w:rPr>
        <w:t>二〇二五年十一月二十四日</w:t>
      </w:r>
    </w:p>
    <w:sectPr w:rsidR="00E33B5B" w:rsidRPr="0044492E" w:rsidSect="000119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DF4" w:rsidRDefault="003F7DF4" w:rsidP="00767457">
      <w:r>
        <w:separator/>
      </w:r>
    </w:p>
  </w:endnote>
  <w:endnote w:type="continuationSeparator" w:id="0">
    <w:p w:rsidR="003F7DF4" w:rsidRDefault="003F7DF4" w:rsidP="007674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DF4" w:rsidRDefault="003F7DF4" w:rsidP="00767457">
      <w:r>
        <w:separator/>
      </w:r>
    </w:p>
  </w:footnote>
  <w:footnote w:type="continuationSeparator" w:id="0">
    <w:p w:rsidR="003F7DF4" w:rsidRDefault="003F7DF4" w:rsidP="00767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2989"/>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119CF"/>
    <w:rsid w:val="00011C60"/>
    <w:rsid w:val="00030A9E"/>
    <w:rsid w:val="0003363B"/>
    <w:rsid w:val="00041353"/>
    <w:rsid w:val="00056F4E"/>
    <w:rsid w:val="00064B20"/>
    <w:rsid w:val="00064DE4"/>
    <w:rsid w:val="000B693A"/>
    <w:rsid w:val="000C7A3F"/>
    <w:rsid w:val="000E1A55"/>
    <w:rsid w:val="000E67A4"/>
    <w:rsid w:val="000F2BA6"/>
    <w:rsid w:val="000F52CF"/>
    <w:rsid w:val="00102D8E"/>
    <w:rsid w:val="00106336"/>
    <w:rsid w:val="00122706"/>
    <w:rsid w:val="0019121A"/>
    <w:rsid w:val="001A4FEC"/>
    <w:rsid w:val="001D24D4"/>
    <w:rsid w:val="0020428E"/>
    <w:rsid w:val="00205AF1"/>
    <w:rsid w:val="00215C39"/>
    <w:rsid w:val="00224357"/>
    <w:rsid w:val="00225ED7"/>
    <w:rsid w:val="002311B5"/>
    <w:rsid w:val="002509E8"/>
    <w:rsid w:val="002520E1"/>
    <w:rsid w:val="00267A58"/>
    <w:rsid w:val="00280BCE"/>
    <w:rsid w:val="00281296"/>
    <w:rsid w:val="002931D3"/>
    <w:rsid w:val="0029521B"/>
    <w:rsid w:val="002B68A2"/>
    <w:rsid w:val="002B6AB6"/>
    <w:rsid w:val="002D087B"/>
    <w:rsid w:val="002D2AEA"/>
    <w:rsid w:val="002D4E4E"/>
    <w:rsid w:val="002D7E1D"/>
    <w:rsid w:val="002E6C9F"/>
    <w:rsid w:val="002F6CCA"/>
    <w:rsid w:val="002F7EF1"/>
    <w:rsid w:val="00311B6C"/>
    <w:rsid w:val="00332C3A"/>
    <w:rsid w:val="00337CA2"/>
    <w:rsid w:val="00337F2E"/>
    <w:rsid w:val="00343FE8"/>
    <w:rsid w:val="00345063"/>
    <w:rsid w:val="00347C5C"/>
    <w:rsid w:val="00376C12"/>
    <w:rsid w:val="003902C4"/>
    <w:rsid w:val="00390F08"/>
    <w:rsid w:val="00391557"/>
    <w:rsid w:val="0039170D"/>
    <w:rsid w:val="003B1709"/>
    <w:rsid w:val="003B40E9"/>
    <w:rsid w:val="003D462B"/>
    <w:rsid w:val="003D472F"/>
    <w:rsid w:val="003F7DF4"/>
    <w:rsid w:val="0040185F"/>
    <w:rsid w:val="00405146"/>
    <w:rsid w:val="00412DE1"/>
    <w:rsid w:val="00415A69"/>
    <w:rsid w:val="0042524C"/>
    <w:rsid w:val="0044492E"/>
    <w:rsid w:val="00454BF4"/>
    <w:rsid w:val="00455F38"/>
    <w:rsid w:val="004602BA"/>
    <w:rsid w:val="00462584"/>
    <w:rsid w:val="004662BA"/>
    <w:rsid w:val="00481ED2"/>
    <w:rsid w:val="00483CD1"/>
    <w:rsid w:val="004857D6"/>
    <w:rsid w:val="004966BA"/>
    <w:rsid w:val="004A02EE"/>
    <w:rsid w:val="004A66CD"/>
    <w:rsid w:val="004C7922"/>
    <w:rsid w:val="004D290A"/>
    <w:rsid w:val="004E2F24"/>
    <w:rsid w:val="00502F30"/>
    <w:rsid w:val="00503577"/>
    <w:rsid w:val="00506C93"/>
    <w:rsid w:val="00537E6B"/>
    <w:rsid w:val="0054597D"/>
    <w:rsid w:val="00565DED"/>
    <w:rsid w:val="005833A7"/>
    <w:rsid w:val="00591340"/>
    <w:rsid w:val="00592D79"/>
    <w:rsid w:val="0059628C"/>
    <w:rsid w:val="005A407F"/>
    <w:rsid w:val="005B4979"/>
    <w:rsid w:val="005C12FC"/>
    <w:rsid w:val="005C18B2"/>
    <w:rsid w:val="005C7221"/>
    <w:rsid w:val="005E05B6"/>
    <w:rsid w:val="005E0D59"/>
    <w:rsid w:val="005E21DB"/>
    <w:rsid w:val="005E3BAF"/>
    <w:rsid w:val="005E7139"/>
    <w:rsid w:val="005F5C22"/>
    <w:rsid w:val="00622A72"/>
    <w:rsid w:val="00625910"/>
    <w:rsid w:val="006269B7"/>
    <w:rsid w:val="006279F3"/>
    <w:rsid w:val="0063576C"/>
    <w:rsid w:val="00644A9F"/>
    <w:rsid w:val="00674C14"/>
    <w:rsid w:val="00697490"/>
    <w:rsid w:val="006B6F63"/>
    <w:rsid w:val="006F2E2E"/>
    <w:rsid w:val="00730DEB"/>
    <w:rsid w:val="00732CB4"/>
    <w:rsid w:val="00735052"/>
    <w:rsid w:val="0074415C"/>
    <w:rsid w:val="00752A9C"/>
    <w:rsid w:val="00767457"/>
    <w:rsid w:val="007759B5"/>
    <w:rsid w:val="007A22D8"/>
    <w:rsid w:val="007D0009"/>
    <w:rsid w:val="007D10CA"/>
    <w:rsid w:val="007D14F5"/>
    <w:rsid w:val="007D1ADB"/>
    <w:rsid w:val="007D1E74"/>
    <w:rsid w:val="007D6D68"/>
    <w:rsid w:val="007E57DD"/>
    <w:rsid w:val="008170E2"/>
    <w:rsid w:val="0082483B"/>
    <w:rsid w:val="00830462"/>
    <w:rsid w:val="008321A3"/>
    <w:rsid w:val="00833E37"/>
    <w:rsid w:val="00841CDE"/>
    <w:rsid w:val="008527F7"/>
    <w:rsid w:val="00860199"/>
    <w:rsid w:val="00877CE9"/>
    <w:rsid w:val="0088405F"/>
    <w:rsid w:val="00885086"/>
    <w:rsid w:val="00895CA3"/>
    <w:rsid w:val="008A3A09"/>
    <w:rsid w:val="008A607D"/>
    <w:rsid w:val="008E1998"/>
    <w:rsid w:val="008E273C"/>
    <w:rsid w:val="008E5488"/>
    <w:rsid w:val="008F1178"/>
    <w:rsid w:val="008F6669"/>
    <w:rsid w:val="00905F7A"/>
    <w:rsid w:val="0091442F"/>
    <w:rsid w:val="00923E00"/>
    <w:rsid w:val="00946D58"/>
    <w:rsid w:val="00947087"/>
    <w:rsid w:val="00956B0F"/>
    <w:rsid w:val="00974C1B"/>
    <w:rsid w:val="00994773"/>
    <w:rsid w:val="009D16FC"/>
    <w:rsid w:val="009D7194"/>
    <w:rsid w:val="009F07FA"/>
    <w:rsid w:val="00A13742"/>
    <w:rsid w:val="00A37A79"/>
    <w:rsid w:val="00A53324"/>
    <w:rsid w:val="00A55A14"/>
    <w:rsid w:val="00A61E3F"/>
    <w:rsid w:val="00A62667"/>
    <w:rsid w:val="00A62BEE"/>
    <w:rsid w:val="00A92470"/>
    <w:rsid w:val="00A974C2"/>
    <w:rsid w:val="00AA2FDD"/>
    <w:rsid w:val="00AB3725"/>
    <w:rsid w:val="00AC6E8D"/>
    <w:rsid w:val="00AD3379"/>
    <w:rsid w:val="00AD513A"/>
    <w:rsid w:val="00B0640C"/>
    <w:rsid w:val="00B26130"/>
    <w:rsid w:val="00B3024E"/>
    <w:rsid w:val="00B4411A"/>
    <w:rsid w:val="00B546D4"/>
    <w:rsid w:val="00B65CCC"/>
    <w:rsid w:val="00B65CCD"/>
    <w:rsid w:val="00B7017B"/>
    <w:rsid w:val="00B7144D"/>
    <w:rsid w:val="00B90CAE"/>
    <w:rsid w:val="00B91E8A"/>
    <w:rsid w:val="00B94893"/>
    <w:rsid w:val="00B955E4"/>
    <w:rsid w:val="00BB57F7"/>
    <w:rsid w:val="00BC76B3"/>
    <w:rsid w:val="00BD172F"/>
    <w:rsid w:val="00C11C49"/>
    <w:rsid w:val="00C309F2"/>
    <w:rsid w:val="00C567DB"/>
    <w:rsid w:val="00C733C1"/>
    <w:rsid w:val="00CA0198"/>
    <w:rsid w:val="00CA0818"/>
    <w:rsid w:val="00CB7B0B"/>
    <w:rsid w:val="00CF56E7"/>
    <w:rsid w:val="00D00FAF"/>
    <w:rsid w:val="00D13D8F"/>
    <w:rsid w:val="00D31C00"/>
    <w:rsid w:val="00D33A12"/>
    <w:rsid w:val="00D65C9B"/>
    <w:rsid w:val="00D76587"/>
    <w:rsid w:val="00D8748F"/>
    <w:rsid w:val="00DA79B5"/>
    <w:rsid w:val="00DB2F1A"/>
    <w:rsid w:val="00DC40AB"/>
    <w:rsid w:val="00DC6552"/>
    <w:rsid w:val="00DD2F54"/>
    <w:rsid w:val="00DD777B"/>
    <w:rsid w:val="00DF78E1"/>
    <w:rsid w:val="00DF7EF4"/>
    <w:rsid w:val="00E0078B"/>
    <w:rsid w:val="00E038BD"/>
    <w:rsid w:val="00E171B9"/>
    <w:rsid w:val="00E2261F"/>
    <w:rsid w:val="00E33177"/>
    <w:rsid w:val="00E33B5B"/>
    <w:rsid w:val="00E45D0E"/>
    <w:rsid w:val="00E5596E"/>
    <w:rsid w:val="00E57E24"/>
    <w:rsid w:val="00E6731A"/>
    <w:rsid w:val="00E71FD7"/>
    <w:rsid w:val="00E7249D"/>
    <w:rsid w:val="00E77012"/>
    <w:rsid w:val="00E961BB"/>
    <w:rsid w:val="00EA4281"/>
    <w:rsid w:val="00EA6D5A"/>
    <w:rsid w:val="00EA7949"/>
    <w:rsid w:val="00EB0C3F"/>
    <w:rsid w:val="00EB4549"/>
    <w:rsid w:val="00EB6BEA"/>
    <w:rsid w:val="00EC031E"/>
    <w:rsid w:val="00EE4694"/>
    <w:rsid w:val="00EE5969"/>
    <w:rsid w:val="00EF147F"/>
    <w:rsid w:val="00F07E8A"/>
    <w:rsid w:val="00F22FEA"/>
    <w:rsid w:val="00F35F54"/>
    <w:rsid w:val="00F406A3"/>
    <w:rsid w:val="00F41149"/>
    <w:rsid w:val="00F63C8F"/>
    <w:rsid w:val="00F92D72"/>
    <w:rsid w:val="00F946F1"/>
    <w:rsid w:val="00FB14E7"/>
    <w:rsid w:val="00FB565D"/>
    <w:rsid w:val="00FC2E0C"/>
    <w:rsid w:val="00FC3720"/>
    <w:rsid w:val="00FE1D58"/>
    <w:rsid w:val="00FF7AA4"/>
    <w:rsid w:val="020B32D3"/>
    <w:rsid w:val="0290368B"/>
    <w:rsid w:val="06C13E13"/>
    <w:rsid w:val="0F7D0497"/>
    <w:rsid w:val="16280765"/>
    <w:rsid w:val="16623DE3"/>
    <w:rsid w:val="183D7596"/>
    <w:rsid w:val="18B233E3"/>
    <w:rsid w:val="22F6190C"/>
    <w:rsid w:val="2E1B1DCB"/>
    <w:rsid w:val="3349318E"/>
    <w:rsid w:val="374A2B6B"/>
    <w:rsid w:val="37C34938"/>
    <w:rsid w:val="38DF12E9"/>
    <w:rsid w:val="43364B1F"/>
    <w:rsid w:val="485E6B52"/>
    <w:rsid w:val="596E669C"/>
    <w:rsid w:val="5B27760A"/>
    <w:rsid w:val="67E91ECC"/>
    <w:rsid w:val="6CB237F2"/>
    <w:rsid w:val="6D4B0F0C"/>
    <w:rsid w:val="6EA86397"/>
    <w:rsid w:val="70DF745F"/>
    <w:rsid w:val="722D5E20"/>
    <w:rsid w:val="742046C8"/>
    <w:rsid w:val="7D2A45E4"/>
    <w:rsid w:val="7D4D20DF"/>
    <w:rsid w:val="7DC15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CF"/>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D31C00"/>
    <w:pPr>
      <w:keepNext/>
      <w:keepLines/>
      <w:spacing w:line="360" w:lineRule="auto"/>
      <w:outlineLvl w:val="1"/>
    </w:pPr>
    <w:rPr>
      <w:rFonts w:asciiTheme="majorEastAsia" w:eastAsiaTheme="majorEastAsia" w:hAnsiTheme="majorEastAsia"/>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119CF"/>
    <w:rPr>
      <w:sz w:val="18"/>
      <w:szCs w:val="18"/>
    </w:rPr>
  </w:style>
  <w:style w:type="paragraph" w:styleId="a4">
    <w:name w:val="footer"/>
    <w:basedOn w:val="a"/>
    <w:link w:val="Char0"/>
    <w:uiPriority w:val="99"/>
    <w:unhideWhenUsed/>
    <w:qFormat/>
    <w:rsid w:val="000119C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119CF"/>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0119CF"/>
    <w:pPr>
      <w:snapToGrid w:val="0"/>
      <w:jc w:val="left"/>
    </w:pPr>
    <w:rPr>
      <w:rFonts w:eastAsia="宋体"/>
      <w:sz w:val="18"/>
    </w:rPr>
  </w:style>
  <w:style w:type="character" w:styleId="a7">
    <w:name w:val="footnote reference"/>
    <w:basedOn w:val="a0"/>
    <w:qFormat/>
    <w:rsid w:val="000119CF"/>
    <w:rPr>
      <w:vertAlign w:val="superscript"/>
    </w:rPr>
  </w:style>
  <w:style w:type="character" w:customStyle="1" w:styleId="2Char">
    <w:name w:val="标题 2 Char"/>
    <w:basedOn w:val="a0"/>
    <w:link w:val="2"/>
    <w:qFormat/>
    <w:rsid w:val="00D31C00"/>
    <w:rPr>
      <w:rFonts w:asciiTheme="majorEastAsia" w:eastAsiaTheme="majorEastAsia" w:hAnsiTheme="majorEastAsia" w:cs="Times New Roman"/>
      <w:b/>
      <w:color w:val="000000"/>
      <w:kern w:val="2"/>
      <w:sz w:val="24"/>
      <w:szCs w:val="24"/>
    </w:rPr>
  </w:style>
  <w:style w:type="character" w:customStyle="1" w:styleId="Char2">
    <w:name w:val="脚注文本 Char"/>
    <w:basedOn w:val="a0"/>
    <w:link w:val="a6"/>
    <w:qFormat/>
    <w:rsid w:val="000119CF"/>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0119CF"/>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0119CF"/>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0119CF"/>
    <w:rPr>
      <w:rFonts w:ascii="Times New Roman" w:eastAsia="方正仿宋简体" w:hAnsi="Times New Roman" w:cs="Times New Roman"/>
      <w:sz w:val="18"/>
      <w:szCs w:val="18"/>
    </w:rPr>
  </w:style>
  <w:style w:type="table" w:styleId="a8">
    <w:name w:val="Table Grid"/>
    <w:basedOn w:val="a1"/>
    <w:uiPriority w:val="59"/>
    <w:rsid w:val="00BB5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5E05B6"/>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w:divs>
    <w:div w:id="74405996">
      <w:bodyDiv w:val="1"/>
      <w:marLeft w:val="0"/>
      <w:marRight w:val="0"/>
      <w:marTop w:val="0"/>
      <w:marBottom w:val="0"/>
      <w:divBdr>
        <w:top w:val="none" w:sz="0" w:space="0" w:color="auto"/>
        <w:left w:val="none" w:sz="0" w:space="0" w:color="auto"/>
        <w:bottom w:val="none" w:sz="0" w:space="0" w:color="auto"/>
        <w:right w:val="none" w:sz="0" w:space="0" w:color="auto"/>
      </w:divBdr>
    </w:div>
    <w:div w:id="46840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5075</Characters>
  <Application>Microsoft Office Word</Application>
  <DocSecurity>4</DocSecurity>
  <Lines>42</Lines>
  <Paragraphs>11</Paragraphs>
  <ScaleCrop>false</ScaleCrop>
  <Company>微软中国</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2025-11-23T16:02:00Z</dcterms:created>
  <dcterms:modified xsi:type="dcterms:W3CDTF">2025-11-23T16:02:00Z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623A3C871F0347138B81D72C31D8B6C6</vt:lpwstr>
  </property>
</Properties>
</file>