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04BBD" w:rsidRDefault="002E3E01">
      <w:pPr>
        <w:adjustRightInd w:val="0"/>
        <w:spacing w:line="360" w:lineRule="auto"/>
        <w:jc w:val="center"/>
        <w:rPr>
          <w:rFonts w:ascii="Times New Roman" w:hAnsi="Times New Roman" w:cs="Times New Roman"/>
          <w:b/>
          <w:bCs/>
          <w:sz w:val="30"/>
          <w:szCs w:val="30"/>
        </w:rPr>
      </w:pPr>
      <w:r>
        <w:rPr>
          <w:rFonts w:ascii="Times New Roman" w:hAnsi="Times New Roman" w:cs="Times New Roman" w:hint="eastAsia"/>
          <w:b/>
          <w:sz w:val="30"/>
          <w:szCs w:val="30"/>
        </w:rPr>
        <w:t>鹏华基金管理有限公司</w:t>
      </w:r>
      <w:r>
        <w:rPr>
          <w:rFonts w:ascii="Times New Roman" w:hAnsi="Times New Roman" w:cs="Times New Roman" w:hint="eastAsia"/>
          <w:b/>
          <w:bCs/>
          <w:sz w:val="30"/>
          <w:szCs w:val="30"/>
        </w:rPr>
        <w:t>关于旗下上交所</w:t>
      </w:r>
      <w:r>
        <w:rPr>
          <w:rFonts w:ascii="Times New Roman" w:hAnsi="Times New Roman" w:cs="Times New Roman"/>
          <w:b/>
          <w:bCs/>
          <w:sz w:val="30"/>
          <w:szCs w:val="30"/>
        </w:rPr>
        <w:t xml:space="preserve">ETF </w:t>
      </w:r>
      <w:r>
        <w:rPr>
          <w:rFonts w:ascii="Times New Roman" w:hAnsi="Times New Roman" w:cs="Times New Roman" w:hint="eastAsia"/>
          <w:b/>
          <w:bCs/>
          <w:sz w:val="30"/>
          <w:szCs w:val="30"/>
        </w:rPr>
        <w:t>申购赎回清单</w:t>
      </w:r>
    </w:p>
    <w:p w:rsidR="00104BBD" w:rsidRDefault="002E3E01">
      <w:pPr>
        <w:adjustRightInd w:val="0"/>
        <w:spacing w:line="360" w:lineRule="auto"/>
        <w:jc w:val="center"/>
        <w:rPr>
          <w:rFonts w:ascii="Times New Roman" w:hAnsi="Times New Roman" w:cs="Times New Roman"/>
          <w:b/>
          <w:bCs/>
          <w:sz w:val="30"/>
          <w:szCs w:val="30"/>
        </w:rPr>
      </w:pPr>
      <w:r>
        <w:rPr>
          <w:rFonts w:ascii="Times New Roman" w:hAnsi="Times New Roman" w:cs="Times New Roman" w:hint="eastAsia"/>
          <w:b/>
          <w:bCs/>
          <w:sz w:val="30"/>
          <w:szCs w:val="30"/>
        </w:rPr>
        <w:t>版本更新的公告</w:t>
      </w:r>
    </w:p>
    <w:p w:rsidR="00104BBD" w:rsidRDefault="00104BBD">
      <w:pPr>
        <w:pStyle w:val="a3"/>
        <w:spacing w:before="5"/>
        <w:ind w:left="0"/>
        <w:rPr>
          <w:rFonts w:ascii="Times New Roman" w:hAnsi="Times New Roman" w:cs="Times New Roman"/>
          <w:b/>
          <w:sz w:val="32"/>
        </w:rPr>
      </w:pPr>
    </w:p>
    <w:p w:rsidR="00104BBD" w:rsidRDefault="002E3E01">
      <w:pPr>
        <w:pStyle w:val="a3"/>
        <w:overflowPunct w:val="0"/>
        <w:spacing w:line="360" w:lineRule="auto"/>
        <w:ind w:firstLineChars="200" w:firstLine="480"/>
        <w:jc w:val="both"/>
        <w:rPr>
          <w:rFonts w:cs="Times New Roman"/>
        </w:rPr>
      </w:pPr>
      <w:r>
        <w:rPr>
          <w:rFonts w:cs="Times New Roman" w:hint="eastAsia"/>
        </w:rPr>
        <w:t>根据上海证券交易所（以下简称“上交所”）最新</w:t>
      </w:r>
      <w:r>
        <w:rPr>
          <w:rFonts w:cs="Times New Roman"/>
        </w:rPr>
        <w:t>ETF</w:t>
      </w:r>
      <w:r>
        <w:rPr>
          <w:rFonts w:cs="Times New Roman" w:hint="eastAsia"/>
        </w:rPr>
        <w:t>申购赎回清单格式规则，上交所正式上线新版</w:t>
      </w:r>
      <w:r>
        <w:rPr>
          <w:rFonts w:cs="Times New Roman"/>
        </w:rPr>
        <w:t>ETF</w:t>
      </w:r>
      <w:r>
        <w:rPr>
          <w:rFonts w:cs="Times New Roman" w:hint="eastAsia"/>
        </w:rPr>
        <w:t>申购赎回清单，鹏华基金管理有限公司（以下简称“本公司”）自</w:t>
      </w:r>
      <w:bookmarkStart w:id="0" w:name="_GoBack"/>
      <w:r>
        <w:rPr>
          <w:rFonts w:cs="Times New Roman"/>
        </w:rPr>
        <w:t>2025</w:t>
      </w:r>
      <w:r>
        <w:rPr>
          <w:rFonts w:cs="Times New Roman" w:hint="eastAsia"/>
        </w:rPr>
        <w:t>年</w:t>
      </w:r>
      <w:bookmarkEnd w:id="0"/>
      <w:r>
        <w:rPr>
          <w:rFonts w:cs="Times New Roman"/>
        </w:rPr>
        <w:t>11</w:t>
      </w:r>
      <w:r>
        <w:rPr>
          <w:rFonts w:cs="Times New Roman" w:hint="eastAsia"/>
        </w:rPr>
        <w:t>月</w:t>
      </w:r>
      <w:r>
        <w:rPr>
          <w:rFonts w:cs="Times New Roman"/>
        </w:rPr>
        <w:t>24</w:t>
      </w:r>
      <w:r>
        <w:rPr>
          <w:rFonts w:cs="Times New Roman" w:hint="eastAsia"/>
        </w:rPr>
        <w:t>日起对旗下上交所</w:t>
      </w:r>
      <w:r>
        <w:rPr>
          <w:rFonts w:cs="Times New Roman"/>
        </w:rPr>
        <w:t>ETF</w:t>
      </w:r>
      <w:r>
        <w:rPr>
          <w:rFonts w:cs="Times New Roman" w:hint="eastAsia"/>
        </w:rPr>
        <w:t>申购赎回清单进行版本更新。现将具体情况公告如下：</w:t>
      </w:r>
    </w:p>
    <w:p w:rsidR="00104BBD" w:rsidRDefault="00104BBD">
      <w:pPr>
        <w:pStyle w:val="a3"/>
        <w:overflowPunct w:val="0"/>
        <w:adjustRightInd w:val="0"/>
        <w:spacing w:line="360" w:lineRule="auto"/>
        <w:ind w:left="0" w:firstLine="420"/>
        <w:jc w:val="both"/>
        <w:rPr>
          <w:rFonts w:ascii="Times New Roman" w:hAnsi="Times New Roman" w:cs="Times New Roman"/>
        </w:rPr>
      </w:pPr>
    </w:p>
    <w:p w:rsidR="00104BBD" w:rsidRDefault="002E3E01">
      <w:pPr>
        <w:pStyle w:val="a3"/>
        <w:kinsoku w:val="0"/>
        <w:overflowPunct w:val="0"/>
        <w:adjustRightInd w:val="0"/>
        <w:spacing w:line="360" w:lineRule="auto"/>
        <w:ind w:firstLine="364"/>
        <w:rPr>
          <w:rFonts w:ascii="Times New Roman" w:hAnsi="Times New Roman" w:cs="Times New Roman"/>
          <w:b/>
          <w:spacing w:val="1"/>
        </w:rPr>
      </w:pPr>
      <w:r>
        <w:rPr>
          <w:rFonts w:ascii="Times New Roman" w:hAnsi="Times New Roman" w:cs="Times New Roman"/>
          <w:b/>
          <w:spacing w:val="1"/>
        </w:rPr>
        <w:t>一、</w:t>
      </w:r>
      <w:r>
        <w:rPr>
          <w:rFonts w:ascii="Times New Roman" w:hAnsi="Times New Roman" w:cs="Times New Roman" w:hint="eastAsia"/>
          <w:b/>
          <w:spacing w:val="1"/>
        </w:rPr>
        <w:t>涉及本次申购赎回清单版本更新的基金列表</w:t>
      </w:r>
    </w:p>
    <w:tbl>
      <w:tblPr>
        <w:tblW w:w="5402" w:type="pct"/>
        <w:tblInd w:w="-147" w:type="dxa"/>
        <w:tblLook w:val="04A0"/>
      </w:tblPr>
      <w:tblGrid>
        <w:gridCol w:w="791"/>
        <w:gridCol w:w="1246"/>
        <w:gridCol w:w="4510"/>
        <w:gridCol w:w="1308"/>
        <w:gridCol w:w="1745"/>
      </w:tblGrid>
      <w:tr w:rsidR="00104BBD">
        <w:trPr>
          <w:trHeight w:val="660"/>
        </w:trPr>
        <w:tc>
          <w:tcPr>
            <w:tcW w:w="412" w:type="pct"/>
            <w:tcBorders>
              <w:top w:val="single" w:sz="4" w:space="0" w:color="auto"/>
              <w:left w:val="single" w:sz="4" w:space="0" w:color="auto"/>
              <w:bottom w:val="single" w:sz="4" w:space="0" w:color="auto"/>
              <w:right w:val="single" w:sz="4" w:space="0" w:color="auto"/>
            </w:tcBorders>
            <w:shd w:val="clear" w:color="auto" w:fill="auto"/>
            <w:vAlign w:val="center"/>
          </w:tcPr>
          <w:p w:rsidR="00104BBD" w:rsidRDefault="002E3E01">
            <w:pPr>
              <w:widowControl/>
              <w:autoSpaceDE/>
              <w:autoSpaceDN/>
              <w:jc w:val="center"/>
              <w:rPr>
                <w:b/>
                <w:bCs/>
                <w:sz w:val="24"/>
                <w:szCs w:val="24"/>
              </w:rPr>
            </w:pPr>
            <w:r>
              <w:rPr>
                <w:rFonts w:hint="eastAsia"/>
                <w:b/>
                <w:bCs/>
                <w:sz w:val="24"/>
                <w:szCs w:val="24"/>
              </w:rPr>
              <w:t>序号</w:t>
            </w:r>
          </w:p>
        </w:tc>
        <w:tc>
          <w:tcPr>
            <w:tcW w:w="649" w:type="pct"/>
            <w:tcBorders>
              <w:top w:val="single" w:sz="4" w:space="0" w:color="auto"/>
              <w:left w:val="nil"/>
              <w:bottom w:val="single" w:sz="4" w:space="0" w:color="auto"/>
              <w:right w:val="single" w:sz="4" w:space="0" w:color="auto"/>
            </w:tcBorders>
            <w:shd w:val="clear" w:color="auto" w:fill="auto"/>
            <w:vAlign w:val="center"/>
          </w:tcPr>
          <w:p w:rsidR="00104BBD" w:rsidRDefault="002E3E01">
            <w:pPr>
              <w:widowControl/>
              <w:autoSpaceDE/>
              <w:autoSpaceDN/>
              <w:jc w:val="center"/>
              <w:rPr>
                <w:b/>
                <w:bCs/>
              </w:rPr>
            </w:pPr>
            <w:r>
              <w:rPr>
                <w:rFonts w:hint="eastAsia"/>
                <w:b/>
                <w:bCs/>
              </w:rPr>
              <w:t>证券代码</w:t>
            </w:r>
          </w:p>
        </w:tc>
        <w:tc>
          <w:tcPr>
            <w:tcW w:w="2349" w:type="pct"/>
            <w:tcBorders>
              <w:top w:val="single" w:sz="4" w:space="0" w:color="auto"/>
              <w:left w:val="nil"/>
              <w:bottom w:val="single" w:sz="4" w:space="0" w:color="auto"/>
              <w:right w:val="single" w:sz="4" w:space="0" w:color="auto"/>
            </w:tcBorders>
            <w:shd w:val="clear" w:color="auto" w:fill="auto"/>
            <w:vAlign w:val="center"/>
          </w:tcPr>
          <w:p w:rsidR="00104BBD" w:rsidRDefault="002E3E01">
            <w:pPr>
              <w:widowControl/>
              <w:autoSpaceDE/>
              <w:autoSpaceDN/>
              <w:jc w:val="center"/>
              <w:rPr>
                <w:b/>
                <w:bCs/>
              </w:rPr>
            </w:pPr>
            <w:r>
              <w:rPr>
                <w:rFonts w:hint="eastAsia"/>
                <w:b/>
                <w:bCs/>
              </w:rPr>
              <w:t>基金名称</w:t>
            </w:r>
          </w:p>
        </w:tc>
        <w:tc>
          <w:tcPr>
            <w:tcW w:w="681" w:type="pct"/>
            <w:tcBorders>
              <w:top w:val="single" w:sz="4" w:space="0" w:color="auto"/>
              <w:left w:val="nil"/>
              <w:bottom w:val="single" w:sz="4" w:space="0" w:color="auto"/>
              <w:right w:val="single" w:sz="4" w:space="0" w:color="auto"/>
            </w:tcBorders>
            <w:shd w:val="clear" w:color="auto" w:fill="auto"/>
            <w:vAlign w:val="center"/>
          </w:tcPr>
          <w:p w:rsidR="00104BBD" w:rsidRDefault="002E3E01">
            <w:pPr>
              <w:widowControl/>
              <w:autoSpaceDE/>
              <w:autoSpaceDN/>
              <w:jc w:val="center"/>
              <w:rPr>
                <w:b/>
                <w:bCs/>
              </w:rPr>
            </w:pPr>
            <w:r>
              <w:rPr>
                <w:rFonts w:hint="eastAsia"/>
                <w:b/>
                <w:bCs/>
              </w:rPr>
              <w:t>场内简称</w:t>
            </w:r>
          </w:p>
        </w:tc>
        <w:tc>
          <w:tcPr>
            <w:tcW w:w="910" w:type="pct"/>
            <w:tcBorders>
              <w:top w:val="single" w:sz="4" w:space="0" w:color="auto"/>
              <w:left w:val="nil"/>
              <w:bottom w:val="single" w:sz="4" w:space="0" w:color="auto"/>
              <w:right w:val="single" w:sz="4" w:space="0" w:color="auto"/>
            </w:tcBorders>
            <w:shd w:val="clear" w:color="auto" w:fill="auto"/>
            <w:vAlign w:val="center"/>
          </w:tcPr>
          <w:p w:rsidR="00104BBD" w:rsidRDefault="002E3E01">
            <w:pPr>
              <w:widowControl/>
              <w:autoSpaceDE/>
              <w:autoSpaceDN/>
              <w:jc w:val="center"/>
              <w:rPr>
                <w:b/>
                <w:bCs/>
              </w:rPr>
            </w:pPr>
            <w:r>
              <w:rPr>
                <w:rFonts w:hint="eastAsia"/>
                <w:b/>
                <w:bCs/>
              </w:rPr>
              <w:t>扩位证券简称</w:t>
            </w:r>
          </w:p>
        </w:tc>
      </w:tr>
      <w:tr w:rsidR="00104BBD">
        <w:trPr>
          <w:trHeight w:val="660"/>
        </w:trPr>
        <w:tc>
          <w:tcPr>
            <w:tcW w:w="412" w:type="pct"/>
            <w:tcBorders>
              <w:top w:val="nil"/>
              <w:left w:val="single" w:sz="4" w:space="0" w:color="auto"/>
              <w:bottom w:val="single" w:sz="4" w:space="0" w:color="auto"/>
              <w:right w:val="single" w:sz="4" w:space="0" w:color="auto"/>
            </w:tcBorders>
            <w:shd w:val="clear" w:color="auto" w:fill="auto"/>
            <w:vAlign w:val="center"/>
          </w:tcPr>
          <w:p w:rsidR="00104BBD" w:rsidRDefault="002E3E01">
            <w:pPr>
              <w:widowControl/>
              <w:autoSpaceDE/>
              <w:autoSpaceDN/>
              <w:jc w:val="center"/>
              <w:rPr>
                <w:sz w:val="24"/>
                <w:szCs w:val="24"/>
              </w:rPr>
            </w:pPr>
            <w:r>
              <w:rPr>
                <w:rFonts w:hint="eastAsia"/>
                <w:sz w:val="24"/>
                <w:szCs w:val="24"/>
              </w:rPr>
              <w:t>1</w:t>
            </w:r>
          </w:p>
        </w:tc>
        <w:tc>
          <w:tcPr>
            <w:tcW w:w="649" w:type="pct"/>
            <w:tcBorders>
              <w:top w:val="nil"/>
              <w:left w:val="nil"/>
              <w:bottom w:val="single" w:sz="4" w:space="0" w:color="auto"/>
              <w:right w:val="single" w:sz="4" w:space="0" w:color="auto"/>
            </w:tcBorders>
            <w:shd w:val="clear" w:color="auto" w:fill="auto"/>
            <w:vAlign w:val="center"/>
          </w:tcPr>
          <w:p w:rsidR="00104BBD" w:rsidRDefault="002E3E01">
            <w:pPr>
              <w:widowControl/>
              <w:autoSpaceDE/>
              <w:autoSpaceDN/>
              <w:jc w:val="center"/>
            </w:pPr>
            <w:r>
              <w:rPr>
                <w:rFonts w:hint="eastAsia"/>
              </w:rPr>
              <w:t>511820</w:t>
            </w:r>
          </w:p>
        </w:tc>
        <w:tc>
          <w:tcPr>
            <w:tcW w:w="2349" w:type="pct"/>
            <w:tcBorders>
              <w:top w:val="nil"/>
              <w:left w:val="nil"/>
              <w:bottom w:val="single" w:sz="4" w:space="0" w:color="auto"/>
              <w:right w:val="single" w:sz="4" w:space="0" w:color="auto"/>
            </w:tcBorders>
            <w:shd w:val="clear" w:color="auto" w:fill="auto"/>
            <w:vAlign w:val="center"/>
          </w:tcPr>
          <w:p w:rsidR="00104BBD" w:rsidRDefault="002E3E01">
            <w:pPr>
              <w:widowControl/>
              <w:autoSpaceDE/>
              <w:autoSpaceDN/>
            </w:pPr>
            <w:r>
              <w:rPr>
                <w:rFonts w:hint="eastAsia"/>
              </w:rPr>
              <w:t>鹏华添利交易型货币市场基金</w:t>
            </w:r>
          </w:p>
        </w:tc>
        <w:tc>
          <w:tcPr>
            <w:tcW w:w="681" w:type="pct"/>
            <w:tcBorders>
              <w:top w:val="nil"/>
              <w:left w:val="nil"/>
              <w:bottom w:val="single" w:sz="4" w:space="0" w:color="auto"/>
              <w:right w:val="single" w:sz="4" w:space="0" w:color="auto"/>
            </w:tcBorders>
            <w:shd w:val="clear" w:color="auto" w:fill="auto"/>
            <w:vAlign w:val="center"/>
          </w:tcPr>
          <w:p w:rsidR="00104BBD" w:rsidRDefault="002E3E01">
            <w:pPr>
              <w:widowControl/>
              <w:autoSpaceDE/>
              <w:autoSpaceDN/>
              <w:jc w:val="center"/>
            </w:pPr>
            <w:r>
              <w:rPr>
                <w:rFonts w:hint="eastAsia"/>
              </w:rPr>
              <w:t>鹏华添利</w:t>
            </w:r>
          </w:p>
        </w:tc>
        <w:tc>
          <w:tcPr>
            <w:tcW w:w="910" w:type="pct"/>
            <w:tcBorders>
              <w:top w:val="nil"/>
              <w:left w:val="nil"/>
              <w:bottom w:val="single" w:sz="4" w:space="0" w:color="auto"/>
              <w:right w:val="single" w:sz="4" w:space="0" w:color="auto"/>
            </w:tcBorders>
            <w:shd w:val="clear" w:color="auto" w:fill="auto"/>
            <w:vAlign w:val="center"/>
          </w:tcPr>
          <w:p w:rsidR="00104BBD" w:rsidRDefault="002E3E01">
            <w:pPr>
              <w:widowControl/>
              <w:autoSpaceDE/>
              <w:autoSpaceDN/>
              <w:jc w:val="center"/>
            </w:pPr>
            <w:r>
              <w:rPr>
                <w:rFonts w:hint="eastAsia"/>
              </w:rPr>
              <w:t>鹏华添利ETF</w:t>
            </w:r>
          </w:p>
        </w:tc>
      </w:tr>
      <w:tr w:rsidR="00104BBD">
        <w:trPr>
          <w:trHeight w:val="660"/>
        </w:trPr>
        <w:tc>
          <w:tcPr>
            <w:tcW w:w="412" w:type="pct"/>
            <w:tcBorders>
              <w:top w:val="nil"/>
              <w:left w:val="single" w:sz="4" w:space="0" w:color="auto"/>
              <w:bottom w:val="single" w:sz="4" w:space="0" w:color="auto"/>
              <w:right w:val="single" w:sz="4" w:space="0" w:color="auto"/>
            </w:tcBorders>
            <w:shd w:val="clear" w:color="auto" w:fill="auto"/>
            <w:vAlign w:val="center"/>
          </w:tcPr>
          <w:p w:rsidR="00104BBD" w:rsidRDefault="002E3E01">
            <w:pPr>
              <w:widowControl/>
              <w:autoSpaceDE/>
              <w:autoSpaceDN/>
              <w:jc w:val="center"/>
              <w:rPr>
                <w:sz w:val="24"/>
                <w:szCs w:val="24"/>
              </w:rPr>
            </w:pPr>
            <w:r>
              <w:rPr>
                <w:rFonts w:hint="eastAsia"/>
                <w:sz w:val="24"/>
                <w:szCs w:val="24"/>
              </w:rPr>
              <w:t>2</w:t>
            </w:r>
          </w:p>
        </w:tc>
        <w:tc>
          <w:tcPr>
            <w:tcW w:w="649" w:type="pct"/>
            <w:tcBorders>
              <w:top w:val="nil"/>
              <w:left w:val="nil"/>
              <w:bottom w:val="single" w:sz="4" w:space="0" w:color="auto"/>
              <w:right w:val="single" w:sz="4" w:space="0" w:color="auto"/>
            </w:tcBorders>
            <w:shd w:val="clear" w:color="auto" w:fill="auto"/>
            <w:vAlign w:val="center"/>
          </w:tcPr>
          <w:p w:rsidR="00104BBD" w:rsidRDefault="002E3E01">
            <w:pPr>
              <w:widowControl/>
              <w:autoSpaceDE/>
              <w:autoSpaceDN/>
              <w:jc w:val="center"/>
            </w:pPr>
            <w:r>
              <w:rPr>
                <w:rFonts w:hint="eastAsia"/>
              </w:rPr>
              <w:t>551030</w:t>
            </w:r>
          </w:p>
        </w:tc>
        <w:tc>
          <w:tcPr>
            <w:tcW w:w="2349" w:type="pct"/>
            <w:tcBorders>
              <w:top w:val="nil"/>
              <w:left w:val="nil"/>
              <w:bottom w:val="single" w:sz="4" w:space="0" w:color="auto"/>
              <w:right w:val="single" w:sz="4" w:space="0" w:color="auto"/>
            </w:tcBorders>
            <w:shd w:val="clear" w:color="auto" w:fill="auto"/>
            <w:vAlign w:val="center"/>
          </w:tcPr>
          <w:p w:rsidR="00104BBD" w:rsidRDefault="002E3E01">
            <w:pPr>
              <w:widowControl/>
              <w:autoSpaceDE/>
              <w:autoSpaceDN/>
            </w:pPr>
            <w:r>
              <w:rPr>
                <w:rFonts w:hint="eastAsia"/>
              </w:rPr>
              <w:t>鹏华上证AAA科技创新公司债交易型开放式指数证券投资基金</w:t>
            </w:r>
          </w:p>
        </w:tc>
        <w:tc>
          <w:tcPr>
            <w:tcW w:w="681" w:type="pct"/>
            <w:tcBorders>
              <w:top w:val="nil"/>
              <w:left w:val="nil"/>
              <w:bottom w:val="single" w:sz="4" w:space="0" w:color="auto"/>
              <w:right w:val="single" w:sz="4" w:space="0" w:color="auto"/>
            </w:tcBorders>
            <w:shd w:val="clear" w:color="auto" w:fill="auto"/>
            <w:vAlign w:val="center"/>
          </w:tcPr>
          <w:p w:rsidR="00104BBD" w:rsidRDefault="002E3E01">
            <w:pPr>
              <w:widowControl/>
              <w:autoSpaceDE/>
              <w:autoSpaceDN/>
              <w:jc w:val="center"/>
            </w:pPr>
            <w:r>
              <w:rPr>
                <w:rFonts w:hint="eastAsia"/>
              </w:rPr>
              <w:t>科创债券</w:t>
            </w:r>
          </w:p>
        </w:tc>
        <w:tc>
          <w:tcPr>
            <w:tcW w:w="910" w:type="pct"/>
            <w:tcBorders>
              <w:top w:val="nil"/>
              <w:left w:val="nil"/>
              <w:bottom w:val="single" w:sz="4" w:space="0" w:color="auto"/>
              <w:right w:val="single" w:sz="4" w:space="0" w:color="auto"/>
            </w:tcBorders>
            <w:shd w:val="clear" w:color="auto" w:fill="auto"/>
            <w:vAlign w:val="center"/>
          </w:tcPr>
          <w:p w:rsidR="00104BBD" w:rsidRDefault="002E3E01">
            <w:pPr>
              <w:widowControl/>
              <w:autoSpaceDE/>
              <w:autoSpaceDN/>
              <w:jc w:val="center"/>
            </w:pPr>
            <w:r>
              <w:rPr>
                <w:rFonts w:hint="eastAsia"/>
              </w:rPr>
              <w:t>科创债ETF鹏华</w:t>
            </w:r>
          </w:p>
        </w:tc>
      </w:tr>
      <w:tr w:rsidR="00104BBD">
        <w:trPr>
          <w:trHeight w:val="660"/>
        </w:trPr>
        <w:tc>
          <w:tcPr>
            <w:tcW w:w="412" w:type="pct"/>
            <w:tcBorders>
              <w:top w:val="nil"/>
              <w:left w:val="single" w:sz="4" w:space="0" w:color="auto"/>
              <w:bottom w:val="single" w:sz="4" w:space="0" w:color="auto"/>
              <w:right w:val="single" w:sz="4" w:space="0" w:color="auto"/>
            </w:tcBorders>
            <w:shd w:val="clear" w:color="auto" w:fill="auto"/>
            <w:vAlign w:val="center"/>
          </w:tcPr>
          <w:p w:rsidR="00104BBD" w:rsidRDefault="002E3E01">
            <w:pPr>
              <w:widowControl/>
              <w:autoSpaceDE/>
              <w:autoSpaceDN/>
              <w:jc w:val="center"/>
              <w:rPr>
                <w:sz w:val="24"/>
                <w:szCs w:val="24"/>
              </w:rPr>
            </w:pPr>
            <w:r>
              <w:rPr>
                <w:rFonts w:hint="eastAsia"/>
                <w:sz w:val="24"/>
                <w:szCs w:val="24"/>
              </w:rPr>
              <w:t>3</w:t>
            </w:r>
          </w:p>
        </w:tc>
        <w:tc>
          <w:tcPr>
            <w:tcW w:w="649" w:type="pct"/>
            <w:tcBorders>
              <w:top w:val="nil"/>
              <w:left w:val="nil"/>
              <w:bottom w:val="single" w:sz="4" w:space="0" w:color="auto"/>
              <w:right w:val="single" w:sz="4" w:space="0" w:color="auto"/>
            </w:tcBorders>
            <w:shd w:val="clear" w:color="auto" w:fill="auto"/>
            <w:vAlign w:val="center"/>
          </w:tcPr>
          <w:p w:rsidR="00104BBD" w:rsidRDefault="002E3E01">
            <w:pPr>
              <w:widowControl/>
              <w:autoSpaceDE/>
              <w:autoSpaceDN/>
              <w:jc w:val="center"/>
            </w:pPr>
            <w:r>
              <w:rPr>
                <w:rFonts w:hint="eastAsia"/>
              </w:rPr>
              <w:t>510040</w:t>
            </w:r>
          </w:p>
        </w:tc>
        <w:tc>
          <w:tcPr>
            <w:tcW w:w="2349" w:type="pct"/>
            <w:tcBorders>
              <w:top w:val="nil"/>
              <w:left w:val="nil"/>
              <w:bottom w:val="single" w:sz="4" w:space="0" w:color="auto"/>
              <w:right w:val="single" w:sz="4" w:space="0" w:color="auto"/>
            </w:tcBorders>
            <w:shd w:val="clear" w:color="auto" w:fill="auto"/>
            <w:vAlign w:val="center"/>
          </w:tcPr>
          <w:p w:rsidR="00104BBD" w:rsidRDefault="002E3E01">
            <w:pPr>
              <w:widowControl/>
              <w:autoSpaceDE/>
              <w:autoSpaceDN/>
            </w:pPr>
            <w:r>
              <w:rPr>
                <w:rFonts w:hint="eastAsia"/>
              </w:rPr>
              <w:t>鹏华上证180交易型开放式指数证券投资基金</w:t>
            </w:r>
          </w:p>
        </w:tc>
        <w:tc>
          <w:tcPr>
            <w:tcW w:w="681" w:type="pct"/>
            <w:tcBorders>
              <w:top w:val="nil"/>
              <w:left w:val="nil"/>
              <w:bottom w:val="single" w:sz="4" w:space="0" w:color="auto"/>
              <w:right w:val="single" w:sz="4" w:space="0" w:color="auto"/>
            </w:tcBorders>
            <w:shd w:val="clear" w:color="auto" w:fill="auto"/>
            <w:vAlign w:val="center"/>
          </w:tcPr>
          <w:p w:rsidR="00104BBD" w:rsidRDefault="002E3E01">
            <w:pPr>
              <w:widowControl/>
              <w:autoSpaceDE/>
              <w:autoSpaceDN/>
              <w:jc w:val="center"/>
            </w:pPr>
            <w:r>
              <w:rPr>
                <w:rFonts w:hint="eastAsia"/>
              </w:rPr>
              <w:t>上证180E</w:t>
            </w:r>
          </w:p>
        </w:tc>
        <w:tc>
          <w:tcPr>
            <w:tcW w:w="910" w:type="pct"/>
            <w:tcBorders>
              <w:top w:val="nil"/>
              <w:left w:val="nil"/>
              <w:bottom w:val="single" w:sz="4" w:space="0" w:color="auto"/>
              <w:right w:val="single" w:sz="4" w:space="0" w:color="auto"/>
            </w:tcBorders>
            <w:shd w:val="clear" w:color="auto" w:fill="auto"/>
            <w:vAlign w:val="center"/>
          </w:tcPr>
          <w:p w:rsidR="00104BBD" w:rsidRDefault="002E3E01">
            <w:pPr>
              <w:widowControl/>
              <w:autoSpaceDE/>
              <w:autoSpaceDN/>
              <w:jc w:val="center"/>
            </w:pPr>
            <w:r>
              <w:rPr>
                <w:rFonts w:hint="eastAsia"/>
              </w:rPr>
              <w:t>上证180ETF指数</w:t>
            </w:r>
          </w:p>
        </w:tc>
      </w:tr>
      <w:tr w:rsidR="00104BBD">
        <w:trPr>
          <w:trHeight w:val="660"/>
        </w:trPr>
        <w:tc>
          <w:tcPr>
            <w:tcW w:w="412" w:type="pct"/>
            <w:tcBorders>
              <w:top w:val="nil"/>
              <w:left w:val="single" w:sz="4" w:space="0" w:color="auto"/>
              <w:bottom w:val="single" w:sz="4" w:space="0" w:color="auto"/>
              <w:right w:val="single" w:sz="4" w:space="0" w:color="auto"/>
            </w:tcBorders>
            <w:shd w:val="clear" w:color="auto" w:fill="auto"/>
            <w:vAlign w:val="center"/>
          </w:tcPr>
          <w:p w:rsidR="00104BBD" w:rsidRDefault="002E3E01">
            <w:pPr>
              <w:widowControl/>
              <w:autoSpaceDE/>
              <w:autoSpaceDN/>
              <w:jc w:val="center"/>
              <w:rPr>
                <w:sz w:val="24"/>
                <w:szCs w:val="24"/>
              </w:rPr>
            </w:pPr>
            <w:r>
              <w:rPr>
                <w:rFonts w:hint="eastAsia"/>
                <w:sz w:val="24"/>
                <w:szCs w:val="24"/>
              </w:rPr>
              <w:t>4</w:t>
            </w:r>
          </w:p>
        </w:tc>
        <w:tc>
          <w:tcPr>
            <w:tcW w:w="649" w:type="pct"/>
            <w:tcBorders>
              <w:top w:val="nil"/>
              <w:left w:val="nil"/>
              <w:bottom w:val="single" w:sz="4" w:space="0" w:color="auto"/>
              <w:right w:val="single" w:sz="4" w:space="0" w:color="auto"/>
            </w:tcBorders>
            <w:shd w:val="clear" w:color="auto" w:fill="auto"/>
            <w:vAlign w:val="center"/>
          </w:tcPr>
          <w:p w:rsidR="00104BBD" w:rsidRDefault="002E3E01">
            <w:pPr>
              <w:widowControl/>
              <w:autoSpaceDE/>
              <w:autoSpaceDN/>
              <w:jc w:val="center"/>
            </w:pPr>
            <w:r>
              <w:rPr>
                <w:rFonts w:hint="eastAsia"/>
              </w:rPr>
              <w:t>588040</w:t>
            </w:r>
          </w:p>
        </w:tc>
        <w:tc>
          <w:tcPr>
            <w:tcW w:w="2349" w:type="pct"/>
            <w:tcBorders>
              <w:top w:val="nil"/>
              <w:left w:val="nil"/>
              <w:bottom w:val="single" w:sz="4" w:space="0" w:color="auto"/>
              <w:right w:val="single" w:sz="4" w:space="0" w:color="auto"/>
            </w:tcBorders>
            <w:shd w:val="clear" w:color="auto" w:fill="auto"/>
            <w:vAlign w:val="center"/>
          </w:tcPr>
          <w:p w:rsidR="00104BBD" w:rsidRDefault="002E3E01">
            <w:pPr>
              <w:widowControl/>
              <w:autoSpaceDE/>
              <w:autoSpaceDN/>
            </w:pPr>
            <w:r>
              <w:rPr>
                <w:rFonts w:hint="eastAsia"/>
              </w:rPr>
              <w:t>鹏华上证科创板50成份交易型开放式指数证券投资基金</w:t>
            </w:r>
          </w:p>
        </w:tc>
        <w:tc>
          <w:tcPr>
            <w:tcW w:w="681" w:type="pct"/>
            <w:tcBorders>
              <w:top w:val="nil"/>
              <w:left w:val="nil"/>
              <w:bottom w:val="single" w:sz="4" w:space="0" w:color="auto"/>
              <w:right w:val="single" w:sz="4" w:space="0" w:color="auto"/>
            </w:tcBorders>
            <w:shd w:val="clear" w:color="auto" w:fill="auto"/>
            <w:vAlign w:val="center"/>
          </w:tcPr>
          <w:p w:rsidR="00104BBD" w:rsidRDefault="002E3E01">
            <w:pPr>
              <w:widowControl/>
              <w:autoSpaceDE/>
              <w:autoSpaceDN/>
              <w:jc w:val="center"/>
            </w:pPr>
            <w:r>
              <w:rPr>
                <w:rFonts w:hint="eastAsia"/>
              </w:rPr>
              <w:t>科创板指</w:t>
            </w:r>
          </w:p>
        </w:tc>
        <w:tc>
          <w:tcPr>
            <w:tcW w:w="910" w:type="pct"/>
            <w:tcBorders>
              <w:top w:val="nil"/>
              <w:left w:val="nil"/>
              <w:bottom w:val="single" w:sz="4" w:space="0" w:color="auto"/>
              <w:right w:val="single" w:sz="4" w:space="0" w:color="auto"/>
            </w:tcBorders>
            <w:shd w:val="clear" w:color="auto" w:fill="auto"/>
            <w:vAlign w:val="center"/>
          </w:tcPr>
          <w:p w:rsidR="00104BBD" w:rsidRDefault="002E3E01">
            <w:pPr>
              <w:widowControl/>
              <w:autoSpaceDE/>
              <w:autoSpaceDN/>
              <w:jc w:val="center"/>
            </w:pPr>
            <w:r>
              <w:rPr>
                <w:rFonts w:hint="eastAsia"/>
              </w:rPr>
              <w:t>科创50ETF指数</w:t>
            </w:r>
          </w:p>
        </w:tc>
      </w:tr>
      <w:tr w:rsidR="00104BBD">
        <w:trPr>
          <w:trHeight w:val="660"/>
        </w:trPr>
        <w:tc>
          <w:tcPr>
            <w:tcW w:w="412" w:type="pct"/>
            <w:tcBorders>
              <w:top w:val="nil"/>
              <w:left w:val="single" w:sz="4" w:space="0" w:color="auto"/>
              <w:bottom w:val="single" w:sz="4" w:space="0" w:color="auto"/>
              <w:right w:val="single" w:sz="4" w:space="0" w:color="auto"/>
            </w:tcBorders>
            <w:shd w:val="clear" w:color="auto" w:fill="auto"/>
            <w:vAlign w:val="center"/>
          </w:tcPr>
          <w:p w:rsidR="00104BBD" w:rsidRDefault="002E3E01">
            <w:pPr>
              <w:widowControl/>
              <w:autoSpaceDE/>
              <w:autoSpaceDN/>
              <w:jc w:val="center"/>
              <w:rPr>
                <w:sz w:val="24"/>
                <w:szCs w:val="24"/>
              </w:rPr>
            </w:pPr>
            <w:r>
              <w:rPr>
                <w:rFonts w:hint="eastAsia"/>
                <w:sz w:val="24"/>
                <w:szCs w:val="24"/>
              </w:rPr>
              <w:t>5</w:t>
            </w:r>
          </w:p>
        </w:tc>
        <w:tc>
          <w:tcPr>
            <w:tcW w:w="649" w:type="pct"/>
            <w:tcBorders>
              <w:top w:val="nil"/>
              <w:left w:val="nil"/>
              <w:bottom w:val="single" w:sz="4" w:space="0" w:color="auto"/>
              <w:right w:val="single" w:sz="4" w:space="0" w:color="auto"/>
            </w:tcBorders>
            <w:shd w:val="clear" w:color="auto" w:fill="auto"/>
            <w:vAlign w:val="center"/>
          </w:tcPr>
          <w:p w:rsidR="00104BBD" w:rsidRDefault="002E3E01">
            <w:pPr>
              <w:widowControl/>
              <w:autoSpaceDE/>
              <w:autoSpaceDN/>
              <w:jc w:val="center"/>
            </w:pPr>
            <w:r>
              <w:rPr>
                <w:rFonts w:hint="eastAsia"/>
              </w:rPr>
              <w:t>588220</w:t>
            </w:r>
          </w:p>
        </w:tc>
        <w:tc>
          <w:tcPr>
            <w:tcW w:w="2349" w:type="pct"/>
            <w:tcBorders>
              <w:top w:val="nil"/>
              <w:left w:val="nil"/>
              <w:bottom w:val="single" w:sz="4" w:space="0" w:color="auto"/>
              <w:right w:val="single" w:sz="4" w:space="0" w:color="auto"/>
            </w:tcBorders>
            <w:shd w:val="clear" w:color="auto" w:fill="auto"/>
            <w:vAlign w:val="center"/>
          </w:tcPr>
          <w:p w:rsidR="00104BBD" w:rsidRDefault="002E3E01">
            <w:pPr>
              <w:widowControl/>
              <w:autoSpaceDE/>
              <w:autoSpaceDN/>
            </w:pPr>
            <w:r>
              <w:rPr>
                <w:rFonts w:hint="eastAsia"/>
              </w:rPr>
              <w:t>鹏华上证科创板100交易型开放式指数证券投资基金</w:t>
            </w:r>
          </w:p>
        </w:tc>
        <w:tc>
          <w:tcPr>
            <w:tcW w:w="681" w:type="pct"/>
            <w:tcBorders>
              <w:top w:val="nil"/>
              <w:left w:val="nil"/>
              <w:bottom w:val="single" w:sz="4" w:space="0" w:color="auto"/>
              <w:right w:val="single" w:sz="4" w:space="0" w:color="auto"/>
            </w:tcBorders>
            <w:shd w:val="clear" w:color="auto" w:fill="auto"/>
            <w:vAlign w:val="center"/>
          </w:tcPr>
          <w:p w:rsidR="00104BBD" w:rsidRDefault="002E3E01">
            <w:pPr>
              <w:widowControl/>
              <w:autoSpaceDE/>
              <w:autoSpaceDN/>
              <w:jc w:val="center"/>
            </w:pPr>
            <w:r>
              <w:rPr>
                <w:rFonts w:hint="eastAsia"/>
              </w:rPr>
              <w:t>科创100F</w:t>
            </w:r>
          </w:p>
        </w:tc>
        <w:tc>
          <w:tcPr>
            <w:tcW w:w="910" w:type="pct"/>
            <w:tcBorders>
              <w:top w:val="nil"/>
              <w:left w:val="nil"/>
              <w:bottom w:val="single" w:sz="4" w:space="0" w:color="auto"/>
              <w:right w:val="single" w:sz="4" w:space="0" w:color="auto"/>
            </w:tcBorders>
            <w:shd w:val="clear" w:color="auto" w:fill="auto"/>
            <w:vAlign w:val="center"/>
          </w:tcPr>
          <w:p w:rsidR="00104BBD" w:rsidRDefault="002E3E01">
            <w:pPr>
              <w:widowControl/>
              <w:autoSpaceDE/>
              <w:autoSpaceDN/>
              <w:jc w:val="center"/>
            </w:pPr>
            <w:r>
              <w:rPr>
                <w:rFonts w:hint="eastAsia"/>
              </w:rPr>
              <w:t>科创100ETF基金</w:t>
            </w:r>
          </w:p>
        </w:tc>
      </w:tr>
      <w:tr w:rsidR="00104BBD">
        <w:trPr>
          <w:trHeight w:val="660"/>
        </w:trPr>
        <w:tc>
          <w:tcPr>
            <w:tcW w:w="412" w:type="pct"/>
            <w:tcBorders>
              <w:top w:val="nil"/>
              <w:left w:val="single" w:sz="4" w:space="0" w:color="auto"/>
              <w:bottom w:val="single" w:sz="4" w:space="0" w:color="auto"/>
              <w:right w:val="single" w:sz="4" w:space="0" w:color="auto"/>
            </w:tcBorders>
            <w:shd w:val="clear" w:color="auto" w:fill="auto"/>
            <w:vAlign w:val="center"/>
          </w:tcPr>
          <w:p w:rsidR="00104BBD" w:rsidRDefault="002E3E01">
            <w:pPr>
              <w:widowControl/>
              <w:autoSpaceDE/>
              <w:autoSpaceDN/>
              <w:jc w:val="center"/>
              <w:rPr>
                <w:sz w:val="24"/>
                <w:szCs w:val="24"/>
              </w:rPr>
            </w:pPr>
            <w:r>
              <w:rPr>
                <w:rFonts w:hint="eastAsia"/>
                <w:sz w:val="24"/>
                <w:szCs w:val="24"/>
              </w:rPr>
              <w:t>6</w:t>
            </w:r>
          </w:p>
        </w:tc>
        <w:tc>
          <w:tcPr>
            <w:tcW w:w="649" w:type="pct"/>
            <w:tcBorders>
              <w:top w:val="nil"/>
              <w:left w:val="nil"/>
              <w:bottom w:val="single" w:sz="4" w:space="0" w:color="auto"/>
              <w:right w:val="single" w:sz="4" w:space="0" w:color="auto"/>
            </w:tcBorders>
            <w:shd w:val="clear" w:color="auto" w:fill="auto"/>
            <w:vAlign w:val="center"/>
          </w:tcPr>
          <w:p w:rsidR="00104BBD" w:rsidRDefault="002E3E01">
            <w:pPr>
              <w:widowControl/>
              <w:autoSpaceDE/>
              <w:autoSpaceDN/>
              <w:jc w:val="center"/>
            </w:pPr>
            <w:r>
              <w:rPr>
                <w:rFonts w:hint="eastAsia"/>
              </w:rPr>
              <w:t>588240</w:t>
            </w:r>
          </w:p>
        </w:tc>
        <w:tc>
          <w:tcPr>
            <w:tcW w:w="2349" w:type="pct"/>
            <w:tcBorders>
              <w:top w:val="nil"/>
              <w:left w:val="nil"/>
              <w:bottom w:val="single" w:sz="4" w:space="0" w:color="auto"/>
              <w:right w:val="single" w:sz="4" w:space="0" w:color="auto"/>
            </w:tcBorders>
            <w:shd w:val="clear" w:color="auto" w:fill="auto"/>
            <w:vAlign w:val="center"/>
          </w:tcPr>
          <w:p w:rsidR="00104BBD" w:rsidRDefault="002E3E01">
            <w:pPr>
              <w:widowControl/>
              <w:autoSpaceDE/>
              <w:autoSpaceDN/>
            </w:pPr>
            <w:r>
              <w:rPr>
                <w:rFonts w:hint="eastAsia"/>
              </w:rPr>
              <w:t>鹏华上证科创板200交易型开放式指数证券投资基金</w:t>
            </w:r>
          </w:p>
        </w:tc>
        <w:tc>
          <w:tcPr>
            <w:tcW w:w="681" w:type="pct"/>
            <w:tcBorders>
              <w:top w:val="nil"/>
              <w:left w:val="nil"/>
              <w:bottom w:val="single" w:sz="4" w:space="0" w:color="auto"/>
              <w:right w:val="single" w:sz="4" w:space="0" w:color="auto"/>
            </w:tcBorders>
            <w:shd w:val="clear" w:color="auto" w:fill="auto"/>
            <w:vAlign w:val="center"/>
          </w:tcPr>
          <w:p w:rsidR="00104BBD" w:rsidRDefault="002E3E01">
            <w:pPr>
              <w:widowControl/>
              <w:autoSpaceDE/>
              <w:autoSpaceDN/>
              <w:jc w:val="center"/>
            </w:pPr>
            <w:r>
              <w:rPr>
                <w:rFonts w:hint="eastAsia"/>
              </w:rPr>
              <w:t>科200</w:t>
            </w:r>
          </w:p>
        </w:tc>
        <w:tc>
          <w:tcPr>
            <w:tcW w:w="910" w:type="pct"/>
            <w:tcBorders>
              <w:top w:val="nil"/>
              <w:left w:val="nil"/>
              <w:bottom w:val="single" w:sz="4" w:space="0" w:color="auto"/>
              <w:right w:val="single" w:sz="4" w:space="0" w:color="auto"/>
            </w:tcBorders>
            <w:shd w:val="clear" w:color="auto" w:fill="auto"/>
            <w:vAlign w:val="center"/>
          </w:tcPr>
          <w:p w:rsidR="00104BBD" w:rsidRDefault="002E3E01">
            <w:pPr>
              <w:widowControl/>
              <w:autoSpaceDE/>
              <w:autoSpaceDN/>
              <w:jc w:val="center"/>
            </w:pPr>
            <w:r>
              <w:rPr>
                <w:rFonts w:hint="eastAsia"/>
              </w:rPr>
              <w:t>科创200ETF指数</w:t>
            </w:r>
          </w:p>
        </w:tc>
      </w:tr>
      <w:tr w:rsidR="00104BBD">
        <w:trPr>
          <w:trHeight w:val="660"/>
        </w:trPr>
        <w:tc>
          <w:tcPr>
            <w:tcW w:w="412" w:type="pct"/>
            <w:tcBorders>
              <w:top w:val="nil"/>
              <w:left w:val="single" w:sz="4" w:space="0" w:color="auto"/>
              <w:bottom w:val="single" w:sz="4" w:space="0" w:color="auto"/>
              <w:right w:val="single" w:sz="4" w:space="0" w:color="auto"/>
            </w:tcBorders>
            <w:shd w:val="clear" w:color="auto" w:fill="auto"/>
            <w:vAlign w:val="center"/>
          </w:tcPr>
          <w:p w:rsidR="00104BBD" w:rsidRDefault="002E3E01">
            <w:pPr>
              <w:widowControl/>
              <w:autoSpaceDE/>
              <w:autoSpaceDN/>
              <w:jc w:val="center"/>
              <w:rPr>
                <w:sz w:val="24"/>
                <w:szCs w:val="24"/>
              </w:rPr>
            </w:pPr>
            <w:r>
              <w:rPr>
                <w:rFonts w:hint="eastAsia"/>
                <w:sz w:val="24"/>
                <w:szCs w:val="24"/>
              </w:rPr>
              <w:t>7</w:t>
            </w:r>
          </w:p>
        </w:tc>
        <w:tc>
          <w:tcPr>
            <w:tcW w:w="649" w:type="pct"/>
            <w:tcBorders>
              <w:top w:val="nil"/>
              <w:left w:val="nil"/>
              <w:bottom w:val="single" w:sz="4" w:space="0" w:color="auto"/>
              <w:right w:val="single" w:sz="4" w:space="0" w:color="auto"/>
            </w:tcBorders>
            <w:shd w:val="clear" w:color="auto" w:fill="auto"/>
            <w:vAlign w:val="center"/>
          </w:tcPr>
          <w:p w:rsidR="00104BBD" w:rsidRDefault="002E3E01">
            <w:pPr>
              <w:widowControl/>
              <w:autoSpaceDE/>
              <w:autoSpaceDN/>
              <w:jc w:val="center"/>
            </w:pPr>
            <w:r>
              <w:rPr>
                <w:rFonts w:hint="eastAsia"/>
              </w:rPr>
              <w:t>588250</w:t>
            </w:r>
          </w:p>
        </w:tc>
        <w:tc>
          <w:tcPr>
            <w:tcW w:w="2349" w:type="pct"/>
            <w:tcBorders>
              <w:top w:val="nil"/>
              <w:left w:val="nil"/>
              <w:bottom w:val="single" w:sz="4" w:space="0" w:color="auto"/>
              <w:right w:val="single" w:sz="4" w:space="0" w:color="auto"/>
            </w:tcBorders>
            <w:shd w:val="clear" w:color="auto" w:fill="auto"/>
            <w:vAlign w:val="center"/>
          </w:tcPr>
          <w:p w:rsidR="00104BBD" w:rsidRDefault="002E3E01">
            <w:pPr>
              <w:widowControl/>
              <w:autoSpaceDE/>
              <w:autoSpaceDN/>
            </w:pPr>
            <w:r>
              <w:rPr>
                <w:rFonts w:hint="eastAsia"/>
              </w:rPr>
              <w:t>鹏华上证科创板生物医药交易型开放式指数证券投资基金</w:t>
            </w:r>
          </w:p>
        </w:tc>
        <w:tc>
          <w:tcPr>
            <w:tcW w:w="681" w:type="pct"/>
            <w:tcBorders>
              <w:top w:val="nil"/>
              <w:left w:val="nil"/>
              <w:bottom w:val="single" w:sz="4" w:space="0" w:color="auto"/>
              <w:right w:val="single" w:sz="4" w:space="0" w:color="auto"/>
            </w:tcBorders>
            <w:shd w:val="clear" w:color="auto" w:fill="auto"/>
            <w:vAlign w:val="center"/>
          </w:tcPr>
          <w:p w:rsidR="00104BBD" w:rsidRDefault="002E3E01">
            <w:pPr>
              <w:widowControl/>
              <w:autoSpaceDE/>
              <w:autoSpaceDN/>
              <w:jc w:val="center"/>
            </w:pPr>
            <w:r>
              <w:rPr>
                <w:rFonts w:hint="eastAsia"/>
              </w:rPr>
              <w:t>KC医药</w:t>
            </w:r>
          </w:p>
        </w:tc>
        <w:tc>
          <w:tcPr>
            <w:tcW w:w="910" w:type="pct"/>
            <w:tcBorders>
              <w:top w:val="nil"/>
              <w:left w:val="nil"/>
              <w:bottom w:val="single" w:sz="4" w:space="0" w:color="auto"/>
              <w:right w:val="single" w:sz="4" w:space="0" w:color="auto"/>
            </w:tcBorders>
            <w:shd w:val="clear" w:color="auto" w:fill="auto"/>
            <w:vAlign w:val="center"/>
          </w:tcPr>
          <w:p w:rsidR="00104BBD" w:rsidRDefault="002E3E01">
            <w:pPr>
              <w:widowControl/>
              <w:autoSpaceDE/>
              <w:autoSpaceDN/>
              <w:jc w:val="center"/>
            </w:pPr>
            <w:r>
              <w:rPr>
                <w:rFonts w:hint="eastAsia"/>
              </w:rPr>
              <w:t>科创生物医药ETF</w:t>
            </w:r>
          </w:p>
        </w:tc>
      </w:tr>
      <w:tr w:rsidR="00104BBD">
        <w:trPr>
          <w:trHeight w:val="660"/>
        </w:trPr>
        <w:tc>
          <w:tcPr>
            <w:tcW w:w="412" w:type="pct"/>
            <w:tcBorders>
              <w:top w:val="nil"/>
              <w:left w:val="single" w:sz="4" w:space="0" w:color="auto"/>
              <w:bottom w:val="single" w:sz="4" w:space="0" w:color="auto"/>
              <w:right w:val="single" w:sz="4" w:space="0" w:color="auto"/>
            </w:tcBorders>
            <w:shd w:val="clear" w:color="auto" w:fill="auto"/>
            <w:vAlign w:val="center"/>
          </w:tcPr>
          <w:p w:rsidR="00104BBD" w:rsidRDefault="002E3E01">
            <w:pPr>
              <w:widowControl/>
              <w:autoSpaceDE/>
              <w:autoSpaceDN/>
              <w:jc w:val="center"/>
              <w:rPr>
                <w:sz w:val="24"/>
                <w:szCs w:val="24"/>
              </w:rPr>
            </w:pPr>
            <w:r>
              <w:rPr>
                <w:rFonts w:hint="eastAsia"/>
                <w:sz w:val="24"/>
                <w:szCs w:val="24"/>
              </w:rPr>
              <w:t>8</w:t>
            </w:r>
          </w:p>
        </w:tc>
        <w:tc>
          <w:tcPr>
            <w:tcW w:w="649" w:type="pct"/>
            <w:tcBorders>
              <w:top w:val="nil"/>
              <w:left w:val="nil"/>
              <w:bottom w:val="single" w:sz="4" w:space="0" w:color="auto"/>
              <w:right w:val="single" w:sz="4" w:space="0" w:color="auto"/>
            </w:tcBorders>
            <w:shd w:val="clear" w:color="auto" w:fill="auto"/>
            <w:vAlign w:val="center"/>
          </w:tcPr>
          <w:p w:rsidR="00104BBD" w:rsidRDefault="002E3E01">
            <w:pPr>
              <w:widowControl/>
              <w:autoSpaceDE/>
              <w:autoSpaceDN/>
              <w:jc w:val="center"/>
            </w:pPr>
            <w:r>
              <w:rPr>
                <w:rFonts w:hint="eastAsia"/>
              </w:rPr>
              <w:t>588460</w:t>
            </w:r>
          </w:p>
        </w:tc>
        <w:tc>
          <w:tcPr>
            <w:tcW w:w="2349" w:type="pct"/>
            <w:tcBorders>
              <w:top w:val="nil"/>
              <w:left w:val="nil"/>
              <w:bottom w:val="single" w:sz="4" w:space="0" w:color="auto"/>
              <w:right w:val="single" w:sz="4" w:space="0" w:color="auto"/>
            </w:tcBorders>
            <w:shd w:val="clear" w:color="auto" w:fill="auto"/>
            <w:vAlign w:val="center"/>
          </w:tcPr>
          <w:p w:rsidR="00104BBD" w:rsidRDefault="002E3E01">
            <w:pPr>
              <w:widowControl/>
              <w:autoSpaceDE/>
              <w:autoSpaceDN/>
            </w:pPr>
            <w:r>
              <w:rPr>
                <w:rFonts w:hint="eastAsia"/>
              </w:rPr>
              <w:t>鹏华上证科创板50成份增强策略交易型开放式指数证券投资基金</w:t>
            </w:r>
          </w:p>
        </w:tc>
        <w:tc>
          <w:tcPr>
            <w:tcW w:w="681" w:type="pct"/>
            <w:tcBorders>
              <w:top w:val="nil"/>
              <w:left w:val="nil"/>
              <w:bottom w:val="single" w:sz="4" w:space="0" w:color="auto"/>
              <w:right w:val="single" w:sz="4" w:space="0" w:color="auto"/>
            </w:tcBorders>
            <w:shd w:val="clear" w:color="auto" w:fill="auto"/>
            <w:vAlign w:val="center"/>
          </w:tcPr>
          <w:p w:rsidR="00104BBD" w:rsidRDefault="002E3E01">
            <w:pPr>
              <w:widowControl/>
              <w:autoSpaceDE/>
              <w:autoSpaceDN/>
              <w:jc w:val="center"/>
            </w:pPr>
            <w:r>
              <w:rPr>
                <w:rFonts w:hint="eastAsia"/>
              </w:rPr>
              <w:t>科创增强</w:t>
            </w:r>
          </w:p>
        </w:tc>
        <w:tc>
          <w:tcPr>
            <w:tcW w:w="910" w:type="pct"/>
            <w:tcBorders>
              <w:top w:val="nil"/>
              <w:left w:val="nil"/>
              <w:bottom w:val="single" w:sz="4" w:space="0" w:color="auto"/>
              <w:right w:val="single" w:sz="4" w:space="0" w:color="auto"/>
            </w:tcBorders>
            <w:shd w:val="clear" w:color="auto" w:fill="auto"/>
            <w:vAlign w:val="center"/>
          </w:tcPr>
          <w:p w:rsidR="00104BBD" w:rsidRDefault="002E3E01">
            <w:pPr>
              <w:widowControl/>
              <w:autoSpaceDE/>
              <w:autoSpaceDN/>
              <w:jc w:val="center"/>
            </w:pPr>
            <w:r>
              <w:rPr>
                <w:rFonts w:hint="eastAsia"/>
              </w:rPr>
              <w:t>科创50增强ETF</w:t>
            </w:r>
          </w:p>
        </w:tc>
      </w:tr>
      <w:tr w:rsidR="00104BBD">
        <w:trPr>
          <w:trHeight w:val="660"/>
        </w:trPr>
        <w:tc>
          <w:tcPr>
            <w:tcW w:w="412" w:type="pct"/>
            <w:tcBorders>
              <w:top w:val="nil"/>
              <w:left w:val="single" w:sz="4" w:space="0" w:color="auto"/>
              <w:bottom w:val="single" w:sz="4" w:space="0" w:color="auto"/>
              <w:right w:val="single" w:sz="4" w:space="0" w:color="auto"/>
            </w:tcBorders>
            <w:shd w:val="clear" w:color="auto" w:fill="auto"/>
            <w:vAlign w:val="center"/>
          </w:tcPr>
          <w:p w:rsidR="00104BBD" w:rsidRDefault="002E3E01">
            <w:pPr>
              <w:widowControl/>
              <w:autoSpaceDE/>
              <w:autoSpaceDN/>
              <w:jc w:val="center"/>
              <w:rPr>
                <w:sz w:val="24"/>
                <w:szCs w:val="24"/>
              </w:rPr>
            </w:pPr>
            <w:r>
              <w:rPr>
                <w:rFonts w:hint="eastAsia"/>
                <w:sz w:val="24"/>
                <w:szCs w:val="24"/>
              </w:rPr>
              <w:t>9</w:t>
            </w:r>
          </w:p>
        </w:tc>
        <w:tc>
          <w:tcPr>
            <w:tcW w:w="649" w:type="pct"/>
            <w:tcBorders>
              <w:top w:val="nil"/>
              <w:left w:val="nil"/>
              <w:bottom w:val="single" w:sz="4" w:space="0" w:color="auto"/>
              <w:right w:val="single" w:sz="4" w:space="0" w:color="auto"/>
            </w:tcBorders>
            <w:shd w:val="clear" w:color="auto" w:fill="auto"/>
            <w:vAlign w:val="center"/>
          </w:tcPr>
          <w:p w:rsidR="00104BBD" w:rsidRDefault="002E3E01">
            <w:pPr>
              <w:widowControl/>
              <w:autoSpaceDE/>
              <w:autoSpaceDN/>
              <w:jc w:val="center"/>
            </w:pPr>
            <w:r>
              <w:rPr>
                <w:rFonts w:hint="eastAsia"/>
              </w:rPr>
              <w:t>588830</w:t>
            </w:r>
          </w:p>
        </w:tc>
        <w:tc>
          <w:tcPr>
            <w:tcW w:w="2349" w:type="pct"/>
            <w:tcBorders>
              <w:top w:val="nil"/>
              <w:left w:val="nil"/>
              <w:bottom w:val="single" w:sz="4" w:space="0" w:color="auto"/>
              <w:right w:val="single" w:sz="4" w:space="0" w:color="auto"/>
            </w:tcBorders>
            <w:shd w:val="clear" w:color="auto" w:fill="auto"/>
            <w:vAlign w:val="center"/>
          </w:tcPr>
          <w:p w:rsidR="00104BBD" w:rsidRDefault="002E3E01">
            <w:pPr>
              <w:widowControl/>
              <w:autoSpaceDE/>
              <w:autoSpaceDN/>
            </w:pPr>
            <w:r>
              <w:rPr>
                <w:rFonts w:hint="eastAsia"/>
              </w:rPr>
              <w:t>鹏华上证科创板新能源交易型开放式指数证券投资基金</w:t>
            </w:r>
          </w:p>
        </w:tc>
        <w:tc>
          <w:tcPr>
            <w:tcW w:w="681" w:type="pct"/>
            <w:tcBorders>
              <w:top w:val="nil"/>
              <w:left w:val="nil"/>
              <w:bottom w:val="single" w:sz="4" w:space="0" w:color="auto"/>
              <w:right w:val="single" w:sz="4" w:space="0" w:color="auto"/>
            </w:tcBorders>
            <w:shd w:val="clear" w:color="auto" w:fill="auto"/>
            <w:vAlign w:val="center"/>
          </w:tcPr>
          <w:p w:rsidR="00104BBD" w:rsidRDefault="002E3E01">
            <w:pPr>
              <w:widowControl/>
              <w:autoSpaceDE/>
              <w:autoSpaceDN/>
              <w:jc w:val="center"/>
            </w:pPr>
            <w:r>
              <w:rPr>
                <w:rFonts w:hint="eastAsia"/>
              </w:rPr>
              <w:t>科创新能</w:t>
            </w:r>
          </w:p>
        </w:tc>
        <w:tc>
          <w:tcPr>
            <w:tcW w:w="910" w:type="pct"/>
            <w:tcBorders>
              <w:top w:val="nil"/>
              <w:left w:val="nil"/>
              <w:bottom w:val="single" w:sz="4" w:space="0" w:color="auto"/>
              <w:right w:val="single" w:sz="4" w:space="0" w:color="auto"/>
            </w:tcBorders>
            <w:shd w:val="clear" w:color="auto" w:fill="auto"/>
            <w:vAlign w:val="center"/>
          </w:tcPr>
          <w:p w:rsidR="00104BBD" w:rsidRDefault="002E3E01">
            <w:pPr>
              <w:widowControl/>
              <w:autoSpaceDE/>
              <w:autoSpaceDN/>
              <w:jc w:val="center"/>
            </w:pPr>
            <w:r>
              <w:rPr>
                <w:rFonts w:hint="eastAsia"/>
              </w:rPr>
              <w:t>科创新能源ETF</w:t>
            </w:r>
          </w:p>
        </w:tc>
      </w:tr>
      <w:tr w:rsidR="00104BBD">
        <w:trPr>
          <w:trHeight w:val="660"/>
        </w:trPr>
        <w:tc>
          <w:tcPr>
            <w:tcW w:w="412" w:type="pct"/>
            <w:tcBorders>
              <w:top w:val="nil"/>
              <w:left w:val="single" w:sz="4" w:space="0" w:color="auto"/>
              <w:bottom w:val="single" w:sz="4" w:space="0" w:color="auto"/>
              <w:right w:val="single" w:sz="4" w:space="0" w:color="auto"/>
            </w:tcBorders>
            <w:shd w:val="clear" w:color="auto" w:fill="auto"/>
            <w:vAlign w:val="center"/>
          </w:tcPr>
          <w:p w:rsidR="00104BBD" w:rsidRDefault="002E3E01">
            <w:pPr>
              <w:widowControl/>
              <w:autoSpaceDE/>
              <w:autoSpaceDN/>
              <w:jc w:val="center"/>
              <w:rPr>
                <w:sz w:val="24"/>
                <w:szCs w:val="24"/>
              </w:rPr>
            </w:pPr>
            <w:r>
              <w:rPr>
                <w:rFonts w:hint="eastAsia"/>
                <w:sz w:val="24"/>
                <w:szCs w:val="24"/>
              </w:rPr>
              <w:t>10</w:t>
            </w:r>
          </w:p>
        </w:tc>
        <w:tc>
          <w:tcPr>
            <w:tcW w:w="649" w:type="pct"/>
            <w:tcBorders>
              <w:top w:val="nil"/>
              <w:left w:val="nil"/>
              <w:bottom w:val="single" w:sz="4" w:space="0" w:color="auto"/>
              <w:right w:val="single" w:sz="4" w:space="0" w:color="auto"/>
            </w:tcBorders>
            <w:shd w:val="clear" w:color="auto" w:fill="auto"/>
            <w:vAlign w:val="center"/>
          </w:tcPr>
          <w:p w:rsidR="00104BBD" w:rsidRDefault="002E3E01">
            <w:pPr>
              <w:widowControl/>
              <w:autoSpaceDE/>
              <w:autoSpaceDN/>
              <w:jc w:val="center"/>
            </w:pPr>
            <w:r>
              <w:rPr>
                <w:rFonts w:hint="eastAsia"/>
              </w:rPr>
              <w:t>588920</w:t>
            </w:r>
          </w:p>
        </w:tc>
        <w:tc>
          <w:tcPr>
            <w:tcW w:w="2349" w:type="pct"/>
            <w:tcBorders>
              <w:top w:val="nil"/>
              <w:left w:val="nil"/>
              <w:bottom w:val="single" w:sz="4" w:space="0" w:color="auto"/>
              <w:right w:val="single" w:sz="4" w:space="0" w:color="auto"/>
            </w:tcBorders>
            <w:shd w:val="clear" w:color="auto" w:fill="auto"/>
            <w:vAlign w:val="center"/>
          </w:tcPr>
          <w:p w:rsidR="00104BBD" w:rsidRDefault="002E3E01">
            <w:pPr>
              <w:widowControl/>
              <w:autoSpaceDE/>
              <w:autoSpaceDN/>
            </w:pPr>
            <w:r>
              <w:rPr>
                <w:rFonts w:hint="eastAsia"/>
              </w:rPr>
              <w:t>鹏华上证科创板芯片交易型开放式指数证券投资基金</w:t>
            </w:r>
          </w:p>
        </w:tc>
        <w:tc>
          <w:tcPr>
            <w:tcW w:w="681" w:type="pct"/>
            <w:tcBorders>
              <w:top w:val="nil"/>
              <w:left w:val="nil"/>
              <w:bottom w:val="single" w:sz="4" w:space="0" w:color="auto"/>
              <w:right w:val="single" w:sz="4" w:space="0" w:color="auto"/>
            </w:tcBorders>
            <w:shd w:val="clear" w:color="auto" w:fill="auto"/>
            <w:vAlign w:val="center"/>
          </w:tcPr>
          <w:p w:rsidR="00104BBD" w:rsidRDefault="002E3E01">
            <w:pPr>
              <w:widowControl/>
              <w:autoSpaceDE/>
              <w:autoSpaceDN/>
              <w:jc w:val="center"/>
            </w:pPr>
            <w:r>
              <w:rPr>
                <w:rFonts w:hint="eastAsia"/>
              </w:rPr>
              <w:t>KC芯片</w:t>
            </w:r>
          </w:p>
        </w:tc>
        <w:tc>
          <w:tcPr>
            <w:tcW w:w="910" w:type="pct"/>
            <w:tcBorders>
              <w:top w:val="nil"/>
              <w:left w:val="nil"/>
              <w:bottom w:val="single" w:sz="4" w:space="0" w:color="auto"/>
              <w:right w:val="single" w:sz="4" w:space="0" w:color="auto"/>
            </w:tcBorders>
            <w:shd w:val="clear" w:color="auto" w:fill="auto"/>
            <w:vAlign w:val="center"/>
          </w:tcPr>
          <w:p w:rsidR="00104BBD" w:rsidRDefault="002E3E01">
            <w:pPr>
              <w:widowControl/>
              <w:autoSpaceDE/>
              <w:autoSpaceDN/>
              <w:jc w:val="center"/>
            </w:pPr>
            <w:r>
              <w:rPr>
                <w:rFonts w:hint="eastAsia"/>
              </w:rPr>
              <w:t>科创芯片ETF指数</w:t>
            </w:r>
          </w:p>
        </w:tc>
      </w:tr>
      <w:tr w:rsidR="00104BBD">
        <w:trPr>
          <w:trHeight w:val="660"/>
        </w:trPr>
        <w:tc>
          <w:tcPr>
            <w:tcW w:w="412" w:type="pct"/>
            <w:tcBorders>
              <w:top w:val="nil"/>
              <w:left w:val="single" w:sz="4" w:space="0" w:color="auto"/>
              <w:bottom w:val="single" w:sz="4" w:space="0" w:color="auto"/>
              <w:right w:val="single" w:sz="4" w:space="0" w:color="auto"/>
            </w:tcBorders>
            <w:shd w:val="clear" w:color="auto" w:fill="auto"/>
            <w:vAlign w:val="center"/>
          </w:tcPr>
          <w:p w:rsidR="00104BBD" w:rsidRDefault="002E3E01">
            <w:pPr>
              <w:widowControl/>
              <w:autoSpaceDE/>
              <w:autoSpaceDN/>
              <w:jc w:val="center"/>
              <w:rPr>
                <w:sz w:val="24"/>
                <w:szCs w:val="24"/>
              </w:rPr>
            </w:pPr>
            <w:r>
              <w:rPr>
                <w:rFonts w:hint="eastAsia"/>
                <w:sz w:val="24"/>
                <w:szCs w:val="24"/>
              </w:rPr>
              <w:t>11</w:t>
            </w:r>
          </w:p>
        </w:tc>
        <w:tc>
          <w:tcPr>
            <w:tcW w:w="649" w:type="pct"/>
            <w:tcBorders>
              <w:top w:val="nil"/>
              <w:left w:val="nil"/>
              <w:bottom w:val="single" w:sz="4" w:space="0" w:color="auto"/>
              <w:right w:val="single" w:sz="4" w:space="0" w:color="auto"/>
            </w:tcBorders>
            <w:shd w:val="clear" w:color="auto" w:fill="auto"/>
            <w:vAlign w:val="center"/>
          </w:tcPr>
          <w:p w:rsidR="00104BBD" w:rsidRDefault="002E3E01">
            <w:pPr>
              <w:widowControl/>
              <w:autoSpaceDE/>
              <w:autoSpaceDN/>
              <w:jc w:val="center"/>
            </w:pPr>
            <w:r>
              <w:rPr>
                <w:rFonts w:hint="eastAsia"/>
              </w:rPr>
              <w:t>589020</w:t>
            </w:r>
          </w:p>
        </w:tc>
        <w:tc>
          <w:tcPr>
            <w:tcW w:w="2349" w:type="pct"/>
            <w:tcBorders>
              <w:top w:val="nil"/>
              <w:left w:val="nil"/>
              <w:bottom w:val="single" w:sz="4" w:space="0" w:color="auto"/>
              <w:right w:val="single" w:sz="4" w:space="0" w:color="auto"/>
            </w:tcBorders>
            <w:shd w:val="clear" w:color="auto" w:fill="auto"/>
            <w:vAlign w:val="center"/>
          </w:tcPr>
          <w:p w:rsidR="00104BBD" w:rsidRDefault="002E3E01">
            <w:pPr>
              <w:widowControl/>
              <w:autoSpaceDE/>
              <w:autoSpaceDN/>
            </w:pPr>
            <w:r>
              <w:rPr>
                <w:rFonts w:hint="eastAsia"/>
              </w:rPr>
              <w:t>鹏华上证科创板半导体材料设备主题交易型开放式指数证券投资基金</w:t>
            </w:r>
          </w:p>
        </w:tc>
        <w:tc>
          <w:tcPr>
            <w:tcW w:w="681" w:type="pct"/>
            <w:tcBorders>
              <w:top w:val="nil"/>
              <w:left w:val="nil"/>
              <w:bottom w:val="single" w:sz="4" w:space="0" w:color="auto"/>
              <w:right w:val="single" w:sz="4" w:space="0" w:color="auto"/>
            </w:tcBorders>
            <w:shd w:val="clear" w:color="auto" w:fill="auto"/>
            <w:vAlign w:val="center"/>
          </w:tcPr>
          <w:p w:rsidR="00104BBD" w:rsidRDefault="002E3E01">
            <w:pPr>
              <w:widowControl/>
              <w:autoSpaceDE/>
              <w:autoSpaceDN/>
              <w:jc w:val="center"/>
            </w:pPr>
            <w:r>
              <w:rPr>
                <w:rFonts w:hint="eastAsia"/>
              </w:rPr>
              <w:t>KC半导体</w:t>
            </w:r>
          </w:p>
        </w:tc>
        <w:tc>
          <w:tcPr>
            <w:tcW w:w="910" w:type="pct"/>
            <w:tcBorders>
              <w:top w:val="nil"/>
              <w:left w:val="nil"/>
              <w:bottom w:val="single" w:sz="4" w:space="0" w:color="auto"/>
              <w:right w:val="single" w:sz="4" w:space="0" w:color="auto"/>
            </w:tcBorders>
            <w:shd w:val="clear" w:color="auto" w:fill="auto"/>
            <w:vAlign w:val="center"/>
          </w:tcPr>
          <w:p w:rsidR="00104BBD" w:rsidRDefault="002E3E01">
            <w:pPr>
              <w:widowControl/>
              <w:autoSpaceDE/>
              <w:autoSpaceDN/>
              <w:jc w:val="center"/>
            </w:pPr>
            <w:r>
              <w:rPr>
                <w:rFonts w:hint="eastAsia"/>
              </w:rPr>
              <w:t>科创半导体ETF鹏华</w:t>
            </w:r>
          </w:p>
        </w:tc>
      </w:tr>
      <w:tr w:rsidR="00104BBD">
        <w:trPr>
          <w:trHeight w:val="660"/>
        </w:trPr>
        <w:tc>
          <w:tcPr>
            <w:tcW w:w="412" w:type="pct"/>
            <w:tcBorders>
              <w:top w:val="nil"/>
              <w:left w:val="single" w:sz="4" w:space="0" w:color="auto"/>
              <w:bottom w:val="single" w:sz="4" w:space="0" w:color="auto"/>
              <w:right w:val="single" w:sz="4" w:space="0" w:color="auto"/>
            </w:tcBorders>
            <w:shd w:val="clear" w:color="auto" w:fill="auto"/>
            <w:vAlign w:val="center"/>
          </w:tcPr>
          <w:p w:rsidR="00104BBD" w:rsidRDefault="002E3E01">
            <w:pPr>
              <w:widowControl/>
              <w:autoSpaceDE/>
              <w:autoSpaceDN/>
              <w:jc w:val="center"/>
              <w:rPr>
                <w:sz w:val="24"/>
                <w:szCs w:val="24"/>
              </w:rPr>
            </w:pPr>
            <w:r>
              <w:rPr>
                <w:rFonts w:hint="eastAsia"/>
                <w:sz w:val="24"/>
                <w:szCs w:val="24"/>
              </w:rPr>
              <w:t>12</w:t>
            </w:r>
          </w:p>
        </w:tc>
        <w:tc>
          <w:tcPr>
            <w:tcW w:w="649" w:type="pct"/>
            <w:tcBorders>
              <w:top w:val="nil"/>
              <w:left w:val="nil"/>
              <w:bottom w:val="single" w:sz="4" w:space="0" w:color="auto"/>
              <w:right w:val="single" w:sz="4" w:space="0" w:color="auto"/>
            </w:tcBorders>
            <w:shd w:val="clear" w:color="auto" w:fill="auto"/>
            <w:vAlign w:val="center"/>
          </w:tcPr>
          <w:p w:rsidR="00104BBD" w:rsidRDefault="002E3E01">
            <w:pPr>
              <w:widowControl/>
              <w:autoSpaceDE/>
              <w:autoSpaceDN/>
              <w:jc w:val="center"/>
            </w:pPr>
            <w:r>
              <w:rPr>
                <w:rFonts w:hint="eastAsia"/>
              </w:rPr>
              <w:t>589090</w:t>
            </w:r>
          </w:p>
        </w:tc>
        <w:tc>
          <w:tcPr>
            <w:tcW w:w="2349" w:type="pct"/>
            <w:tcBorders>
              <w:top w:val="nil"/>
              <w:left w:val="nil"/>
              <w:bottom w:val="single" w:sz="4" w:space="0" w:color="auto"/>
              <w:right w:val="single" w:sz="4" w:space="0" w:color="auto"/>
            </w:tcBorders>
            <w:shd w:val="clear" w:color="auto" w:fill="auto"/>
            <w:vAlign w:val="center"/>
          </w:tcPr>
          <w:p w:rsidR="00104BBD" w:rsidRDefault="002E3E01">
            <w:pPr>
              <w:widowControl/>
              <w:autoSpaceDE/>
              <w:autoSpaceDN/>
            </w:pPr>
            <w:r>
              <w:rPr>
                <w:rFonts w:hint="eastAsia"/>
              </w:rPr>
              <w:t>鹏华上证科创板人工智能交易型开放式指数证券投资基金</w:t>
            </w:r>
          </w:p>
        </w:tc>
        <w:tc>
          <w:tcPr>
            <w:tcW w:w="681" w:type="pct"/>
            <w:tcBorders>
              <w:top w:val="nil"/>
              <w:left w:val="nil"/>
              <w:bottom w:val="single" w:sz="4" w:space="0" w:color="auto"/>
              <w:right w:val="single" w:sz="4" w:space="0" w:color="auto"/>
            </w:tcBorders>
            <w:shd w:val="clear" w:color="auto" w:fill="auto"/>
            <w:vAlign w:val="center"/>
          </w:tcPr>
          <w:p w:rsidR="00104BBD" w:rsidRDefault="002E3E01">
            <w:pPr>
              <w:widowControl/>
              <w:autoSpaceDE/>
              <w:autoSpaceDN/>
              <w:jc w:val="center"/>
            </w:pPr>
            <w:r>
              <w:rPr>
                <w:rFonts w:hint="eastAsia"/>
              </w:rPr>
              <w:t>KCAI</w:t>
            </w:r>
          </w:p>
        </w:tc>
        <w:tc>
          <w:tcPr>
            <w:tcW w:w="910" w:type="pct"/>
            <w:tcBorders>
              <w:top w:val="nil"/>
              <w:left w:val="nil"/>
              <w:bottom w:val="single" w:sz="4" w:space="0" w:color="auto"/>
              <w:right w:val="single" w:sz="4" w:space="0" w:color="auto"/>
            </w:tcBorders>
            <w:shd w:val="clear" w:color="auto" w:fill="auto"/>
            <w:vAlign w:val="center"/>
          </w:tcPr>
          <w:p w:rsidR="00104BBD" w:rsidRDefault="002E3E01">
            <w:pPr>
              <w:widowControl/>
              <w:autoSpaceDE/>
              <w:autoSpaceDN/>
              <w:jc w:val="center"/>
            </w:pPr>
            <w:r>
              <w:rPr>
                <w:rFonts w:hint="eastAsia"/>
              </w:rPr>
              <w:t>科创AIETF鹏华</w:t>
            </w:r>
          </w:p>
        </w:tc>
      </w:tr>
      <w:tr w:rsidR="00104BBD">
        <w:trPr>
          <w:trHeight w:val="660"/>
        </w:trPr>
        <w:tc>
          <w:tcPr>
            <w:tcW w:w="412" w:type="pct"/>
            <w:tcBorders>
              <w:top w:val="nil"/>
              <w:left w:val="single" w:sz="4" w:space="0" w:color="auto"/>
              <w:bottom w:val="single" w:sz="4" w:space="0" w:color="auto"/>
              <w:right w:val="single" w:sz="4" w:space="0" w:color="auto"/>
            </w:tcBorders>
            <w:shd w:val="clear" w:color="auto" w:fill="auto"/>
            <w:vAlign w:val="center"/>
          </w:tcPr>
          <w:p w:rsidR="00104BBD" w:rsidRDefault="002E3E01">
            <w:pPr>
              <w:widowControl/>
              <w:autoSpaceDE/>
              <w:autoSpaceDN/>
              <w:jc w:val="center"/>
              <w:rPr>
                <w:sz w:val="24"/>
                <w:szCs w:val="24"/>
              </w:rPr>
            </w:pPr>
            <w:r>
              <w:rPr>
                <w:rFonts w:hint="eastAsia"/>
                <w:sz w:val="24"/>
                <w:szCs w:val="24"/>
              </w:rPr>
              <w:t>13</w:t>
            </w:r>
          </w:p>
        </w:tc>
        <w:tc>
          <w:tcPr>
            <w:tcW w:w="649" w:type="pct"/>
            <w:tcBorders>
              <w:top w:val="nil"/>
              <w:left w:val="nil"/>
              <w:bottom w:val="single" w:sz="4" w:space="0" w:color="auto"/>
              <w:right w:val="single" w:sz="4" w:space="0" w:color="auto"/>
            </w:tcBorders>
            <w:shd w:val="clear" w:color="auto" w:fill="auto"/>
            <w:vAlign w:val="center"/>
          </w:tcPr>
          <w:p w:rsidR="00104BBD" w:rsidRDefault="002E3E01">
            <w:pPr>
              <w:widowControl/>
              <w:autoSpaceDE/>
              <w:autoSpaceDN/>
              <w:jc w:val="center"/>
            </w:pPr>
            <w:r>
              <w:rPr>
                <w:rFonts w:hint="eastAsia"/>
              </w:rPr>
              <w:t>589680</w:t>
            </w:r>
          </w:p>
        </w:tc>
        <w:tc>
          <w:tcPr>
            <w:tcW w:w="2349" w:type="pct"/>
            <w:tcBorders>
              <w:top w:val="nil"/>
              <w:left w:val="nil"/>
              <w:bottom w:val="single" w:sz="4" w:space="0" w:color="auto"/>
              <w:right w:val="single" w:sz="4" w:space="0" w:color="auto"/>
            </w:tcBorders>
            <w:shd w:val="clear" w:color="auto" w:fill="auto"/>
            <w:vAlign w:val="center"/>
          </w:tcPr>
          <w:p w:rsidR="00104BBD" w:rsidRDefault="002E3E01">
            <w:pPr>
              <w:widowControl/>
              <w:autoSpaceDE/>
              <w:autoSpaceDN/>
            </w:pPr>
            <w:r>
              <w:rPr>
                <w:rFonts w:hint="eastAsia"/>
              </w:rPr>
              <w:t>鹏华上证科创板综合交易型开放式指数证券投资基金</w:t>
            </w:r>
          </w:p>
        </w:tc>
        <w:tc>
          <w:tcPr>
            <w:tcW w:w="681" w:type="pct"/>
            <w:tcBorders>
              <w:top w:val="nil"/>
              <w:left w:val="nil"/>
              <w:bottom w:val="single" w:sz="4" w:space="0" w:color="auto"/>
              <w:right w:val="single" w:sz="4" w:space="0" w:color="auto"/>
            </w:tcBorders>
            <w:shd w:val="clear" w:color="auto" w:fill="auto"/>
            <w:vAlign w:val="center"/>
          </w:tcPr>
          <w:p w:rsidR="00104BBD" w:rsidRDefault="002E3E01">
            <w:pPr>
              <w:widowControl/>
              <w:autoSpaceDE/>
              <w:autoSpaceDN/>
              <w:jc w:val="center"/>
            </w:pPr>
            <w:r>
              <w:rPr>
                <w:rFonts w:hint="eastAsia"/>
              </w:rPr>
              <w:t>科创综Z</w:t>
            </w:r>
          </w:p>
        </w:tc>
        <w:tc>
          <w:tcPr>
            <w:tcW w:w="910" w:type="pct"/>
            <w:tcBorders>
              <w:top w:val="nil"/>
              <w:left w:val="nil"/>
              <w:bottom w:val="single" w:sz="4" w:space="0" w:color="auto"/>
              <w:right w:val="single" w:sz="4" w:space="0" w:color="auto"/>
            </w:tcBorders>
            <w:shd w:val="clear" w:color="auto" w:fill="auto"/>
            <w:vAlign w:val="center"/>
          </w:tcPr>
          <w:p w:rsidR="00104BBD" w:rsidRDefault="002E3E01">
            <w:pPr>
              <w:widowControl/>
              <w:autoSpaceDE/>
              <w:autoSpaceDN/>
              <w:jc w:val="center"/>
            </w:pPr>
            <w:r>
              <w:rPr>
                <w:rFonts w:hint="eastAsia"/>
              </w:rPr>
              <w:t>科创综指ETF鹏华</w:t>
            </w:r>
          </w:p>
        </w:tc>
      </w:tr>
      <w:tr w:rsidR="00104BBD">
        <w:trPr>
          <w:trHeight w:val="660"/>
        </w:trPr>
        <w:tc>
          <w:tcPr>
            <w:tcW w:w="412" w:type="pct"/>
            <w:tcBorders>
              <w:top w:val="nil"/>
              <w:left w:val="single" w:sz="4" w:space="0" w:color="auto"/>
              <w:bottom w:val="single" w:sz="4" w:space="0" w:color="auto"/>
              <w:right w:val="single" w:sz="4" w:space="0" w:color="auto"/>
            </w:tcBorders>
            <w:shd w:val="clear" w:color="auto" w:fill="auto"/>
            <w:vAlign w:val="center"/>
          </w:tcPr>
          <w:p w:rsidR="00104BBD" w:rsidRDefault="002E3E01">
            <w:pPr>
              <w:widowControl/>
              <w:autoSpaceDE/>
              <w:autoSpaceDN/>
              <w:jc w:val="center"/>
              <w:rPr>
                <w:sz w:val="24"/>
                <w:szCs w:val="24"/>
              </w:rPr>
            </w:pPr>
            <w:r>
              <w:rPr>
                <w:rFonts w:hint="eastAsia"/>
                <w:sz w:val="24"/>
                <w:szCs w:val="24"/>
              </w:rPr>
              <w:lastRenderedPageBreak/>
              <w:t>14</w:t>
            </w:r>
          </w:p>
        </w:tc>
        <w:tc>
          <w:tcPr>
            <w:tcW w:w="649" w:type="pct"/>
            <w:tcBorders>
              <w:top w:val="nil"/>
              <w:left w:val="nil"/>
              <w:bottom w:val="single" w:sz="4" w:space="0" w:color="auto"/>
              <w:right w:val="single" w:sz="4" w:space="0" w:color="auto"/>
            </w:tcBorders>
            <w:shd w:val="clear" w:color="auto" w:fill="auto"/>
            <w:vAlign w:val="center"/>
          </w:tcPr>
          <w:p w:rsidR="00104BBD" w:rsidRDefault="002E3E01">
            <w:pPr>
              <w:widowControl/>
              <w:autoSpaceDE/>
              <w:autoSpaceDN/>
              <w:jc w:val="center"/>
            </w:pPr>
            <w:r>
              <w:rPr>
                <w:rFonts w:hint="eastAsia"/>
              </w:rPr>
              <w:t>512020</w:t>
            </w:r>
          </w:p>
        </w:tc>
        <w:tc>
          <w:tcPr>
            <w:tcW w:w="2349" w:type="pct"/>
            <w:tcBorders>
              <w:top w:val="nil"/>
              <w:left w:val="nil"/>
              <w:bottom w:val="single" w:sz="4" w:space="0" w:color="auto"/>
              <w:right w:val="single" w:sz="4" w:space="0" w:color="auto"/>
            </w:tcBorders>
            <w:shd w:val="clear" w:color="auto" w:fill="auto"/>
            <w:vAlign w:val="center"/>
          </w:tcPr>
          <w:p w:rsidR="00104BBD" w:rsidRDefault="002E3E01">
            <w:pPr>
              <w:widowControl/>
              <w:autoSpaceDE/>
              <w:autoSpaceDN/>
            </w:pPr>
            <w:r>
              <w:rPr>
                <w:rFonts w:hint="eastAsia"/>
              </w:rPr>
              <w:t>鹏华中证A500交易型开放式指数证券投资基金</w:t>
            </w:r>
          </w:p>
        </w:tc>
        <w:tc>
          <w:tcPr>
            <w:tcW w:w="681" w:type="pct"/>
            <w:tcBorders>
              <w:top w:val="nil"/>
              <w:left w:val="nil"/>
              <w:bottom w:val="single" w:sz="4" w:space="0" w:color="auto"/>
              <w:right w:val="single" w:sz="4" w:space="0" w:color="auto"/>
            </w:tcBorders>
            <w:shd w:val="clear" w:color="auto" w:fill="auto"/>
            <w:vAlign w:val="center"/>
          </w:tcPr>
          <w:p w:rsidR="00104BBD" w:rsidRDefault="002E3E01">
            <w:pPr>
              <w:widowControl/>
              <w:autoSpaceDE/>
              <w:autoSpaceDN/>
              <w:jc w:val="center"/>
            </w:pPr>
            <w:r>
              <w:rPr>
                <w:rFonts w:hint="eastAsia"/>
              </w:rPr>
              <w:t>A500</w:t>
            </w:r>
          </w:p>
        </w:tc>
        <w:tc>
          <w:tcPr>
            <w:tcW w:w="910" w:type="pct"/>
            <w:tcBorders>
              <w:top w:val="nil"/>
              <w:left w:val="nil"/>
              <w:bottom w:val="single" w:sz="4" w:space="0" w:color="auto"/>
              <w:right w:val="single" w:sz="4" w:space="0" w:color="auto"/>
            </w:tcBorders>
            <w:shd w:val="clear" w:color="auto" w:fill="auto"/>
            <w:vAlign w:val="center"/>
          </w:tcPr>
          <w:p w:rsidR="00104BBD" w:rsidRDefault="002E3E01">
            <w:pPr>
              <w:widowControl/>
              <w:autoSpaceDE/>
              <w:autoSpaceDN/>
              <w:jc w:val="center"/>
            </w:pPr>
            <w:r>
              <w:rPr>
                <w:rFonts w:hint="eastAsia"/>
              </w:rPr>
              <w:t>A500ETF指数</w:t>
            </w:r>
          </w:p>
        </w:tc>
      </w:tr>
      <w:tr w:rsidR="00104BBD">
        <w:trPr>
          <w:trHeight w:val="660"/>
        </w:trPr>
        <w:tc>
          <w:tcPr>
            <w:tcW w:w="412" w:type="pct"/>
            <w:tcBorders>
              <w:top w:val="nil"/>
              <w:left w:val="single" w:sz="4" w:space="0" w:color="auto"/>
              <w:bottom w:val="single" w:sz="4" w:space="0" w:color="auto"/>
              <w:right w:val="single" w:sz="4" w:space="0" w:color="auto"/>
            </w:tcBorders>
            <w:shd w:val="clear" w:color="auto" w:fill="auto"/>
            <w:vAlign w:val="center"/>
          </w:tcPr>
          <w:p w:rsidR="00104BBD" w:rsidRDefault="002E3E01">
            <w:pPr>
              <w:widowControl/>
              <w:autoSpaceDE/>
              <w:autoSpaceDN/>
              <w:jc w:val="center"/>
              <w:rPr>
                <w:sz w:val="24"/>
                <w:szCs w:val="24"/>
              </w:rPr>
            </w:pPr>
            <w:r>
              <w:rPr>
                <w:rFonts w:hint="eastAsia"/>
                <w:sz w:val="24"/>
                <w:szCs w:val="24"/>
              </w:rPr>
              <w:t>15</w:t>
            </w:r>
          </w:p>
        </w:tc>
        <w:tc>
          <w:tcPr>
            <w:tcW w:w="649" w:type="pct"/>
            <w:tcBorders>
              <w:top w:val="nil"/>
              <w:left w:val="nil"/>
              <w:bottom w:val="single" w:sz="4" w:space="0" w:color="auto"/>
              <w:right w:val="single" w:sz="4" w:space="0" w:color="auto"/>
            </w:tcBorders>
            <w:shd w:val="clear" w:color="auto" w:fill="auto"/>
            <w:vAlign w:val="center"/>
          </w:tcPr>
          <w:p w:rsidR="00104BBD" w:rsidRDefault="002E3E01">
            <w:pPr>
              <w:widowControl/>
              <w:autoSpaceDE/>
              <w:autoSpaceDN/>
              <w:jc w:val="center"/>
            </w:pPr>
            <w:r>
              <w:rPr>
                <w:rFonts w:hint="eastAsia"/>
              </w:rPr>
              <w:t>512130</w:t>
            </w:r>
          </w:p>
        </w:tc>
        <w:tc>
          <w:tcPr>
            <w:tcW w:w="2349" w:type="pct"/>
            <w:tcBorders>
              <w:top w:val="nil"/>
              <w:left w:val="nil"/>
              <w:bottom w:val="single" w:sz="4" w:space="0" w:color="auto"/>
              <w:right w:val="single" w:sz="4" w:space="0" w:color="auto"/>
            </w:tcBorders>
            <w:shd w:val="clear" w:color="auto" w:fill="auto"/>
            <w:vAlign w:val="center"/>
          </w:tcPr>
          <w:p w:rsidR="00104BBD" w:rsidRDefault="002E3E01">
            <w:pPr>
              <w:widowControl/>
              <w:autoSpaceDE/>
              <w:autoSpaceDN/>
            </w:pPr>
            <w:r>
              <w:rPr>
                <w:rFonts w:hint="eastAsia"/>
              </w:rPr>
              <w:t>鹏华中证全指自由现金流交易型开放式指数证券投资基金</w:t>
            </w:r>
          </w:p>
        </w:tc>
        <w:tc>
          <w:tcPr>
            <w:tcW w:w="681" w:type="pct"/>
            <w:tcBorders>
              <w:top w:val="nil"/>
              <w:left w:val="nil"/>
              <w:bottom w:val="single" w:sz="4" w:space="0" w:color="auto"/>
              <w:right w:val="single" w:sz="4" w:space="0" w:color="auto"/>
            </w:tcBorders>
            <w:shd w:val="clear" w:color="auto" w:fill="auto"/>
            <w:vAlign w:val="center"/>
          </w:tcPr>
          <w:p w:rsidR="00104BBD" w:rsidRDefault="002E3E01">
            <w:pPr>
              <w:widowControl/>
              <w:autoSpaceDE/>
              <w:autoSpaceDN/>
              <w:jc w:val="center"/>
            </w:pPr>
            <w:r>
              <w:rPr>
                <w:rFonts w:hint="eastAsia"/>
              </w:rPr>
              <w:t>现金全指</w:t>
            </w:r>
          </w:p>
        </w:tc>
        <w:tc>
          <w:tcPr>
            <w:tcW w:w="910" w:type="pct"/>
            <w:tcBorders>
              <w:top w:val="nil"/>
              <w:left w:val="nil"/>
              <w:bottom w:val="single" w:sz="4" w:space="0" w:color="auto"/>
              <w:right w:val="single" w:sz="4" w:space="0" w:color="auto"/>
            </w:tcBorders>
            <w:shd w:val="clear" w:color="auto" w:fill="auto"/>
            <w:vAlign w:val="center"/>
          </w:tcPr>
          <w:p w:rsidR="00104BBD" w:rsidRDefault="002E3E01">
            <w:pPr>
              <w:widowControl/>
              <w:autoSpaceDE/>
              <w:autoSpaceDN/>
              <w:jc w:val="center"/>
            </w:pPr>
            <w:r>
              <w:rPr>
                <w:rFonts w:hint="eastAsia"/>
              </w:rPr>
              <w:t>全指现金流ETF鹏华</w:t>
            </w:r>
          </w:p>
        </w:tc>
      </w:tr>
      <w:tr w:rsidR="00104BBD">
        <w:trPr>
          <w:trHeight w:val="660"/>
        </w:trPr>
        <w:tc>
          <w:tcPr>
            <w:tcW w:w="412" w:type="pct"/>
            <w:tcBorders>
              <w:top w:val="nil"/>
              <w:left w:val="single" w:sz="4" w:space="0" w:color="auto"/>
              <w:bottom w:val="single" w:sz="4" w:space="0" w:color="auto"/>
              <w:right w:val="single" w:sz="4" w:space="0" w:color="auto"/>
            </w:tcBorders>
            <w:shd w:val="clear" w:color="auto" w:fill="auto"/>
            <w:vAlign w:val="center"/>
          </w:tcPr>
          <w:p w:rsidR="00104BBD" w:rsidRDefault="002E3E01">
            <w:pPr>
              <w:widowControl/>
              <w:autoSpaceDE/>
              <w:autoSpaceDN/>
              <w:jc w:val="center"/>
              <w:rPr>
                <w:sz w:val="24"/>
                <w:szCs w:val="24"/>
              </w:rPr>
            </w:pPr>
            <w:r>
              <w:rPr>
                <w:rFonts w:hint="eastAsia"/>
                <w:sz w:val="24"/>
                <w:szCs w:val="24"/>
              </w:rPr>
              <w:t>16</w:t>
            </w:r>
          </w:p>
        </w:tc>
        <w:tc>
          <w:tcPr>
            <w:tcW w:w="649" w:type="pct"/>
            <w:tcBorders>
              <w:top w:val="nil"/>
              <w:left w:val="nil"/>
              <w:bottom w:val="single" w:sz="4" w:space="0" w:color="auto"/>
              <w:right w:val="single" w:sz="4" w:space="0" w:color="auto"/>
            </w:tcBorders>
            <w:shd w:val="clear" w:color="auto" w:fill="auto"/>
            <w:vAlign w:val="center"/>
          </w:tcPr>
          <w:p w:rsidR="00104BBD" w:rsidRDefault="002E3E01">
            <w:pPr>
              <w:widowControl/>
              <w:autoSpaceDE/>
              <w:autoSpaceDN/>
              <w:jc w:val="center"/>
            </w:pPr>
            <w:r>
              <w:rPr>
                <w:rFonts w:hint="eastAsia"/>
              </w:rPr>
              <w:t>512240</w:t>
            </w:r>
          </w:p>
        </w:tc>
        <w:tc>
          <w:tcPr>
            <w:tcW w:w="2349" w:type="pct"/>
            <w:tcBorders>
              <w:top w:val="nil"/>
              <w:left w:val="nil"/>
              <w:bottom w:val="single" w:sz="4" w:space="0" w:color="auto"/>
              <w:right w:val="single" w:sz="4" w:space="0" w:color="auto"/>
            </w:tcBorders>
            <w:shd w:val="clear" w:color="auto" w:fill="auto"/>
            <w:vAlign w:val="center"/>
          </w:tcPr>
          <w:p w:rsidR="00104BBD" w:rsidRDefault="002E3E01">
            <w:pPr>
              <w:widowControl/>
              <w:autoSpaceDE/>
              <w:autoSpaceDN/>
            </w:pPr>
            <w:r>
              <w:rPr>
                <w:rFonts w:hint="eastAsia"/>
              </w:rPr>
              <w:t>鹏华中证A50交易型开放式指数证券投资基金</w:t>
            </w:r>
          </w:p>
        </w:tc>
        <w:tc>
          <w:tcPr>
            <w:tcW w:w="681" w:type="pct"/>
            <w:tcBorders>
              <w:top w:val="nil"/>
              <w:left w:val="nil"/>
              <w:bottom w:val="single" w:sz="4" w:space="0" w:color="auto"/>
              <w:right w:val="single" w:sz="4" w:space="0" w:color="auto"/>
            </w:tcBorders>
            <w:shd w:val="clear" w:color="auto" w:fill="auto"/>
            <w:vAlign w:val="center"/>
          </w:tcPr>
          <w:p w:rsidR="00104BBD" w:rsidRDefault="002E3E01">
            <w:pPr>
              <w:widowControl/>
              <w:autoSpaceDE/>
              <w:autoSpaceDN/>
              <w:jc w:val="center"/>
            </w:pPr>
            <w:r>
              <w:rPr>
                <w:rFonts w:hint="eastAsia"/>
              </w:rPr>
              <w:t>A50龙头</w:t>
            </w:r>
          </w:p>
        </w:tc>
        <w:tc>
          <w:tcPr>
            <w:tcW w:w="910" w:type="pct"/>
            <w:tcBorders>
              <w:top w:val="nil"/>
              <w:left w:val="nil"/>
              <w:bottom w:val="single" w:sz="4" w:space="0" w:color="auto"/>
              <w:right w:val="single" w:sz="4" w:space="0" w:color="auto"/>
            </w:tcBorders>
            <w:shd w:val="clear" w:color="auto" w:fill="auto"/>
            <w:vAlign w:val="center"/>
          </w:tcPr>
          <w:p w:rsidR="00104BBD" w:rsidRDefault="002E3E01">
            <w:pPr>
              <w:widowControl/>
              <w:autoSpaceDE/>
              <w:autoSpaceDN/>
              <w:jc w:val="center"/>
            </w:pPr>
            <w:r>
              <w:rPr>
                <w:rFonts w:hint="eastAsia"/>
              </w:rPr>
              <w:t>A50ETF龙头</w:t>
            </w:r>
          </w:p>
        </w:tc>
      </w:tr>
      <w:tr w:rsidR="00104BBD">
        <w:trPr>
          <w:trHeight w:val="660"/>
        </w:trPr>
        <w:tc>
          <w:tcPr>
            <w:tcW w:w="412" w:type="pct"/>
            <w:tcBorders>
              <w:top w:val="nil"/>
              <w:left w:val="single" w:sz="4" w:space="0" w:color="auto"/>
              <w:bottom w:val="single" w:sz="4" w:space="0" w:color="auto"/>
              <w:right w:val="single" w:sz="4" w:space="0" w:color="auto"/>
            </w:tcBorders>
            <w:shd w:val="clear" w:color="auto" w:fill="auto"/>
            <w:vAlign w:val="center"/>
          </w:tcPr>
          <w:p w:rsidR="00104BBD" w:rsidRDefault="002E3E01">
            <w:pPr>
              <w:widowControl/>
              <w:autoSpaceDE/>
              <w:autoSpaceDN/>
              <w:jc w:val="center"/>
              <w:rPr>
                <w:sz w:val="24"/>
                <w:szCs w:val="24"/>
              </w:rPr>
            </w:pPr>
            <w:r>
              <w:rPr>
                <w:rFonts w:hint="eastAsia"/>
                <w:sz w:val="24"/>
                <w:szCs w:val="24"/>
              </w:rPr>
              <w:t>17</w:t>
            </w:r>
          </w:p>
        </w:tc>
        <w:tc>
          <w:tcPr>
            <w:tcW w:w="649" w:type="pct"/>
            <w:tcBorders>
              <w:top w:val="nil"/>
              <w:left w:val="nil"/>
              <w:bottom w:val="single" w:sz="4" w:space="0" w:color="auto"/>
              <w:right w:val="single" w:sz="4" w:space="0" w:color="auto"/>
            </w:tcBorders>
            <w:shd w:val="clear" w:color="auto" w:fill="auto"/>
            <w:vAlign w:val="center"/>
          </w:tcPr>
          <w:p w:rsidR="00104BBD" w:rsidRDefault="002E3E01">
            <w:pPr>
              <w:widowControl/>
              <w:autoSpaceDE/>
              <w:autoSpaceDN/>
              <w:jc w:val="center"/>
            </w:pPr>
            <w:r>
              <w:rPr>
                <w:rFonts w:hint="eastAsia"/>
              </w:rPr>
              <w:t>512670</w:t>
            </w:r>
          </w:p>
        </w:tc>
        <w:tc>
          <w:tcPr>
            <w:tcW w:w="2349" w:type="pct"/>
            <w:tcBorders>
              <w:top w:val="nil"/>
              <w:left w:val="nil"/>
              <w:bottom w:val="single" w:sz="4" w:space="0" w:color="auto"/>
              <w:right w:val="single" w:sz="4" w:space="0" w:color="auto"/>
            </w:tcBorders>
            <w:shd w:val="clear" w:color="auto" w:fill="auto"/>
            <w:vAlign w:val="center"/>
          </w:tcPr>
          <w:p w:rsidR="00104BBD" w:rsidRDefault="002E3E01">
            <w:pPr>
              <w:widowControl/>
              <w:autoSpaceDE/>
              <w:autoSpaceDN/>
            </w:pPr>
            <w:r>
              <w:rPr>
                <w:rFonts w:hint="eastAsia"/>
              </w:rPr>
              <w:t>鹏华中证国防交易型开放式指数证券投资基金</w:t>
            </w:r>
          </w:p>
        </w:tc>
        <w:tc>
          <w:tcPr>
            <w:tcW w:w="681" w:type="pct"/>
            <w:tcBorders>
              <w:top w:val="nil"/>
              <w:left w:val="nil"/>
              <w:bottom w:val="single" w:sz="4" w:space="0" w:color="auto"/>
              <w:right w:val="single" w:sz="4" w:space="0" w:color="auto"/>
            </w:tcBorders>
            <w:shd w:val="clear" w:color="auto" w:fill="auto"/>
            <w:vAlign w:val="center"/>
          </w:tcPr>
          <w:p w:rsidR="00104BBD" w:rsidRDefault="002E3E01">
            <w:pPr>
              <w:widowControl/>
              <w:autoSpaceDE/>
              <w:autoSpaceDN/>
              <w:jc w:val="center"/>
            </w:pPr>
            <w:r>
              <w:rPr>
                <w:rFonts w:hint="eastAsia"/>
              </w:rPr>
              <w:t>国防ETF</w:t>
            </w:r>
          </w:p>
        </w:tc>
        <w:tc>
          <w:tcPr>
            <w:tcW w:w="910" w:type="pct"/>
            <w:tcBorders>
              <w:top w:val="nil"/>
              <w:left w:val="nil"/>
              <w:bottom w:val="single" w:sz="4" w:space="0" w:color="auto"/>
              <w:right w:val="single" w:sz="4" w:space="0" w:color="auto"/>
            </w:tcBorders>
            <w:shd w:val="clear" w:color="auto" w:fill="auto"/>
            <w:vAlign w:val="center"/>
          </w:tcPr>
          <w:p w:rsidR="00104BBD" w:rsidRDefault="002E3E01">
            <w:pPr>
              <w:widowControl/>
              <w:autoSpaceDE/>
              <w:autoSpaceDN/>
              <w:jc w:val="center"/>
            </w:pPr>
            <w:r>
              <w:rPr>
                <w:rFonts w:hint="eastAsia"/>
              </w:rPr>
              <w:t>国防ETF</w:t>
            </w:r>
          </w:p>
        </w:tc>
      </w:tr>
      <w:tr w:rsidR="00104BBD">
        <w:trPr>
          <w:trHeight w:val="660"/>
        </w:trPr>
        <w:tc>
          <w:tcPr>
            <w:tcW w:w="412" w:type="pct"/>
            <w:tcBorders>
              <w:top w:val="nil"/>
              <w:left w:val="single" w:sz="4" w:space="0" w:color="auto"/>
              <w:bottom w:val="single" w:sz="4" w:space="0" w:color="auto"/>
              <w:right w:val="single" w:sz="4" w:space="0" w:color="auto"/>
            </w:tcBorders>
            <w:shd w:val="clear" w:color="auto" w:fill="auto"/>
            <w:vAlign w:val="center"/>
          </w:tcPr>
          <w:p w:rsidR="00104BBD" w:rsidRDefault="002E3E01">
            <w:pPr>
              <w:widowControl/>
              <w:autoSpaceDE/>
              <w:autoSpaceDN/>
              <w:jc w:val="center"/>
              <w:rPr>
                <w:sz w:val="24"/>
                <w:szCs w:val="24"/>
              </w:rPr>
            </w:pPr>
            <w:r>
              <w:rPr>
                <w:rFonts w:hint="eastAsia"/>
                <w:sz w:val="24"/>
                <w:szCs w:val="24"/>
              </w:rPr>
              <w:t>18</w:t>
            </w:r>
          </w:p>
        </w:tc>
        <w:tc>
          <w:tcPr>
            <w:tcW w:w="649" w:type="pct"/>
            <w:tcBorders>
              <w:top w:val="nil"/>
              <w:left w:val="nil"/>
              <w:bottom w:val="single" w:sz="4" w:space="0" w:color="auto"/>
              <w:right w:val="single" w:sz="4" w:space="0" w:color="auto"/>
            </w:tcBorders>
            <w:shd w:val="clear" w:color="auto" w:fill="auto"/>
            <w:vAlign w:val="center"/>
          </w:tcPr>
          <w:p w:rsidR="00104BBD" w:rsidRDefault="002E3E01">
            <w:pPr>
              <w:widowControl/>
              <w:autoSpaceDE/>
              <w:autoSpaceDN/>
              <w:jc w:val="center"/>
            </w:pPr>
            <w:r>
              <w:rPr>
                <w:rFonts w:hint="eastAsia"/>
              </w:rPr>
              <w:t>512690</w:t>
            </w:r>
          </w:p>
        </w:tc>
        <w:tc>
          <w:tcPr>
            <w:tcW w:w="2349" w:type="pct"/>
            <w:tcBorders>
              <w:top w:val="nil"/>
              <w:left w:val="nil"/>
              <w:bottom w:val="single" w:sz="4" w:space="0" w:color="auto"/>
              <w:right w:val="single" w:sz="4" w:space="0" w:color="auto"/>
            </w:tcBorders>
            <w:shd w:val="clear" w:color="auto" w:fill="auto"/>
            <w:vAlign w:val="center"/>
          </w:tcPr>
          <w:p w:rsidR="00104BBD" w:rsidRDefault="002E3E01">
            <w:pPr>
              <w:widowControl/>
              <w:autoSpaceDE/>
              <w:autoSpaceDN/>
            </w:pPr>
            <w:r>
              <w:rPr>
                <w:rFonts w:hint="eastAsia"/>
              </w:rPr>
              <w:t>鹏华中证酒交易型开放式指数证券投资基金</w:t>
            </w:r>
          </w:p>
        </w:tc>
        <w:tc>
          <w:tcPr>
            <w:tcW w:w="681" w:type="pct"/>
            <w:tcBorders>
              <w:top w:val="nil"/>
              <w:left w:val="nil"/>
              <w:bottom w:val="single" w:sz="4" w:space="0" w:color="auto"/>
              <w:right w:val="single" w:sz="4" w:space="0" w:color="auto"/>
            </w:tcBorders>
            <w:shd w:val="clear" w:color="auto" w:fill="auto"/>
            <w:vAlign w:val="center"/>
          </w:tcPr>
          <w:p w:rsidR="00104BBD" w:rsidRDefault="002E3E01">
            <w:pPr>
              <w:widowControl/>
              <w:autoSpaceDE/>
              <w:autoSpaceDN/>
              <w:jc w:val="center"/>
            </w:pPr>
            <w:r>
              <w:rPr>
                <w:rFonts w:hint="eastAsia"/>
              </w:rPr>
              <w:t>酒ETF</w:t>
            </w:r>
          </w:p>
        </w:tc>
        <w:tc>
          <w:tcPr>
            <w:tcW w:w="910" w:type="pct"/>
            <w:tcBorders>
              <w:top w:val="nil"/>
              <w:left w:val="nil"/>
              <w:bottom w:val="single" w:sz="4" w:space="0" w:color="auto"/>
              <w:right w:val="single" w:sz="4" w:space="0" w:color="auto"/>
            </w:tcBorders>
            <w:shd w:val="clear" w:color="auto" w:fill="auto"/>
            <w:vAlign w:val="center"/>
          </w:tcPr>
          <w:p w:rsidR="00104BBD" w:rsidRDefault="002E3E01">
            <w:pPr>
              <w:widowControl/>
              <w:autoSpaceDE/>
              <w:autoSpaceDN/>
              <w:jc w:val="center"/>
            </w:pPr>
            <w:r>
              <w:rPr>
                <w:rFonts w:hint="eastAsia"/>
              </w:rPr>
              <w:t>酒ETF</w:t>
            </w:r>
          </w:p>
        </w:tc>
      </w:tr>
      <w:tr w:rsidR="00104BBD">
        <w:trPr>
          <w:trHeight w:val="660"/>
        </w:trPr>
        <w:tc>
          <w:tcPr>
            <w:tcW w:w="412" w:type="pct"/>
            <w:tcBorders>
              <w:top w:val="nil"/>
              <w:left w:val="single" w:sz="4" w:space="0" w:color="auto"/>
              <w:bottom w:val="single" w:sz="4" w:space="0" w:color="auto"/>
              <w:right w:val="single" w:sz="4" w:space="0" w:color="auto"/>
            </w:tcBorders>
            <w:shd w:val="clear" w:color="auto" w:fill="auto"/>
            <w:vAlign w:val="center"/>
          </w:tcPr>
          <w:p w:rsidR="00104BBD" w:rsidRDefault="002E3E01">
            <w:pPr>
              <w:widowControl/>
              <w:autoSpaceDE/>
              <w:autoSpaceDN/>
              <w:jc w:val="center"/>
              <w:rPr>
                <w:sz w:val="24"/>
                <w:szCs w:val="24"/>
              </w:rPr>
            </w:pPr>
            <w:r>
              <w:rPr>
                <w:rFonts w:hint="eastAsia"/>
                <w:sz w:val="24"/>
                <w:szCs w:val="24"/>
              </w:rPr>
              <w:t>19</w:t>
            </w:r>
          </w:p>
        </w:tc>
        <w:tc>
          <w:tcPr>
            <w:tcW w:w="649" w:type="pct"/>
            <w:tcBorders>
              <w:top w:val="nil"/>
              <w:left w:val="nil"/>
              <w:bottom w:val="single" w:sz="4" w:space="0" w:color="auto"/>
              <w:right w:val="single" w:sz="4" w:space="0" w:color="auto"/>
            </w:tcBorders>
            <w:shd w:val="clear" w:color="auto" w:fill="auto"/>
            <w:vAlign w:val="center"/>
          </w:tcPr>
          <w:p w:rsidR="00104BBD" w:rsidRDefault="002E3E01">
            <w:pPr>
              <w:widowControl/>
              <w:autoSpaceDE/>
              <w:autoSpaceDN/>
              <w:jc w:val="center"/>
            </w:pPr>
            <w:r>
              <w:rPr>
                <w:rFonts w:hint="eastAsia"/>
              </w:rPr>
              <w:t>512730</w:t>
            </w:r>
          </w:p>
        </w:tc>
        <w:tc>
          <w:tcPr>
            <w:tcW w:w="2349" w:type="pct"/>
            <w:tcBorders>
              <w:top w:val="nil"/>
              <w:left w:val="nil"/>
              <w:bottom w:val="single" w:sz="4" w:space="0" w:color="auto"/>
              <w:right w:val="single" w:sz="4" w:space="0" w:color="auto"/>
            </w:tcBorders>
            <w:shd w:val="clear" w:color="auto" w:fill="auto"/>
            <w:vAlign w:val="center"/>
          </w:tcPr>
          <w:p w:rsidR="00104BBD" w:rsidRDefault="002E3E01">
            <w:pPr>
              <w:widowControl/>
              <w:autoSpaceDE/>
              <w:autoSpaceDN/>
            </w:pPr>
            <w:r>
              <w:rPr>
                <w:rFonts w:hint="eastAsia"/>
              </w:rPr>
              <w:t>鹏华中证银行交易型开放式指数证券投资基金</w:t>
            </w:r>
          </w:p>
        </w:tc>
        <w:tc>
          <w:tcPr>
            <w:tcW w:w="681" w:type="pct"/>
            <w:tcBorders>
              <w:top w:val="nil"/>
              <w:left w:val="nil"/>
              <w:bottom w:val="single" w:sz="4" w:space="0" w:color="auto"/>
              <w:right w:val="single" w:sz="4" w:space="0" w:color="auto"/>
            </w:tcBorders>
            <w:shd w:val="clear" w:color="auto" w:fill="auto"/>
            <w:vAlign w:val="center"/>
          </w:tcPr>
          <w:p w:rsidR="00104BBD" w:rsidRDefault="002E3E01">
            <w:pPr>
              <w:widowControl/>
              <w:autoSpaceDE/>
              <w:autoSpaceDN/>
              <w:jc w:val="center"/>
            </w:pPr>
            <w:r>
              <w:rPr>
                <w:rFonts w:hint="eastAsia"/>
              </w:rPr>
              <w:t>银行FUND</w:t>
            </w:r>
          </w:p>
        </w:tc>
        <w:tc>
          <w:tcPr>
            <w:tcW w:w="910" w:type="pct"/>
            <w:tcBorders>
              <w:top w:val="nil"/>
              <w:left w:val="nil"/>
              <w:bottom w:val="single" w:sz="4" w:space="0" w:color="auto"/>
              <w:right w:val="single" w:sz="4" w:space="0" w:color="auto"/>
            </w:tcBorders>
            <w:shd w:val="clear" w:color="auto" w:fill="auto"/>
            <w:vAlign w:val="center"/>
          </w:tcPr>
          <w:p w:rsidR="00104BBD" w:rsidRDefault="002E3E01">
            <w:pPr>
              <w:widowControl/>
              <w:autoSpaceDE/>
              <w:autoSpaceDN/>
              <w:jc w:val="center"/>
            </w:pPr>
            <w:r>
              <w:rPr>
                <w:rFonts w:hint="eastAsia"/>
              </w:rPr>
              <w:t>银行ETF指数</w:t>
            </w:r>
          </w:p>
        </w:tc>
      </w:tr>
      <w:tr w:rsidR="00104BBD">
        <w:trPr>
          <w:trHeight w:val="660"/>
        </w:trPr>
        <w:tc>
          <w:tcPr>
            <w:tcW w:w="412" w:type="pct"/>
            <w:tcBorders>
              <w:top w:val="nil"/>
              <w:left w:val="single" w:sz="4" w:space="0" w:color="auto"/>
              <w:bottom w:val="single" w:sz="4" w:space="0" w:color="auto"/>
              <w:right w:val="single" w:sz="4" w:space="0" w:color="auto"/>
            </w:tcBorders>
            <w:shd w:val="clear" w:color="auto" w:fill="auto"/>
            <w:vAlign w:val="center"/>
          </w:tcPr>
          <w:p w:rsidR="00104BBD" w:rsidRDefault="002E3E01">
            <w:pPr>
              <w:widowControl/>
              <w:autoSpaceDE/>
              <w:autoSpaceDN/>
              <w:jc w:val="center"/>
              <w:rPr>
                <w:sz w:val="24"/>
                <w:szCs w:val="24"/>
              </w:rPr>
            </w:pPr>
            <w:r>
              <w:rPr>
                <w:rFonts w:hint="eastAsia"/>
                <w:sz w:val="24"/>
                <w:szCs w:val="24"/>
              </w:rPr>
              <w:t>20</w:t>
            </w:r>
          </w:p>
        </w:tc>
        <w:tc>
          <w:tcPr>
            <w:tcW w:w="649" w:type="pct"/>
            <w:tcBorders>
              <w:top w:val="nil"/>
              <w:left w:val="nil"/>
              <w:bottom w:val="single" w:sz="4" w:space="0" w:color="auto"/>
              <w:right w:val="single" w:sz="4" w:space="0" w:color="auto"/>
            </w:tcBorders>
            <w:shd w:val="clear" w:color="auto" w:fill="auto"/>
            <w:vAlign w:val="center"/>
          </w:tcPr>
          <w:p w:rsidR="00104BBD" w:rsidRDefault="002E3E01">
            <w:pPr>
              <w:widowControl/>
              <w:autoSpaceDE/>
              <w:autoSpaceDN/>
              <w:jc w:val="center"/>
            </w:pPr>
            <w:r>
              <w:rPr>
                <w:rFonts w:hint="eastAsia"/>
              </w:rPr>
              <w:t>515630</w:t>
            </w:r>
          </w:p>
        </w:tc>
        <w:tc>
          <w:tcPr>
            <w:tcW w:w="2349" w:type="pct"/>
            <w:tcBorders>
              <w:top w:val="nil"/>
              <w:left w:val="nil"/>
              <w:bottom w:val="single" w:sz="4" w:space="0" w:color="auto"/>
              <w:right w:val="single" w:sz="4" w:space="0" w:color="auto"/>
            </w:tcBorders>
            <w:shd w:val="clear" w:color="auto" w:fill="auto"/>
            <w:vAlign w:val="center"/>
          </w:tcPr>
          <w:p w:rsidR="00104BBD" w:rsidRDefault="002E3E01">
            <w:pPr>
              <w:widowControl/>
              <w:autoSpaceDE/>
              <w:autoSpaceDN/>
            </w:pPr>
            <w:r>
              <w:rPr>
                <w:rFonts w:hint="eastAsia"/>
              </w:rPr>
              <w:t>鹏华中证800证券保险交易型开放式指数证券投资基金</w:t>
            </w:r>
          </w:p>
        </w:tc>
        <w:tc>
          <w:tcPr>
            <w:tcW w:w="681" w:type="pct"/>
            <w:tcBorders>
              <w:top w:val="nil"/>
              <w:left w:val="nil"/>
              <w:bottom w:val="single" w:sz="4" w:space="0" w:color="auto"/>
              <w:right w:val="single" w:sz="4" w:space="0" w:color="auto"/>
            </w:tcBorders>
            <w:shd w:val="clear" w:color="auto" w:fill="auto"/>
            <w:vAlign w:val="center"/>
          </w:tcPr>
          <w:p w:rsidR="00104BBD" w:rsidRDefault="002E3E01">
            <w:pPr>
              <w:widowControl/>
              <w:autoSpaceDE/>
              <w:autoSpaceDN/>
              <w:jc w:val="center"/>
            </w:pPr>
            <w:r>
              <w:rPr>
                <w:rFonts w:hint="eastAsia"/>
              </w:rPr>
              <w:t>保险证券</w:t>
            </w:r>
          </w:p>
        </w:tc>
        <w:tc>
          <w:tcPr>
            <w:tcW w:w="910" w:type="pct"/>
            <w:tcBorders>
              <w:top w:val="nil"/>
              <w:left w:val="nil"/>
              <w:bottom w:val="single" w:sz="4" w:space="0" w:color="auto"/>
              <w:right w:val="single" w:sz="4" w:space="0" w:color="auto"/>
            </w:tcBorders>
            <w:shd w:val="clear" w:color="auto" w:fill="auto"/>
            <w:vAlign w:val="center"/>
          </w:tcPr>
          <w:p w:rsidR="00104BBD" w:rsidRDefault="002E3E01">
            <w:pPr>
              <w:widowControl/>
              <w:autoSpaceDE/>
              <w:autoSpaceDN/>
              <w:jc w:val="center"/>
            </w:pPr>
            <w:r>
              <w:rPr>
                <w:rFonts w:hint="eastAsia"/>
              </w:rPr>
              <w:t>保险证券ETF</w:t>
            </w:r>
          </w:p>
        </w:tc>
      </w:tr>
      <w:tr w:rsidR="00104BBD">
        <w:trPr>
          <w:trHeight w:val="660"/>
        </w:trPr>
        <w:tc>
          <w:tcPr>
            <w:tcW w:w="412" w:type="pct"/>
            <w:tcBorders>
              <w:top w:val="nil"/>
              <w:left w:val="single" w:sz="4" w:space="0" w:color="auto"/>
              <w:bottom w:val="single" w:sz="4" w:space="0" w:color="auto"/>
              <w:right w:val="single" w:sz="4" w:space="0" w:color="auto"/>
            </w:tcBorders>
            <w:shd w:val="clear" w:color="auto" w:fill="auto"/>
            <w:vAlign w:val="center"/>
          </w:tcPr>
          <w:p w:rsidR="00104BBD" w:rsidRDefault="002E3E01">
            <w:pPr>
              <w:widowControl/>
              <w:autoSpaceDE/>
              <w:autoSpaceDN/>
              <w:jc w:val="center"/>
              <w:rPr>
                <w:sz w:val="24"/>
                <w:szCs w:val="24"/>
              </w:rPr>
            </w:pPr>
            <w:r>
              <w:rPr>
                <w:rFonts w:hint="eastAsia"/>
                <w:sz w:val="24"/>
                <w:szCs w:val="24"/>
              </w:rPr>
              <w:t>21</w:t>
            </w:r>
          </w:p>
        </w:tc>
        <w:tc>
          <w:tcPr>
            <w:tcW w:w="649" w:type="pct"/>
            <w:tcBorders>
              <w:top w:val="nil"/>
              <w:left w:val="nil"/>
              <w:bottom w:val="single" w:sz="4" w:space="0" w:color="auto"/>
              <w:right w:val="single" w:sz="4" w:space="0" w:color="auto"/>
            </w:tcBorders>
            <w:shd w:val="clear" w:color="auto" w:fill="auto"/>
            <w:vAlign w:val="center"/>
          </w:tcPr>
          <w:p w:rsidR="00104BBD" w:rsidRDefault="002E3E01">
            <w:pPr>
              <w:widowControl/>
              <w:autoSpaceDE/>
              <w:autoSpaceDN/>
              <w:jc w:val="center"/>
            </w:pPr>
            <w:r>
              <w:rPr>
                <w:rFonts w:hint="eastAsia"/>
              </w:rPr>
              <w:t>516460</w:t>
            </w:r>
          </w:p>
        </w:tc>
        <w:tc>
          <w:tcPr>
            <w:tcW w:w="2349" w:type="pct"/>
            <w:tcBorders>
              <w:top w:val="nil"/>
              <w:left w:val="nil"/>
              <w:bottom w:val="single" w:sz="4" w:space="0" w:color="auto"/>
              <w:right w:val="single" w:sz="4" w:space="0" w:color="auto"/>
            </w:tcBorders>
            <w:shd w:val="clear" w:color="auto" w:fill="auto"/>
            <w:vAlign w:val="center"/>
          </w:tcPr>
          <w:p w:rsidR="00104BBD" w:rsidRDefault="002E3E01">
            <w:pPr>
              <w:widowControl/>
              <w:autoSpaceDE/>
              <w:autoSpaceDN/>
            </w:pPr>
            <w:r>
              <w:rPr>
                <w:rFonts w:hint="eastAsia"/>
              </w:rPr>
              <w:t>鹏华中证800自由现金流交易型开放式指数证券投资基金</w:t>
            </w:r>
          </w:p>
        </w:tc>
        <w:tc>
          <w:tcPr>
            <w:tcW w:w="681" w:type="pct"/>
            <w:tcBorders>
              <w:top w:val="nil"/>
              <w:left w:val="nil"/>
              <w:bottom w:val="single" w:sz="4" w:space="0" w:color="auto"/>
              <w:right w:val="single" w:sz="4" w:space="0" w:color="auto"/>
            </w:tcBorders>
            <w:shd w:val="clear" w:color="auto" w:fill="auto"/>
            <w:vAlign w:val="center"/>
          </w:tcPr>
          <w:p w:rsidR="00104BBD" w:rsidRDefault="002E3E01">
            <w:pPr>
              <w:widowControl/>
              <w:autoSpaceDE/>
              <w:autoSpaceDN/>
              <w:jc w:val="center"/>
            </w:pPr>
            <w:r>
              <w:rPr>
                <w:rFonts w:hint="eastAsia"/>
              </w:rPr>
              <w:t>现金流E</w:t>
            </w:r>
          </w:p>
        </w:tc>
        <w:tc>
          <w:tcPr>
            <w:tcW w:w="910" w:type="pct"/>
            <w:tcBorders>
              <w:top w:val="nil"/>
              <w:left w:val="nil"/>
              <w:bottom w:val="single" w:sz="4" w:space="0" w:color="auto"/>
              <w:right w:val="single" w:sz="4" w:space="0" w:color="auto"/>
            </w:tcBorders>
            <w:shd w:val="clear" w:color="auto" w:fill="auto"/>
            <w:vAlign w:val="center"/>
          </w:tcPr>
          <w:p w:rsidR="00104BBD" w:rsidRDefault="002E3E01">
            <w:pPr>
              <w:widowControl/>
              <w:autoSpaceDE/>
              <w:autoSpaceDN/>
              <w:jc w:val="center"/>
            </w:pPr>
            <w:r>
              <w:rPr>
                <w:rFonts w:hint="eastAsia"/>
              </w:rPr>
              <w:t>现金流ETF800</w:t>
            </w:r>
          </w:p>
        </w:tc>
      </w:tr>
      <w:tr w:rsidR="00104BBD">
        <w:trPr>
          <w:trHeight w:val="660"/>
        </w:trPr>
        <w:tc>
          <w:tcPr>
            <w:tcW w:w="412" w:type="pct"/>
            <w:tcBorders>
              <w:top w:val="nil"/>
              <w:left w:val="single" w:sz="4" w:space="0" w:color="auto"/>
              <w:bottom w:val="single" w:sz="4" w:space="0" w:color="auto"/>
              <w:right w:val="single" w:sz="4" w:space="0" w:color="auto"/>
            </w:tcBorders>
            <w:shd w:val="clear" w:color="auto" w:fill="auto"/>
            <w:vAlign w:val="center"/>
          </w:tcPr>
          <w:p w:rsidR="00104BBD" w:rsidRDefault="002E3E01">
            <w:pPr>
              <w:widowControl/>
              <w:autoSpaceDE/>
              <w:autoSpaceDN/>
              <w:jc w:val="center"/>
              <w:rPr>
                <w:sz w:val="24"/>
                <w:szCs w:val="24"/>
              </w:rPr>
            </w:pPr>
            <w:r>
              <w:rPr>
                <w:rFonts w:hint="eastAsia"/>
                <w:sz w:val="24"/>
                <w:szCs w:val="24"/>
              </w:rPr>
              <w:t>22</w:t>
            </w:r>
          </w:p>
        </w:tc>
        <w:tc>
          <w:tcPr>
            <w:tcW w:w="649" w:type="pct"/>
            <w:tcBorders>
              <w:top w:val="nil"/>
              <w:left w:val="nil"/>
              <w:bottom w:val="single" w:sz="4" w:space="0" w:color="auto"/>
              <w:right w:val="single" w:sz="4" w:space="0" w:color="auto"/>
            </w:tcBorders>
            <w:shd w:val="clear" w:color="auto" w:fill="auto"/>
            <w:vAlign w:val="center"/>
          </w:tcPr>
          <w:p w:rsidR="00104BBD" w:rsidRDefault="002E3E01">
            <w:pPr>
              <w:widowControl/>
              <w:autoSpaceDE/>
              <w:autoSpaceDN/>
              <w:jc w:val="center"/>
            </w:pPr>
            <w:r>
              <w:rPr>
                <w:rFonts w:hint="eastAsia"/>
              </w:rPr>
              <w:t>560190</w:t>
            </w:r>
          </w:p>
        </w:tc>
        <w:tc>
          <w:tcPr>
            <w:tcW w:w="2349" w:type="pct"/>
            <w:tcBorders>
              <w:top w:val="nil"/>
              <w:left w:val="nil"/>
              <w:bottom w:val="single" w:sz="4" w:space="0" w:color="auto"/>
              <w:right w:val="single" w:sz="4" w:space="0" w:color="auto"/>
            </w:tcBorders>
            <w:shd w:val="clear" w:color="auto" w:fill="auto"/>
            <w:vAlign w:val="center"/>
          </w:tcPr>
          <w:p w:rsidR="00104BBD" w:rsidRDefault="002E3E01">
            <w:pPr>
              <w:widowControl/>
              <w:autoSpaceDE/>
              <w:autoSpaceDN/>
            </w:pPr>
            <w:r>
              <w:rPr>
                <w:rFonts w:hint="eastAsia"/>
              </w:rPr>
              <w:t>鹏华中证全指公用事业交易型开放式指数证券投资基金</w:t>
            </w:r>
          </w:p>
        </w:tc>
        <w:tc>
          <w:tcPr>
            <w:tcW w:w="681" w:type="pct"/>
            <w:tcBorders>
              <w:top w:val="nil"/>
              <w:left w:val="nil"/>
              <w:bottom w:val="single" w:sz="4" w:space="0" w:color="auto"/>
              <w:right w:val="single" w:sz="4" w:space="0" w:color="auto"/>
            </w:tcBorders>
            <w:shd w:val="clear" w:color="auto" w:fill="auto"/>
            <w:vAlign w:val="center"/>
          </w:tcPr>
          <w:p w:rsidR="00104BBD" w:rsidRDefault="002E3E01">
            <w:pPr>
              <w:widowControl/>
              <w:autoSpaceDE/>
              <w:autoSpaceDN/>
              <w:jc w:val="center"/>
            </w:pPr>
            <w:r>
              <w:rPr>
                <w:rFonts w:hint="eastAsia"/>
              </w:rPr>
              <w:t>公用事业</w:t>
            </w:r>
          </w:p>
        </w:tc>
        <w:tc>
          <w:tcPr>
            <w:tcW w:w="910" w:type="pct"/>
            <w:tcBorders>
              <w:top w:val="nil"/>
              <w:left w:val="nil"/>
              <w:bottom w:val="single" w:sz="4" w:space="0" w:color="auto"/>
              <w:right w:val="single" w:sz="4" w:space="0" w:color="auto"/>
            </w:tcBorders>
            <w:shd w:val="clear" w:color="auto" w:fill="auto"/>
            <w:vAlign w:val="center"/>
          </w:tcPr>
          <w:p w:rsidR="00104BBD" w:rsidRDefault="002E3E01">
            <w:pPr>
              <w:widowControl/>
              <w:autoSpaceDE/>
              <w:autoSpaceDN/>
              <w:jc w:val="center"/>
            </w:pPr>
            <w:r>
              <w:rPr>
                <w:rFonts w:hint="eastAsia"/>
              </w:rPr>
              <w:t>公用事业ETF</w:t>
            </w:r>
          </w:p>
        </w:tc>
      </w:tr>
      <w:tr w:rsidR="00104BBD">
        <w:trPr>
          <w:trHeight w:val="660"/>
        </w:trPr>
        <w:tc>
          <w:tcPr>
            <w:tcW w:w="412" w:type="pct"/>
            <w:tcBorders>
              <w:top w:val="nil"/>
              <w:left w:val="single" w:sz="4" w:space="0" w:color="auto"/>
              <w:bottom w:val="single" w:sz="4" w:space="0" w:color="auto"/>
              <w:right w:val="single" w:sz="4" w:space="0" w:color="auto"/>
            </w:tcBorders>
            <w:shd w:val="clear" w:color="auto" w:fill="auto"/>
            <w:vAlign w:val="center"/>
          </w:tcPr>
          <w:p w:rsidR="00104BBD" w:rsidRDefault="002E3E01">
            <w:pPr>
              <w:widowControl/>
              <w:autoSpaceDE/>
              <w:autoSpaceDN/>
              <w:jc w:val="center"/>
              <w:rPr>
                <w:sz w:val="24"/>
                <w:szCs w:val="24"/>
              </w:rPr>
            </w:pPr>
            <w:r>
              <w:rPr>
                <w:rFonts w:hint="eastAsia"/>
                <w:sz w:val="24"/>
                <w:szCs w:val="24"/>
              </w:rPr>
              <w:t>23</w:t>
            </w:r>
          </w:p>
        </w:tc>
        <w:tc>
          <w:tcPr>
            <w:tcW w:w="649" w:type="pct"/>
            <w:tcBorders>
              <w:top w:val="nil"/>
              <w:left w:val="nil"/>
              <w:bottom w:val="single" w:sz="4" w:space="0" w:color="auto"/>
              <w:right w:val="single" w:sz="4" w:space="0" w:color="auto"/>
            </w:tcBorders>
            <w:shd w:val="clear" w:color="auto" w:fill="auto"/>
            <w:vAlign w:val="center"/>
          </w:tcPr>
          <w:p w:rsidR="00104BBD" w:rsidRDefault="002E3E01">
            <w:pPr>
              <w:widowControl/>
              <w:autoSpaceDE/>
              <w:autoSpaceDN/>
              <w:jc w:val="center"/>
            </w:pPr>
            <w:r>
              <w:rPr>
                <w:rFonts w:hint="eastAsia"/>
              </w:rPr>
              <w:t>560590</w:t>
            </w:r>
          </w:p>
        </w:tc>
        <w:tc>
          <w:tcPr>
            <w:tcW w:w="2349" w:type="pct"/>
            <w:tcBorders>
              <w:top w:val="nil"/>
              <w:left w:val="nil"/>
              <w:bottom w:val="single" w:sz="4" w:space="0" w:color="auto"/>
              <w:right w:val="single" w:sz="4" w:space="0" w:color="auto"/>
            </w:tcBorders>
            <w:shd w:val="clear" w:color="auto" w:fill="auto"/>
            <w:vAlign w:val="center"/>
          </w:tcPr>
          <w:p w:rsidR="00104BBD" w:rsidRDefault="002E3E01">
            <w:pPr>
              <w:widowControl/>
              <w:autoSpaceDE/>
              <w:autoSpaceDN/>
            </w:pPr>
            <w:r>
              <w:rPr>
                <w:rFonts w:hint="eastAsia"/>
              </w:rPr>
              <w:t>鹏华中证1000增强策略交易型开放式指数证券投资基金</w:t>
            </w:r>
          </w:p>
        </w:tc>
        <w:tc>
          <w:tcPr>
            <w:tcW w:w="681" w:type="pct"/>
            <w:tcBorders>
              <w:top w:val="nil"/>
              <w:left w:val="nil"/>
              <w:bottom w:val="single" w:sz="4" w:space="0" w:color="auto"/>
              <w:right w:val="single" w:sz="4" w:space="0" w:color="auto"/>
            </w:tcBorders>
            <w:shd w:val="clear" w:color="auto" w:fill="auto"/>
            <w:vAlign w:val="center"/>
          </w:tcPr>
          <w:p w:rsidR="00104BBD" w:rsidRDefault="002E3E01">
            <w:pPr>
              <w:widowControl/>
              <w:autoSpaceDE/>
              <w:autoSpaceDN/>
              <w:jc w:val="center"/>
            </w:pPr>
            <w:r>
              <w:rPr>
                <w:rFonts w:hint="eastAsia"/>
              </w:rPr>
              <w:t>1000鹏华</w:t>
            </w:r>
          </w:p>
        </w:tc>
        <w:tc>
          <w:tcPr>
            <w:tcW w:w="910" w:type="pct"/>
            <w:tcBorders>
              <w:top w:val="nil"/>
              <w:left w:val="nil"/>
              <w:bottom w:val="single" w:sz="4" w:space="0" w:color="auto"/>
              <w:right w:val="single" w:sz="4" w:space="0" w:color="auto"/>
            </w:tcBorders>
            <w:shd w:val="clear" w:color="auto" w:fill="auto"/>
            <w:vAlign w:val="center"/>
          </w:tcPr>
          <w:p w:rsidR="00104BBD" w:rsidRDefault="002E3E01">
            <w:pPr>
              <w:widowControl/>
              <w:autoSpaceDE/>
              <w:autoSpaceDN/>
              <w:jc w:val="center"/>
            </w:pPr>
            <w:r>
              <w:rPr>
                <w:rFonts w:hint="eastAsia"/>
              </w:rPr>
              <w:t>1000ETF增强</w:t>
            </w:r>
          </w:p>
        </w:tc>
      </w:tr>
      <w:tr w:rsidR="00104BBD">
        <w:trPr>
          <w:trHeight w:val="660"/>
        </w:trPr>
        <w:tc>
          <w:tcPr>
            <w:tcW w:w="412" w:type="pct"/>
            <w:tcBorders>
              <w:top w:val="nil"/>
              <w:left w:val="single" w:sz="4" w:space="0" w:color="auto"/>
              <w:bottom w:val="single" w:sz="4" w:space="0" w:color="auto"/>
              <w:right w:val="single" w:sz="4" w:space="0" w:color="auto"/>
            </w:tcBorders>
            <w:shd w:val="clear" w:color="auto" w:fill="auto"/>
            <w:vAlign w:val="center"/>
          </w:tcPr>
          <w:p w:rsidR="00104BBD" w:rsidRDefault="002E3E01">
            <w:pPr>
              <w:widowControl/>
              <w:autoSpaceDE/>
              <w:autoSpaceDN/>
              <w:jc w:val="center"/>
              <w:rPr>
                <w:sz w:val="24"/>
                <w:szCs w:val="24"/>
              </w:rPr>
            </w:pPr>
            <w:r>
              <w:rPr>
                <w:rFonts w:hint="eastAsia"/>
                <w:sz w:val="24"/>
                <w:szCs w:val="24"/>
              </w:rPr>
              <w:t>24</w:t>
            </w:r>
          </w:p>
        </w:tc>
        <w:tc>
          <w:tcPr>
            <w:tcW w:w="649" w:type="pct"/>
            <w:tcBorders>
              <w:top w:val="nil"/>
              <w:left w:val="nil"/>
              <w:bottom w:val="single" w:sz="4" w:space="0" w:color="auto"/>
              <w:right w:val="single" w:sz="4" w:space="0" w:color="auto"/>
            </w:tcBorders>
            <w:shd w:val="clear" w:color="auto" w:fill="auto"/>
            <w:vAlign w:val="center"/>
          </w:tcPr>
          <w:p w:rsidR="00104BBD" w:rsidRDefault="002E3E01">
            <w:pPr>
              <w:widowControl/>
              <w:autoSpaceDE/>
              <w:autoSpaceDN/>
              <w:jc w:val="center"/>
            </w:pPr>
            <w:r>
              <w:rPr>
                <w:rFonts w:hint="eastAsia"/>
              </w:rPr>
              <w:t>560690</w:t>
            </w:r>
          </w:p>
        </w:tc>
        <w:tc>
          <w:tcPr>
            <w:tcW w:w="2349" w:type="pct"/>
            <w:tcBorders>
              <w:top w:val="nil"/>
              <w:left w:val="nil"/>
              <w:bottom w:val="single" w:sz="4" w:space="0" w:color="auto"/>
              <w:right w:val="single" w:sz="4" w:space="0" w:color="auto"/>
            </w:tcBorders>
            <w:shd w:val="clear" w:color="auto" w:fill="auto"/>
            <w:vAlign w:val="center"/>
          </w:tcPr>
          <w:p w:rsidR="00104BBD" w:rsidRDefault="002E3E01">
            <w:pPr>
              <w:widowControl/>
              <w:autoSpaceDE/>
              <w:autoSpaceDN/>
            </w:pPr>
            <w:r>
              <w:rPr>
                <w:rFonts w:hint="eastAsia"/>
              </w:rPr>
              <w:t>鹏华中证电信主题交易型开放式指数证券投资基金</w:t>
            </w:r>
          </w:p>
        </w:tc>
        <w:tc>
          <w:tcPr>
            <w:tcW w:w="681" w:type="pct"/>
            <w:tcBorders>
              <w:top w:val="nil"/>
              <w:left w:val="nil"/>
              <w:bottom w:val="single" w:sz="4" w:space="0" w:color="auto"/>
              <w:right w:val="single" w:sz="4" w:space="0" w:color="auto"/>
            </w:tcBorders>
            <w:shd w:val="clear" w:color="auto" w:fill="auto"/>
            <w:vAlign w:val="center"/>
          </w:tcPr>
          <w:p w:rsidR="00104BBD" w:rsidRDefault="002E3E01">
            <w:pPr>
              <w:widowControl/>
              <w:autoSpaceDE/>
              <w:autoSpaceDN/>
              <w:jc w:val="center"/>
            </w:pPr>
            <w:r>
              <w:rPr>
                <w:rFonts w:hint="eastAsia"/>
              </w:rPr>
              <w:t>电信主题</w:t>
            </w:r>
          </w:p>
        </w:tc>
        <w:tc>
          <w:tcPr>
            <w:tcW w:w="910" w:type="pct"/>
            <w:tcBorders>
              <w:top w:val="nil"/>
              <w:left w:val="nil"/>
              <w:bottom w:val="single" w:sz="4" w:space="0" w:color="auto"/>
              <w:right w:val="single" w:sz="4" w:space="0" w:color="auto"/>
            </w:tcBorders>
            <w:shd w:val="clear" w:color="auto" w:fill="auto"/>
            <w:vAlign w:val="center"/>
          </w:tcPr>
          <w:p w:rsidR="00104BBD" w:rsidRDefault="002E3E01">
            <w:pPr>
              <w:widowControl/>
              <w:autoSpaceDE/>
              <w:autoSpaceDN/>
              <w:jc w:val="center"/>
            </w:pPr>
            <w:r>
              <w:rPr>
                <w:rFonts w:hint="eastAsia"/>
              </w:rPr>
              <w:t>电信ETF基金</w:t>
            </w:r>
          </w:p>
        </w:tc>
      </w:tr>
      <w:tr w:rsidR="00104BBD">
        <w:trPr>
          <w:trHeight w:val="660"/>
        </w:trPr>
        <w:tc>
          <w:tcPr>
            <w:tcW w:w="412" w:type="pct"/>
            <w:tcBorders>
              <w:top w:val="nil"/>
              <w:left w:val="single" w:sz="4" w:space="0" w:color="auto"/>
              <w:bottom w:val="single" w:sz="4" w:space="0" w:color="auto"/>
              <w:right w:val="single" w:sz="4" w:space="0" w:color="auto"/>
            </w:tcBorders>
            <w:shd w:val="clear" w:color="auto" w:fill="auto"/>
            <w:vAlign w:val="center"/>
          </w:tcPr>
          <w:p w:rsidR="00104BBD" w:rsidRDefault="002E3E01">
            <w:pPr>
              <w:widowControl/>
              <w:autoSpaceDE/>
              <w:autoSpaceDN/>
              <w:jc w:val="center"/>
              <w:rPr>
                <w:sz w:val="24"/>
                <w:szCs w:val="24"/>
              </w:rPr>
            </w:pPr>
            <w:r>
              <w:rPr>
                <w:rFonts w:hint="eastAsia"/>
                <w:sz w:val="24"/>
                <w:szCs w:val="24"/>
              </w:rPr>
              <w:t>25</w:t>
            </w:r>
          </w:p>
        </w:tc>
        <w:tc>
          <w:tcPr>
            <w:tcW w:w="649" w:type="pct"/>
            <w:tcBorders>
              <w:top w:val="nil"/>
              <w:left w:val="nil"/>
              <w:bottom w:val="single" w:sz="4" w:space="0" w:color="auto"/>
              <w:right w:val="single" w:sz="4" w:space="0" w:color="auto"/>
            </w:tcBorders>
            <w:shd w:val="clear" w:color="auto" w:fill="auto"/>
            <w:vAlign w:val="center"/>
          </w:tcPr>
          <w:p w:rsidR="00104BBD" w:rsidRDefault="002E3E01">
            <w:pPr>
              <w:widowControl/>
              <w:autoSpaceDE/>
              <w:autoSpaceDN/>
              <w:jc w:val="center"/>
            </w:pPr>
            <w:r>
              <w:rPr>
                <w:rFonts w:hint="eastAsia"/>
              </w:rPr>
              <w:t>563670</w:t>
            </w:r>
          </w:p>
        </w:tc>
        <w:tc>
          <w:tcPr>
            <w:tcW w:w="2349" w:type="pct"/>
            <w:tcBorders>
              <w:top w:val="nil"/>
              <w:left w:val="nil"/>
              <w:bottom w:val="single" w:sz="4" w:space="0" w:color="auto"/>
              <w:right w:val="single" w:sz="4" w:space="0" w:color="auto"/>
            </w:tcBorders>
            <w:shd w:val="clear" w:color="auto" w:fill="auto"/>
            <w:vAlign w:val="center"/>
          </w:tcPr>
          <w:p w:rsidR="00104BBD" w:rsidRDefault="002E3E01">
            <w:pPr>
              <w:widowControl/>
              <w:autoSpaceDE/>
              <w:autoSpaceDN/>
            </w:pPr>
            <w:r>
              <w:rPr>
                <w:rFonts w:hint="eastAsia"/>
              </w:rPr>
              <w:t>鹏华中证金融科技主题交易型开放式指数证券投资基金</w:t>
            </w:r>
          </w:p>
        </w:tc>
        <w:tc>
          <w:tcPr>
            <w:tcW w:w="681" w:type="pct"/>
            <w:tcBorders>
              <w:top w:val="nil"/>
              <w:left w:val="nil"/>
              <w:bottom w:val="single" w:sz="4" w:space="0" w:color="auto"/>
              <w:right w:val="single" w:sz="4" w:space="0" w:color="auto"/>
            </w:tcBorders>
            <w:shd w:val="clear" w:color="auto" w:fill="auto"/>
            <w:vAlign w:val="center"/>
          </w:tcPr>
          <w:p w:rsidR="00104BBD" w:rsidRDefault="002E3E01">
            <w:pPr>
              <w:widowControl/>
              <w:autoSpaceDE/>
              <w:autoSpaceDN/>
              <w:jc w:val="center"/>
            </w:pPr>
            <w:r>
              <w:rPr>
                <w:rFonts w:hint="eastAsia"/>
              </w:rPr>
              <w:t>金科基金</w:t>
            </w:r>
          </w:p>
        </w:tc>
        <w:tc>
          <w:tcPr>
            <w:tcW w:w="910" w:type="pct"/>
            <w:tcBorders>
              <w:top w:val="nil"/>
              <w:left w:val="nil"/>
              <w:bottom w:val="single" w:sz="4" w:space="0" w:color="auto"/>
              <w:right w:val="single" w:sz="4" w:space="0" w:color="auto"/>
            </w:tcBorders>
            <w:shd w:val="clear" w:color="auto" w:fill="auto"/>
            <w:vAlign w:val="center"/>
          </w:tcPr>
          <w:p w:rsidR="00104BBD" w:rsidRDefault="002E3E01">
            <w:pPr>
              <w:widowControl/>
              <w:autoSpaceDE/>
              <w:autoSpaceDN/>
              <w:jc w:val="center"/>
            </w:pPr>
            <w:r>
              <w:rPr>
                <w:rFonts w:hint="eastAsia"/>
              </w:rPr>
              <w:t>金融科技ETF指数</w:t>
            </w:r>
          </w:p>
        </w:tc>
      </w:tr>
      <w:tr w:rsidR="00104BBD">
        <w:trPr>
          <w:trHeight w:val="660"/>
        </w:trPr>
        <w:tc>
          <w:tcPr>
            <w:tcW w:w="412" w:type="pct"/>
            <w:tcBorders>
              <w:top w:val="nil"/>
              <w:left w:val="single" w:sz="4" w:space="0" w:color="auto"/>
              <w:bottom w:val="single" w:sz="4" w:space="0" w:color="auto"/>
              <w:right w:val="single" w:sz="4" w:space="0" w:color="auto"/>
            </w:tcBorders>
            <w:shd w:val="clear" w:color="auto" w:fill="auto"/>
            <w:vAlign w:val="center"/>
          </w:tcPr>
          <w:p w:rsidR="00104BBD" w:rsidRDefault="002E3E01">
            <w:pPr>
              <w:widowControl/>
              <w:autoSpaceDE/>
              <w:autoSpaceDN/>
              <w:jc w:val="center"/>
              <w:rPr>
                <w:sz w:val="24"/>
                <w:szCs w:val="24"/>
              </w:rPr>
            </w:pPr>
            <w:r>
              <w:rPr>
                <w:rFonts w:hint="eastAsia"/>
                <w:sz w:val="24"/>
                <w:szCs w:val="24"/>
              </w:rPr>
              <w:t>26</w:t>
            </w:r>
          </w:p>
        </w:tc>
        <w:tc>
          <w:tcPr>
            <w:tcW w:w="649" w:type="pct"/>
            <w:tcBorders>
              <w:top w:val="nil"/>
              <w:left w:val="nil"/>
              <w:bottom w:val="single" w:sz="4" w:space="0" w:color="auto"/>
              <w:right w:val="single" w:sz="4" w:space="0" w:color="auto"/>
            </w:tcBorders>
            <w:shd w:val="clear" w:color="auto" w:fill="auto"/>
            <w:vAlign w:val="center"/>
          </w:tcPr>
          <w:p w:rsidR="00104BBD" w:rsidRDefault="002E3E01">
            <w:pPr>
              <w:widowControl/>
              <w:autoSpaceDE/>
              <w:autoSpaceDN/>
              <w:jc w:val="center"/>
            </w:pPr>
            <w:r>
              <w:rPr>
                <w:rFonts w:hint="eastAsia"/>
              </w:rPr>
              <w:t>513590</w:t>
            </w:r>
          </w:p>
        </w:tc>
        <w:tc>
          <w:tcPr>
            <w:tcW w:w="2349" w:type="pct"/>
            <w:tcBorders>
              <w:top w:val="nil"/>
              <w:left w:val="nil"/>
              <w:bottom w:val="single" w:sz="4" w:space="0" w:color="auto"/>
              <w:right w:val="single" w:sz="4" w:space="0" w:color="auto"/>
            </w:tcBorders>
            <w:shd w:val="clear" w:color="auto" w:fill="auto"/>
            <w:vAlign w:val="center"/>
          </w:tcPr>
          <w:p w:rsidR="00104BBD" w:rsidRDefault="002E3E01">
            <w:pPr>
              <w:widowControl/>
              <w:autoSpaceDE/>
              <w:autoSpaceDN/>
            </w:pPr>
            <w:r>
              <w:rPr>
                <w:rFonts w:hint="eastAsia"/>
              </w:rPr>
              <w:t>鹏华中证港股通消费主题交易型开放式指数证券投资基金</w:t>
            </w:r>
          </w:p>
        </w:tc>
        <w:tc>
          <w:tcPr>
            <w:tcW w:w="681" w:type="pct"/>
            <w:tcBorders>
              <w:top w:val="nil"/>
              <w:left w:val="nil"/>
              <w:bottom w:val="single" w:sz="4" w:space="0" w:color="auto"/>
              <w:right w:val="single" w:sz="4" w:space="0" w:color="auto"/>
            </w:tcBorders>
            <w:shd w:val="clear" w:color="auto" w:fill="auto"/>
            <w:vAlign w:val="center"/>
          </w:tcPr>
          <w:p w:rsidR="00104BBD" w:rsidRDefault="002E3E01">
            <w:pPr>
              <w:widowControl/>
              <w:autoSpaceDE/>
              <w:autoSpaceDN/>
              <w:jc w:val="center"/>
            </w:pPr>
            <w:r>
              <w:rPr>
                <w:rFonts w:hint="eastAsia"/>
              </w:rPr>
              <w:t>香港消费</w:t>
            </w:r>
          </w:p>
        </w:tc>
        <w:tc>
          <w:tcPr>
            <w:tcW w:w="910" w:type="pct"/>
            <w:tcBorders>
              <w:top w:val="nil"/>
              <w:left w:val="nil"/>
              <w:bottom w:val="single" w:sz="4" w:space="0" w:color="auto"/>
              <w:right w:val="single" w:sz="4" w:space="0" w:color="auto"/>
            </w:tcBorders>
            <w:shd w:val="clear" w:color="auto" w:fill="auto"/>
            <w:vAlign w:val="center"/>
          </w:tcPr>
          <w:p w:rsidR="00104BBD" w:rsidRDefault="002E3E01">
            <w:pPr>
              <w:widowControl/>
              <w:autoSpaceDE/>
              <w:autoSpaceDN/>
              <w:jc w:val="center"/>
            </w:pPr>
            <w:r>
              <w:rPr>
                <w:rFonts w:hint="eastAsia"/>
              </w:rPr>
              <w:t>香港消费ETF</w:t>
            </w:r>
          </w:p>
        </w:tc>
      </w:tr>
      <w:tr w:rsidR="00104BBD">
        <w:trPr>
          <w:trHeight w:val="660"/>
        </w:trPr>
        <w:tc>
          <w:tcPr>
            <w:tcW w:w="412" w:type="pct"/>
            <w:tcBorders>
              <w:top w:val="nil"/>
              <w:left w:val="single" w:sz="4" w:space="0" w:color="auto"/>
              <w:bottom w:val="single" w:sz="4" w:space="0" w:color="auto"/>
              <w:right w:val="single" w:sz="4" w:space="0" w:color="auto"/>
            </w:tcBorders>
            <w:shd w:val="clear" w:color="auto" w:fill="auto"/>
            <w:vAlign w:val="center"/>
          </w:tcPr>
          <w:p w:rsidR="00104BBD" w:rsidRDefault="002E3E01">
            <w:pPr>
              <w:widowControl/>
              <w:autoSpaceDE/>
              <w:autoSpaceDN/>
              <w:jc w:val="center"/>
              <w:rPr>
                <w:sz w:val="24"/>
                <w:szCs w:val="24"/>
              </w:rPr>
            </w:pPr>
            <w:r>
              <w:rPr>
                <w:rFonts w:hint="eastAsia"/>
                <w:sz w:val="24"/>
                <w:szCs w:val="24"/>
              </w:rPr>
              <w:t>27</w:t>
            </w:r>
          </w:p>
        </w:tc>
        <w:tc>
          <w:tcPr>
            <w:tcW w:w="649" w:type="pct"/>
            <w:tcBorders>
              <w:top w:val="nil"/>
              <w:left w:val="nil"/>
              <w:bottom w:val="single" w:sz="4" w:space="0" w:color="auto"/>
              <w:right w:val="single" w:sz="4" w:space="0" w:color="auto"/>
            </w:tcBorders>
            <w:shd w:val="clear" w:color="auto" w:fill="auto"/>
            <w:vAlign w:val="center"/>
          </w:tcPr>
          <w:p w:rsidR="00104BBD" w:rsidRDefault="002E3E01">
            <w:pPr>
              <w:widowControl/>
              <w:autoSpaceDE/>
              <w:autoSpaceDN/>
              <w:jc w:val="center"/>
            </w:pPr>
            <w:r>
              <w:rPr>
                <w:rFonts w:hint="eastAsia"/>
              </w:rPr>
              <w:t>513700</w:t>
            </w:r>
          </w:p>
        </w:tc>
        <w:tc>
          <w:tcPr>
            <w:tcW w:w="2349" w:type="pct"/>
            <w:tcBorders>
              <w:top w:val="nil"/>
              <w:left w:val="nil"/>
              <w:bottom w:val="single" w:sz="4" w:space="0" w:color="auto"/>
              <w:right w:val="single" w:sz="4" w:space="0" w:color="auto"/>
            </w:tcBorders>
            <w:shd w:val="clear" w:color="auto" w:fill="auto"/>
            <w:vAlign w:val="center"/>
          </w:tcPr>
          <w:p w:rsidR="00104BBD" w:rsidRDefault="002E3E01">
            <w:pPr>
              <w:widowControl/>
              <w:autoSpaceDE/>
              <w:autoSpaceDN/>
            </w:pPr>
            <w:r>
              <w:rPr>
                <w:rFonts w:hint="eastAsia"/>
              </w:rPr>
              <w:t>鹏华中证港股通医药卫生综合交易型开放式指数证券投资基金</w:t>
            </w:r>
          </w:p>
        </w:tc>
        <w:tc>
          <w:tcPr>
            <w:tcW w:w="681" w:type="pct"/>
            <w:tcBorders>
              <w:top w:val="nil"/>
              <w:left w:val="nil"/>
              <w:bottom w:val="single" w:sz="4" w:space="0" w:color="auto"/>
              <w:right w:val="single" w:sz="4" w:space="0" w:color="auto"/>
            </w:tcBorders>
            <w:shd w:val="clear" w:color="auto" w:fill="auto"/>
            <w:vAlign w:val="center"/>
          </w:tcPr>
          <w:p w:rsidR="00104BBD" w:rsidRDefault="002E3E01">
            <w:pPr>
              <w:widowControl/>
              <w:autoSpaceDE/>
              <w:autoSpaceDN/>
              <w:jc w:val="center"/>
            </w:pPr>
            <w:r>
              <w:rPr>
                <w:rFonts w:hint="eastAsia"/>
              </w:rPr>
              <w:t>香港医药</w:t>
            </w:r>
          </w:p>
        </w:tc>
        <w:tc>
          <w:tcPr>
            <w:tcW w:w="910" w:type="pct"/>
            <w:tcBorders>
              <w:top w:val="nil"/>
              <w:left w:val="nil"/>
              <w:bottom w:val="single" w:sz="4" w:space="0" w:color="auto"/>
              <w:right w:val="single" w:sz="4" w:space="0" w:color="auto"/>
            </w:tcBorders>
            <w:shd w:val="clear" w:color="auto" w:fill="auto"/>
            <w:vAlign w:val="center"/>
          </w:tcPr>
          <w:p w:rsidR="00104BBD" w:rsidRDefault="002E3E01">
            <w:pPr>
              <w:widowControl/>
              <w:autoSpaceDE/>
              <w:autoSpaceDN/>
              <w:jc w:val="center"/>
            </w:pPr>
            <w:r>
              <w:rPr>
                <w:rFonts w:hint="eastAsia"/>
              </w:rPr>
              <w:t>香港医药ETF</w:t>
            </w:r>
          </w:p>
        </w:tc>
      </w:tr>
      <w:tr w:rsidR="00104BBD">
        <w:trPr>
          <w:trHeight w:val="660"/>
        </w:trPr>
        <w:tc>
          <w:tcPr>
            <w:tcW w:w="412" w:type="pct"/>
            <w:tcBorders>
              <w:top w:val="nil"/>
              <w:left w:val="single" w:sz="4" w:space="0" w:color="auto"/>
              <w:bottom w:val="single" w:sz="4" w:space="0" w:color="auto"/>
              <w:right w:val="single" w:sz="4" w:space="0" w:color="auto"/>
            </w:tcBorders>
            <w:shd w:val="clear" w:color="auto" w:fill="auto"/>
            <w:vAlign w:val="center"/>
          </w:tcPr>
          <w:p w:rsidR="00104BBD" w:rsidRDefault="002E3E01">
            <w:pPr>
              <w:widowControl/>
              <w:autoSpaceDE/>
              <w:autoSpaceDN/>
              <w:jc w:val="center"/>
              <w:rPr>
                <w:sz w:val="24"/>
                <w:szCs w:val="24"/>
              </w:rPr>
            </w:pPr>
            <w:r>
              <w:rPr>
                <w:rFonts w:hint="eastAsia"/>
                <w:sz w:val="24"/>
                <w:szCs w:val="24"/>
              </w:rPr>
              <w:t>28</w:t>
            </w:r>
          </w:p>
        </w:tc>
        <w:tc>
          <w:tcPr>
            <w:tcW w:w="649" w:type="pct"/>
            <w:tcBorders>
              <w:top w:val="nil"/>
              <w:left w:val="nil"/>
              <w:bottom w:val="single" w:sz="4" w:space="0" w:color="auto"/>
              <w:right w:val="single" w:sz="4" w:space="0" w:color="auto"/>
            </w:tcBorders>
            <w:shd w:val="clear" w:color="auto" w:fill="auto"/>
            <w:vAlign w:val="center"/>
          </w:tcPr>
          <w:p w:rsidR="00104BBD" w:rsidRDefault="002E3E01">
            <w:pPr>
              <w:widowControl/>
              <w:autoSpaceDE/>
              <w:autoSpaceDN/>
              <w:jc w:val="center"/>
            </w:pPr>
            <w:r>
              <w:rPr>
                <w:rFonts w:hint="eastAsia"/>
              </w:rPr>
              <w:t>513170</w:t>
            </w:r>
          </w:p>
        </w:tc>
        <w:tc>
          <w:tcPr>
            <w:tcW w:w="2349" w:type="pct"/>
            <w:tcBorders>
              <w:top w:val="nil"/>
              <w:left w:val="nil"/>
              <w:bottom w:val="single" w:sz="4" w:space="0" w:color="auto"/>
              <w:right w:val="single" w:sz="4" w:space="0" w:color="auto"/>
            </w:tcBorders>
            <w:shd w:val="clear" w:color="auto" w:fill="auto"/>
            <w:vAlign w:val="center"/>
          </w:tcPr>
          <w:p w:rsidR="00104BBD" w:rsidRDefault="002E3E01">
            <w:pPr>
              <w:widowControl/>
              <w:autoSpaceDE/>
              <w:autoSpaceDN/>
            </w:pPr>
            <w:r>
              <w:rPr>
                <w:rFonts w:hint="eastAsia"/>
              </w:rPr>
              <w:t>鹏华恒生中国央企交易型开放式指数证券投资基金(QDII)</w:t>
            </w:r>
          </w:p>
        </w:tc>
        <w:tc>
          <w:tcPr>
            <w:tcW w:w="681" w:type="pct"/>
            <w:tcBorders>
              <w:top w:val="nil"/>
              <w:left w:val="nil"/>
              <w:bottom w:val="single" w:sz="4" w:space="0" w:color="auto"/>
              <w:right w:val="single" w:sz="4" w:space="0" w:color="auto"/>
            </w:tcBorders>
            <w:shd w:val="clear" w:color="auto" w:fill="auto"/>
            <w:vAlign w:val="center"/>
          </w:tcPr>
          <w:p w:rsidR="00104BBD" w:rsidRDefault="002E3E01">
            <w:pPr>
              <w:widowControl/>
              <w:autoSpaceDE/>
              <w:autoSpaceDN/>
              <w:jc w:val="center"/>
            </w:pPr>
            <w:r>
              <w:rPr>
                <w:rFonts w:hint="eastAsia"/>
              </w:rPr>
              <w:t>恒生央企</w:t>
            </w:r>
          </w:p>
        </w:tc>
        <w:tc>
          <w:tcPr>
            <w:tcW w:w="910" w:type="pct"/>
            <w:tcBorders>
              <w:top w:val="nil"/>
              <w:left w:val="nil"/>
              <w:bottom w:val="single" w:sz="4" w:space="0" w:color="auto"/>
              <w:right w:val="single" w:sz="4" w:space="0" w:color="auto"/>
            </w:tcBorders>
            <w:shd w:val="clear" w:color="auto" w:fill="auto"/>
            <w:vAlign w:val="center"/>
          </w:tcPr>
          <w:p w:rsidR="00104BBD" w:rsidRDefault="002E3E01">
            <w:pPr>
              <w:widowControl/>
              <w:autoSpaceDE/>
              <w:autoSpaceDN/>
              <w:jc w:val="center"/>
            </w:pPr>
            <w:r>
              <w:rPr>
                <w:rFonts w:hint="eastAsia"/>
              </w:rPr>
              <w:t>恒生央企ETF</w:t>
            </w:r>
          </w:p>
        </w:tc>
      </w:tr>
      <w:tr w:rsidR="00104BBD">
        <w:trPr>
          <w:trHeight w:val="660"/>
        </w:trPr>
        <w:tc>
          <w:tcPr>
            <w:tcW w:w="412" w:type="pct"/>
            <w:tcBorders>
              <w:top w:val="nil"/>
              <w:left w:val="single" w:sz="4" w:space="0" w:color="auto"/>
              <w:bottom w:val="single" w:sz="4" w:space="0" w:color="auto"/>
              <w:right w:val="single" w:sz="4" w:space="0" w:color="auto"/>
            </w:tcBorders>
            <w:shd w:val="clear" w:color="auto" w:fill="auto"/>
            <w:vAlign w:val="center"/>
          </w:tcPr>
          <w:p w:rsidR="00104BBD" w:rsidRDefault="002E3E01">
            <w:pPr>
              <w:widowControl/>
              <w:autoSpaceDE/>
              <w:autoSpaceDN/>
              <w:jc w:val="center"/>
              <w:rPr>
                <w:sz w:val="24"/>
                <w:szCs w:val="24"/>
              </w:rPr>
            </w:pPr>
            <w:r>
              <w:rPr>
                <w:rFonts w:hint="eastAsia"/>
                <w:sz w:val="24"/>
                <w:szCs w:val="24"/>
              </w:rPr>
              <w:t>29</w:t>
            </w:r>
          </w:p>
        </w:tc>
        <w:tc>
          <w:tcPr>
            <w:tcW w:w="649" w:type="pct"/>
            <w:tcBorders>
              <w:top w:val="nil"/>
              <w:left w:val="nil"/>
              <w:bottom w:val="single" w:sz="4" w:space="0" w:color="auto"/>
              <w:right w:val="single" w:sz="4" w:space="0" w:color="auto"/>
            </w:tcBorders>
            <w:shd w:val="clear" w:color="auto" w:fill="auto"/>
            <w:vAlign w:val="center"/>
          </w:tcPr>
          <w:p w:rsidR="00104BBD" w:rsidRDefault="002E3E01">
            <w:pPr>
              <w:widowControl/>
              <w:autoSpaceDE/>
              <w:autoSpaceDN/>
              <w:jc w:val="center"/>
            </w:pPr>
            <w:r>
              <w:rPr>
                <w:rFonts w:hint="eastAsia"/>
              </w:rPr>
              <w:t>513400</w:t>
            </w:r>
          </w:p>
        </w:tc>
        <w:tc>
          <w:tcPr>
            <w:tcW w:w="2349" w:type="pct"/>
            <w:tcBorders>
              <w:top w:val="nil"/>
              <w:left w:val="nil"/>
              <w:bottom w:val="single" w:sz="4" w:space="0" w:color="auto"/>
              <w:right w:val="single" w:sz="4" w:space="0" w:color="auto"/>
            </w:tcBorders>
            <w:shd w:val="clear" w:color="auto" w:fill="auto"/>
            <w:vAlign w:val="center"/>
          </w:tcPr>
          <w:p w:rsidR="00104BBD" w:rsidRDefault="002E3E01">
            <w:pPr>
              <w:widowControl/>
              <w:autoSpaceDE/>
              <w:autoSpaceDN/>
            </w:pPr>
            <w:r>
              <w:rPr>
                <w:rFonts w:hint="eastAsia"/>
              </w:rPr>
              <w:t>鹏华道琼斯工业平均交易型开放式指数证券投资基金(QDII)</w:t>
            </w:r>
          </w:p>
        </w:tc>
        <w:tc>
          <w:tcPr>
            <w:tcW w:w="681" w:type="pct"/>
            <w:tcBorders>
              <w:top w:val="nil"/>
              <w:left w:val="nil"/>
              <w:bottom w:val="single" w:sz="4" w:space="0" w:color="auto"/>
              <w:right w:val="single" w:sz="4" w:space="0" w:color="auto"/>
            </w:tcBorders>
            <w:shd w:val="clear" w:color="auto" w:fill="auto"/>
            <w:vAlign w:val="center"/>
          </w:tcPr>
          <w:p w:rsidR="00104BBD" w:rsidRDefault="002E3E01">
            <w:pPr>
              <w:widowControl/>
              <w:autoSpaceDE/>
              <w:autoSpaceDN/>
              <w:jc w:val="center"/>
            </w:pPr>
            <w:r>
              <w:rPr>
                <w:rFonts w:hint="eastAsia"/>
              </w:rPr>
              <w:t>道琼斯</w:t>
            </w:r>
          </w:p>
        </w:tc>
        <w:tc>
          <w:tcPr>
            <w:tcW w:w="910" w:type="pct"/>
            <w:tcBorders>
              <w:top w:val="nil"/>
              <w:left w:val="nil"/>
              <w:bottom w:val="single" w:sz="4" w:space="0" w:color="auto"/>
              <w:right w:val="single" w:sz="4" w:space="0" w:color="auto"/>
            </w:tcBorders>
            <w:shd w:val="clear" w:color="auto" w:fill="auto"/>
            <w:vAlign w:val="center"/>
          </w:tcPr>
          <w:p w:rsidR="00104BBD" w:rsidRDefault="002E3E01">
            <w:pPr>
              <w:widowControl/>
              <w:autoSpaceDE/>
              <w:autoSpaceDN/>
              <w:jc w:val="center"/>
            </w:pPr>
            <w:r>
              <w:rPr>
                <w:rFonts w:hint="eastAsia"/>
              </w:rPr>
              <w:t>道琼斯ETF</w:t>
            </w:r>
          </w:p>
        </w:tc>
      </w:tr>
    </w:tbl>
    <w:p w:rsidR="00104BBD" w:rsidRDefault="00104BBD">
      <w:pPr>
        <w:pStyle w:val="a3"/>
        <w:overflowPunct w:val="0"/>
        <w:adjustRightInd w:val="0"/>
        <w:spacing w:line="360" w:lineRule="auto"/>
        <w:ind w:left="0"/>
        <w:jc w:val="both"/>
        <w:rPr>
          <w:rFonts w:ascii="Times New Roman" w:hAnsi="Times New Roman" w:cs="Times New Roman"/>
        </w:rPr>
      </w:pPr>
    </w:p>
    <w:p w:rsidR="00104BBD" w:rsidRDefault="002E3E01">
      <w:pPr>
        <w:pStyle w:val="a3"/>
        <w:kinsoku w:val="0"/>
        <w:overflowPunct w:val="0"/>
        <w:adjustRightInd w:val="0"/>
        <w:spacing w:line="360" w:lineRule="auto"/>
        <w:ind w:left="0" w:firstLineChars="200" w:firstLine="484"/>
        <w:jc w:val="both"/>
        <w:rPr>
          <w:rFonts w:ascii="Times New Roman" w:hAnsi="Times New Roman" w:cs="Times New Roman"/>
          <w:b/>
          <w:spacing w:val="1"/>
        </w:rPr>
      </w:pPr>
      <w:r>
        <w:rPr>
          <w:rFonts w:ascii="Times New Roman" w:hAnsi="Times New Roman" w:cs="Times New Roman" w:hint="eastAsia"/>
          <w:b/>
          <w:spacing w:val="1"/>
        </w:rPr>
        <w:t>二、更新情况说明</w:t>
      </w:r>
    </w:p>
    <w:p w:rsidR="00104BBD" w:rsidRDefault="002E3E01">
      <w:pPr>
        <w:pStyle w:val="a3"/>
        <w:kinsoku w:val="0"/>
        <w:overflowPunct w:val="0"/>
        <w:spacing w:line="360" w:lineRule="auto"/>
        <w:ind w:firstLineChars="200" w:firstLine="482"/>
        <w:jc w:val="both"/>
        <w:rPr>
          <w:rFonts w:ascii="Times New Roman" w:hAnsi="Times New Roman" w:cs="Times New Roman"/>
          <w:spacing w:val="1"/>
        </w:rPr>
      </w:pPr>
      <w:r>
        <w:rPr>
          <w:rFonts w:ascii="Times New Roman" w:hAnsi="Times New Roman" w:cs="Times New Roman" w:hint="eastAsia"/>
          <w:spacing w:val="1"/>
        </w:rPr>
        <w:t>上交所</w:t>
      </w:r>
      <w:r>
        <w:rPr>
          <w:rFonts w:ascii="Times New Roman" w:hAnsi="Times New Roman" w:cs="Times New Roman"/>
          <w:spacing w:val="1"/>
        </w:rPr>
        <w:t>ETF</w:t>
      </w:r>
      <w:r>
        <w:rPr>
          <w:rFonts w:ascii="Times New Roman" w:hAnsi="Times New Roman" w:cs="Times New Roman" w:hint="eastAsia"/>
          <w:spacing w:val="1"/>
        </w:rPr>
        <w:t>申购赎回清单新增</w:t>
      </w:r>
      <w:r>
        <w:rPr>
          <w:rFonts w:ascii="Times New Roman" w:hAnsi="Times New Roman" w:cs="Times New Roman"/>
          <w:spacing w:val="1"/>
        </w:rPr>
        <w:t>xml</w:t>
      </w:r>
      <w:r>
        <w:rPr>
          <w:rFonts w:ascii="Times New Roman" w:hAnsi="Times New Roman" w:cs="Times New Roman" w:hint="eastAsia"/>
          <w:spacing w:val="1"/>
        </w:rPr>
        <w:t>版本，除格式变更外，主要调整包括：</w:t>
      </w:r>
    </w:p>
    <w:p w:rsidR="00104BBD" w:rsidRDefault="002E3E01">
      <w:pPr>
        <w:pStyle w:val="a3"/>
        <w:kinsoku w:val="0"/>
        <w:overflowPunct w:val="0"/>
        <w:spacing w:line="360" w:lineRule="auto"/>
        <w:ind w:firstLineChars="200" w:firstLine="482"/>
        <w:jc w:val="both"/>
        <w:rPr>
          <w:rFonts w:ascii="Times New Roman" w:hAnsi="Times New Roman" w:cs="Times New Roman"/>
          <w:spacing w:val="1"/>
        </w:rPr>
      </w:pPr>
      <w:r>
        <w:rPr>
          <w:rFonts w:ascii="Times New Roman" w:hAnsi="Times New Roman" w:cs="Times New Roman" w:hint="eastAsia"/>
          <w:spacing w:val="1"/>
        </w:rPr>
        <w:t>（</w:t>
      </w:r>
      <w:r>
        <w:rPr>
          <w:rFonts w:ascii="Times New Roman" w:hAnsi="Times New Roman" w:cs="Times New Roman"/>
          <w:spacing w:val="1"/>
        </w:rPr>
        <w:t>1</w:t>
      </w:r>
      <w:r>
        <w:rPr>
          <w:rFonts w:ascii="Times New Roman" w:hAnsi="Times New Roman" w:cs="Times New Roman" w:hint="eastAsia"/>
          <w:spacing w:val="1"/>
        </w:rPr>
        <w:t>）启用“挂牌市场”字段；</w:t>
      </w:r>
    </w:p>
    <w:p w:rsidR="00104BBD" w:rsidRDefault="002E3E01">
      <w:pPr>
        <w:pStyle w:val="a3"/>
        <w:kinsoku w:val="0"/>
        <w:overflowPunct w:val="0"/>
        <w:spacing w:line="360" w:lineRule="auto"/>
        <w:ind w:firstLineChars="200" w:firstLine="482"/>
        <w:jc w:val="both"/>
        <w:rPr>
          <w:rFonts w:ascii="Times New Roman" w:hAnsi="Times New Roman" w:cs="Times New Roman"/>
          <w:spacing w:val="1"/>
        </w:rPr>
      </w:pPr>
      <w:r>
        <w:rPr>
          <w:rFonts w:ascii="Times New Roman" w:hAnsi="Times New Roman" w:cs="Times New Roman" w:hint="eastAsia"/>
          <w:spacing w:val="1"/>
        </w:rPr>
        <w:t>（</w:t>
      </w:r>
      <w:r>
        <w:rPr>
          <w:rFonts w:ascii="Times New Roman" w:hAnsi="Times New Roman" w:cs="Times New Roman"/>
          <w:spacing w:val="1"/>
        </w:rPr>
        <w:t>2</w:t>
      </w:r>
      <w:r>
        <w:rPr>
          <w:rFonts w:ascii="Times New Roman" w:hAnsi="Times New Roman" w:cs="Times New Roman" w:hint="eastAsia"/>
          <w:spacing w:val="1"/>
        </w:rPr>
        <w:t>）调整“现金替代标志”字段描述，统一调整为“</w:t>
      </w:r>
      <w:r>
        <w:rPr>
          <w:rFonts w:ascii="Times New Roman" w:hAnsi="Times New Roman" w:cs="Times New Roman"/>
          <w:spacing w:val="1"/>
        </w:rPr>
        <w:t>0-</w:t>
      </w:r>
      <w:r>
        <w:rPr>
          <w:rFonts w:ascii="Times New Roman" w:hAnsi="Times New Roman" w:cs="Times New Roman" w:hint="eastAsia"/>
          <w:spacing w:val="1"/>
        </w:rPr>
        <w:t>禁止现金替代”“</w:t>
      </w:r>
      <w:r>
        <w:rPr>
          <w:rFonts w:ascii="Times New Roman" w:hAnsi="Times New Roman" w:cs="Times New Roman"/>
          <w:spacing w:val="1"/>
        </w:rPr>
        <w:t>1-</w:t>
      </w:r>
      <w:r>
        <w:rPr>
          <w:rFonts w:ascii="Times New Roman" w:hAnsi="Times New Roman" w:cs="Times New Roman" w:hint="eastAsia"/>
          <w:spacing w:val="1"/>
        </w:rPr>
        <w:t>允许现金替代”“</w:t>
      </w:r>
      <w:r>
        <w:rPr>
          <w:rFonts w:ascii="Times New Roman" w:hAnsi="Times New Roman" w:cs="Times New Roman"/>
          <w:spacing w:val="1"/>
        </w:rPr>
        <w:t>2-</w:t>
      </w:r>
      <w:r>
        <w:rPr>
          <w:rFonts w:ascii="Times New Roman" w:hAnsi="Times New Roman" w:cs="Times New Roman" w:hint="eastAsia"/>
          <w:spacing w:val="1"/>
        </w:rPr>
        <w:t>必须现金替代”三类；</w:t>
      </w:r>
    </w:p>
    <w:p w:rsidR="00104BBD" w:rsidRDefault="002E3E01">
      <w:pPr>
        <w:pStyle w:val="a3"/>
        <w:kinsoku w:val="0"/>
        <w:overflowPunct w:val="0"/>
        <w:spacing w:line="360" w:lineRule="auto"/>
        <w:ind w:firstLineChars="200" w:firstLine="482"/>
        <w:jc w:val="both"/>
        <w:rPr>
          <w:rFonts w:ascii="Times New Roman" w:hAnsi="Times New Roman" w:cs="Times New Roman"/>
          <w:spacing w:val="1"/>
        </w:rPr>
      </w:pPr>
      <w:r>
        <w:rPr>
          <w:rFonts w:ascii="Times New Roman" w:hAnsi="Times New Roman" w:cs="Times New Roman" w:hint="eastAsia"/>
          <w:spacing w:val="1"/>
        </w:rPr>
        <w:t>（</w:t>
      </w:r>
      <w:r>
        <w:rPr>
          <w:rFonts w:ascii="Times New Roman" w:hAnsi="Times New Roman" w:cs="Times New Roman"/>
          <w:spacing w:val="1"/>
        </w:rPr>
        <w:t>3</w:t>
      </w:r>
      <w:r>
        <w:rPr>
          <w:rFonts w:ascii="Times New Roman" w:hAnsi="Times New Roman" w:cs="Times New Roman" w:hint="eastAsia"/>
          <w:spacing w:val="1"/>
        </w:rPr>
        <w:t>）新增“当日净申购的基金份额上限”“当日净赎回的基金份额上限”</w:t>
      </w:r>
      <w:r>
        <w:rPr>
          <w:rFonts w:ascii="Times New Roman" w:hAnsi="Times New Roman" w:cs="Times New Roman" w:hint="eastAsia"/>
          <w:spacing w:val="1"/>
        </w:rPr>
        <w:lastRenderedPageBreak/>
        <w:t>字段；新增“单个证券账户当日净申购的基金份额上限”“单个证券账户当日净赎回的基金份额上限”</w:t>
      </w:r>
      <w:r>
        <w:rPr>
          <w:rFonts w:hAnsi="Times New Roman" w:hint="eastAsia"/>
          <w:sz w:val="21"/>
          <w:szCs w:val="21"/>
        </w:rPr>
        <w:t xml:space="preserve"> </w:t>
      </w:r>
      <w:r>
        <w:rPr>
          <w:rFonts w:ascii="Times New Roman" w:hAnsi="Times New Roman" w:cs="Times New Roman" w:hint="eastAsia"/>
          <w:spacing w:val="1"/>
        </w:rPr>
        <w:t>字段；新增“单个证券账户当日累计可申购的基金份额上限”“单个证券账户当日累计可赎回的基金份额上限”字段；原“申购上限”“赎回上限”字段调整为“当日累计可申购的基金份额上限”“当日累计可赎回的基金份额上限”；</w:t>
      </w:r>
    </w:p>
    <w:p w:rsidR="00104BBD" w:rsidRDefault="002E3E01">
      <w:pPr>
        <w:pStyle w:val="a3"/>
        <w:kinsoku w:val="0"/>
        <w:overflowPunct w:val="0"/>
        <w:spacing w:line="360" w:lineRule="auto"/>
        <w:ind w:firstLineChars="200" w:firstLine="482"/>
        <w:jc w:val="both"/>
        <w:rPr>
          <w:rFonts w:ascii="Times New Roman" w:hAnsi="Times New Roman" w:cs="Times New Roman"/>
          <w:spacing w:val="1"/>
        </w:rPr>
      </w:pPr>
      <w:r>
        <w:rPr>
          <w:rFonts w:ascii="Times New Roman" w:hAnsi="Times New Roman" w:cs="Times New Roman" w:hint="eastAsia"/>
          <w:spacing w:val="1"/>
        </w:rPr>
        <w:t>（</w:t>
      </w:r>
      <w:r>
        <w:rPr>
          <w:rFonts w:ascii="Times New Roman" w:hAnsi="Times New Roman" w:cs="Times New Roman"/>
          <w:spacing w:val="1"/>
        </w:rPr>
        <w:t>4</w:t>
      </w:r>
      <w:r>
        <w:rPr>
          <w:rFonts w:ascii="Times New Roman" w:hAnsi="Times New Roman" w:cs="Times New Roman" w:hint="eastAsia"/>
          <w:spacing w:val="1"/>
        </w:rPr>
        <w:t>）增加部分字段长度；</w:t>
      </w:r>
    </w:p>
    <w:p w:rsidR="00104BBD" w:rsidRDefault="002E3E01">
      <w:pPr>
        <w:pStyle w:val="a3"/>
        <w:kinsoku w:val="0"/>
        <w:overflowPunct w:val="0"/>
        <w:spacing w:line="360" w:lineRule="auto"/>
        <w:ind w:firstLineChars="200" w:firstLine="482"/>
        <w:jc w:val="both"/>
        <w:rPr>
          <w:rFonts w:ascii="Times New Roman" w:hAnsi="Times New Roman" w:cs="Times New Roman"/>
          <w:spacing w:val="1"/>
        </w:rPr>
      </w:pPr>
      <w:r>
        <w:rPr>
          <w:rFonts w:ascii="Times New Roman" w:hAnsi="Times New Roman" w:cs="Times New Roman" w:hint="eastAsia"/>
          <w:spacing w:val="1"/>
        </w:rPr>
        <w:t>（</w:t>
      </w:r>
      <w:r>
        <w:rPr>
          <w:rFonts w:ascii="Times New Roman" w:hAnsi="Times New Roman" w:cs="Times New Roman"/>
          <w:spacing w:val="1"/>
        </w:rPr>
        <w:t>5</w:t>
      </w:r>
      <w:r>
        <w:rPr>
          <w:rFonts w:ascii="Times New Roman" w:hAnsi="Times New Roman" w:cs="Times New Roman" w:hint="eastAsia"/>
          <w:spacing w:val="1"/>
        </w:rPr>
        <w:t>）新增“申购赎回模式”字段。</w:t>
      </w:r>
    </w:p>
    <w:p w:rsidR="00104BBD" w:rsidRDefault="002E3E01">
      <w:pPr>
        <w:pStyle w:val="a3"/>
        <w:kinsoku w:val="0"/>
        <w:overflowPunct w:val="0"/>
        <w:spacing w:line="360" w:lineRule="auto"/>
        <w:ind w:firstLineChars="200" w:firstLine="482"/>
        <w:jc w:val="both"/>
        <w:rPr>
          <w:rFonts w:ascii="Times New Roman" w:hAnsi="Times New Roman" w:cs="Times New Roman"/>
          <w:spacing w:val="1"/>
        </w:rPr>
      </w:pPr>
      <w:r>
        <w:rPr>
          <w:rFonts w:ascii="Times New Roman" w:hAnsi="Times New Roman" w:cs="Times New Roman" w:hint="eastAsia"/>
          <w:spacing w:val="1"/>
        </w:rPr>
        <w:t>具体更新内容详见上交所的相关说明。</w:t>
      </w:r>
    </w:p>
    <w:p w:rsidR="00104BBD" w:rsidRDefault="002E3E01">
      <w:pPr>
        <w:pStyle w:val="a3"/>
        <w:kinsoku w:val="0"/>
        <w:overflowPunct w:val="0"/>
        <w:spacing w:line="360" w:lineRule="auto"/>
        <w:ind w:firstLineChars="200" w:firstLine="482"/>
        <w:jc w:val="both"/>
        <w:rPr>
          <w:rFonts w:ascii="Times New Roman" w:hAnsi="Times New Roman" w:cs="Times New Roman"/>
          <w:spacing w:val="1"/>
        </w:rPr>
      </w:pPr>
      <w:r>
        <w:rPr>
          <w:rFonts w:ascii="Times New Roman" w:hAnsi="Times New Roman" w:cs="Times New Roman" w:hint="eastAsia"/>
          <w:spacing w:val="1"/>
        </w:rPr>
        <w:t>自</w:t>
      </w:r>
      <w:r>
        <w:rPr>
          <w:rFonts w:ascii="Times New Roman" w:hAnsi="Times New Roman" w:cs="Times New Roman"/>
          <w:spacing w:val="1"/>
        </w:rPr>
        <w:t>2025</w:t>
      </w:r>
      <w:r>
        <w:rPr>
          <w:rFonts w:ascii="Times New Roman" w:hAnsi="Times New Roman" w:cs="Times New Roman" w:hint="eastAsia"/>
          <w:spacing w:val="1"/>
        </w:rPr>
        <w:t>年</w:t>
      </w:r>
      <w:r>
        <w:rPr>
          <w:rFonts w:ascii="Times New Roman" w:hAnsi="Times New Roman" w:cs="Times New Roman"/>
          <w:spacing w:val="1"/>
        </w:rPr>
        <w:t>11</w:t>
      </w:r>
      <w:r>
        <w:rPr>
          <w:rFonts w:ascii="Times New Roman" w:hAnsi="Times New Roman" w:cs="Times New Roman" w:hint="eastAsia"/>
          <w:spacing w:val="1"/>
        </w:rPr>
        <w:t>月</w:t>
      </w:r>
      <w:r>
        <w:rPr>
          <w:rFonts w:ascii="Times New Roman" w:hAnsi="Times New Roman" w:cs="Times New Roman"/>
          <w:spacing w:val="1"/>
        </w:rPr>
        <w:t>24</w:t>
      </w:r>
      <w:r>
        <w:rPr>
          <w:rFonts w:ascii="Times New Roman" w:hAnsi="Times New Roman" w:cs="Times New Roman" w:hint="eastAsia"/>
          <w:spacing w:val="1"/>
        </w:rPr>
        <w:t>日起，上述</w:t>
      </w:r>
      <w:r>
        <w:rPr>
          <w:rFonts w:ascii="Times New Roman" w:hAnsi="Times New Roman" w:cs="Times New Roman"/>
          <w:spacing w:val="1"/>
        </w:rPr>
        <w:t>ETF</w:t>
      </w:r>
      <w:r>
        <w:rPr>
          <w:rFonts w:ascii="Times New Roman" w:hAnsi="Times New Roman" w:cs="Times New Roman" w:hint="eastAsia"/>
          <w:spacing w:val="1"/>
        </w:rPr>
        <w:t>将采用新版申购赎回清单，具体内容以上交所实际公布的清单为准。本公司也将对上述基金的招募说明书、基金产品资料概要（如涉及）进行相应修订。</w:t>
      </w:r>
    </w:p>
    <w:p w:rsidR="00104BBD" w:rsidRDefault="00104BBD" w:rsidP="00D6623E">
      <w:pPr>
        <w:pStyle w:val="a3"/>
        <w:kinsoku w:val="0"/>
        <w:overflowPunct w:val="0"/>
        <w:adjustRightInd w:val="0"/>
        <w:spacing w:line="360" w:lineRule="auto"/>
        <w:ind w:left="0"/>
        <w:jc w:val="both"/>
        <w:rPr>
          <w:rFonts w:ascii="Times New Roman" w:hAnsi="Times New Roman" w:cs="Times New Roman"/>
          <w:b/>
          <w:spacing w:val="1"/>
        </w:rPr>
      </w:pPr>
    </w:p>
    <w:p w:rsidR="00104BBD" w:rsidRDefault="002E3E01">
      <w:pPr>
        <w:adjustRightInd w:val="0"/>
        <w:spacing w:line="360" w:lineRule="auto"/>
        <w:ind w:firstLineChars="200" w:firstLine="480"/>
        <w:jc w:val="both"/>
        <w:rPr>
          <w:sz w:val="24"/>
          <w:szCs w:val="24"/>
        </w:rPr>
      </w:pPr>
      <w:r>
        <w:rPr>
          <w:rFonts w:hint="eastAsia"/>
          <w:sz w:val="24"/>
          <w:szCs w:val="24"/>
        </w:rPr>
        <w:t>本次更新符合相关法律法规及基金合同的规定，本公告主要对本公司旗下上交所</w:t>
      </w:r>
      <w:r>
        <w:rPr>
          <w:sz w:val="24"/>
          <w:szCs w:val="24"/>
        </w:rPr>
        <w:t>ETF</w:t>
      </w:r>
      <w:r>
        <w:rPr>
          <w:rFonts w:hint="eastAsia"/>
          <w:sz w:val="24"/>
          <w:szCs w:val="24"/>
        </w:rPr>
        <w:t>申购赎回清单版本更新的有关事项予以说明。投资者欲了解各</w:t>
      </w:r>
      <w:r>
        <w:rPr>
          <w:sz w:val="24"/>
          <w:szCs w:val="24"/>
        </w:rPr>
        <w:t>ETF</w:t>
      </w:r>
      <w:r>
        <w:rPr>
          <w:rFonts w:hint="eastAsia"/>
          <w:sz w:val="24"/>
          <w:szCs w:val="24"/>
        </w:rPr>
        <w:t>的详细情况，请阅读各</w:t>
      </w:r>
      <w:r>
        <w:rPr>
          <w:sz w:val="24"/>
          <w:szCs w:val="24"/>
        </w:rPr>
        <w:t>ETF</w:t>
      </w:r>
      <w:r>
        <w:rPr>
          <w:rFonts w:hint="eastAsia"/>
          <w:sz w:val="24"/>
          <w:szCs w:val="24"/>
        </w:rPr>
        <w:t>的基金合同、招募说明书（更新）、基金产品资料概要（更新）及相关公告。</w:t>
      </w:r>
    </w:p>
    <w:p w:rsidR="00104BBD" w:rsidRDefault="00104BBD">
      <w:pPr>
        <w:adjustRightInd w:val="0"/>
        <w:spacing w:line="360" w:lineRule="auto"/>
        <w:ind w:firstLineChars="200" w:firstLine="480"/>
        <w:rPr>
          <w:sz w:val="24"/>
          <w:szCs w:val="24"/>
        </w:rPr>
      </w:pPr>
    </w:p>
    <w:p w:rsidR="00104BBD" w:rsidRDefault="002E3E01">
      <w:pPr>
        <w:adjustRightInd w:val="0"/>
        <w:spacing w:line="360" w:lineRule="auto"/>
        <w:ind w:firstLineChars="200" w:firstLine="480"/>
        <w:rPr>
          <w:sz w:val="24"/>
          <w:szCs w:val="24"/>
        </w:rPr>
      </w:pPr>
      <w:r>
        <w:rPr>
          <w:rFonts w:hint="eastAsia"/>
          <w:sz w:val="24"/>
          <w:szCs w:val="24"/>
        </w:rPr>
        <w:t>如有疑问，投资者可访问本公司网站（</w:t>
      </w:r>
      <w:hyperlink r:id="rId7" w:history="1">
        <w:r>
          <w:rPr>
            <w:rFonts w:hint="eastAsia"/>
            <w:sz w:val="24"/>
            <w:szCs w:val="24"/>
          </w:rPr>
          <w:t>w</w:t>
        </w:r>
        <w:r>
          <w:rPr>
            <w:sz w:val="24"/>
            <w:szCs w:val="24"/>
          </w:rPr>
          <w:t>ww.phfund.com</w:t>
        </w:r>
      </w:hyperlink>
      <w:r>
        <w:rPr>
          <w:sz w:val="24"/>
          <w:szCs w:val="24"/>
        </w:rPr>
        <w:t>.cn</w:t>
      </w:r>
      <w:r>
        <w:rPr>
          <w:rFonts w:hint="eastAsia"/>
          <w:sz w:val="24"/>
          <w:szCs w:val="24"/>
        </w:rPr>
        <w:t>）或拨打客户服务电话（400-6788-533）咨询相关事宜。</w:t>
      </w:r>
    </w:p>
    <w:p w:rsidR="00104BBD" w:rsidRDefault="00104BBD">
      <w:pPr>
        <w:adjustRightInd w:val="0"/>
        <w:spacing w:line="360" w:lineRule="auto"/>
        <w:ind w:firstLineChars="200" w:firstLine="480"/>
        <w:rPr>
          <w:sz w:val="24"/>
          <w:szCs w:val="24"/>
        </w:rPr>
      </w:pPr>
    </w:p>
    <w:p w:rsidR="00104BBD" w:rsidRDefault="002E3E01">
      <w:pPr>
        <w:adjustRightInd w:val="0"/>
        <w:spacing w:line="360" w:lineRule="auto"/>
        <w:ind w:firstLineChars="200" w:firstLine="480"/>
        <w:rPr>
          <w:rFonts w:cs="Times New Roman"/>
        </w:rPr>
      </w:pPr>
      <w:r>
        <w:rPr>
          <w:rFonts w:hint="eastAsia"/>
          <w:sz w:val="24"/>
          <w:szCs w:val="24"/>
        </w:rPr>
        <w:t>风险提示：基金管理人依照恪尽职守、诚实信用、谨慎勤勉的原则管理和运用基金财产，但不保证基金一定盈利，也不保证最低收益。基金的过往业绩及其净值高低并不预示其未来业绩表现。基金管理人提醒投资人基金投资的“买者自负”原则，在做出投资决策后，基金运营状况与基金净值变化引致的投资风险，由投资人自行负担。投资有风险，投资者在投资基金之前，请仔细阅读基金的基金合同、招募说明书</w:t>
      </w:r>
      <w:r>
        <w:rPr>
          <w:sz w:val="24"/>
          <w:szCs w:val="24"/>
        </w:rPr>
        <w:t>(</w:t>
      </w:r>
      <w:r>
        <w:rPr>
          <w:rFonts w:hint="eastAsia"/>
          <w:sz w:val="24"/>
          <w:szCs w:val="24"/>
        </w:rPr>
        <w:t>更新</w:t>
      </w:r>
      <w:r>
        <w:rPr>
          <w:sz w:val="24"/>
          <w:szCs w:val="24"/>
        </w:rPr>
        <w:t>)</w:t>
      </w:r>
      <w:r>
        <w:rPr>
          <w:rFonts w:hint="eastAsia"/>
          <w:sz w:val="24"/>
          <w:szCs w:val="24"/>
        </w:rPr>
        <w:t>和基金产品资料概要</w:t>
      </w:r>
      <w:r>
        <w:rPr>
          <w:sz w:val="24"/>
          <w:szCs w:val="24"/>
        </w:rPr>
        <w:t>(</w:t>
      </w:r>
      <w:r>
        <w:rPr>
          <w:rFonts w:hint="eastAsia"/>
          <w:sz w:val="24"/>
          <w:szCs w:val="24"/>
        </w:rPr>
        <w:t>更新</w:t>
      </w:r>
      <w:r>
        <w:rPr>
          <w:sz w:val="24"/>
          <w:szCs w:val="24"/>
        </w:rPr>
        <w:t>)</w:t>
      </w:r>
      <w:r>
        <w:rPr>
          <w:rFonts w:hint="eastAsia"/>
          <w:sz w:val="24"/>
          <w:szCs w:val="24"/>
        </w:rPr>
        <w:t>等法律文件，全面认识基金的风险收益特征和产品特性，充分考虑自身的风险承受能力，在了解产品情况、听取销售机构/证券经纪机构适当性匹配意见的基础上，理性判断市场，谨慎做出投资决策。基金具体风险评级结果以销售机构/证券经纪机构提供的评级结果为准。</w:t>
      </w:r>
    </w:p>
    <w:p w:rsidR="00104BBD" w:rsidRDefault="00104BBD">
      <w:pPr>
        <w:pStyle w:val="a3"/>
        <w:overflowPunct w:val="0"/>
        <w:adjustRightInd w:val="0"/>
        <w:spacing w:line="360" w:lineRule="auto"/>
        <w:ind w:left="0" w:firstLineChars="200" w:firstLine="480"/>
        <w:jc w:val="both"/>
        <w:rPr>
          <w:rFonts w:cs="Times New Roman"/>
        </w:rPr>
      </w:pPr>
    </w:p>
    <w:p w:rsidR="00104BBD" w:rsidRDefault="002E3E01">
      <w:pPr>
        <w:pStyle w:val="a3"/>
        <w:overflowPunct w:val="0"/>
        <w:adjustRightInd w:val="0"/>
        <w:spacing w:line="360" w:lineRule="auto"/>
        <w:ind w:left="0" w:firstLineChars="200" w:firstLine="480"/>
        <w:jc w:val="both"/>
        <w:rPr>
          <w:rFonts w:cs="Times New Roman"/>
        </w:rPr>
      </w:pPr>
      <w:r>
        <w:rPr>
          <w:rFonts w:cs="Times New Roman"/>
        </w:rPr>
        <w:t>特此公告。</w:t>
      </w:r>
    </w:p>
    <w:p w:rsidR="00104BBD" w:rsidRDefault="00104BBD">
      <w:pPr>
        <w:pStyle w:val="a3"/>
        <w:overflowPunct w:val="0"/>
        <w:adjustRightInd w:val="0"/>
        <w:spacing w:line="360" w:lineRule="auto"/>
        <w:ind w:left="0" w:firstLineChars="200" w:firstLine="480"/>
        <w:jc w:val="both"/>
        <w:rPr>
          <w:rFonts w:cs="Times New Roman"/>
        </w:rPr>
      </w:pPr>
    </w:p>
    <w:p w:rsidR="00104BBD" w:rsidRDefault="002E3E01">
      <w:pPr>
        <w:pStyle w:val="a3"/>
        <w:overflowPunct w:val="0"/>
        <w:adjustRightInd w:val="0"/>
        <w:spacing w:line="360" w:lineRule="auto"/>
        <w:ind w:left="0" w:firstLineChars="200" w:firstLine="480"/>
        <w:jc w:val="right"/>
        <w:rPr>
          <w:rFonts w:cs="Times New Roman"/>
        </w:rPr>
      </w:pPr>
      <w:r>
        <w:rPr>
          <w:rFonts w:cs="Times New Roman"/>
        </w:rPr>
        <w:t>鹏华基金管理有限公司</w:t>
      </w:r>
    </w:p>
    <w:p w:rsidR="00104BBD" w:rsidRDefault="002E3E01" w:rsidP="00D6623E">
      <w:pPr>
        <w:pStyle w:val="a3"/>
        <w:overflowPunct w:val="0"/>
        <w:adjustRightInd w:val="0"/>
        <w:spacing w:line="360" w:lineRule="auto"/>
        <w:ind w:left="0" w:firstLineChars="200" w:firstLine="480"/>
        <w:jc w:val="right"/>
        <w:rPr>
          <w:rFonts w:cs="Times New Roman"/>
        </w:rPr>
      </w:pPr>
      <w:r>
        <w:rPr>
          <w:rFonts w:cs="Times New Roman" w:hint="eastAsia"/>
        </w:rPr>
        <w:t>2025年</w:t>
      </w:r>
      <w:r>
        <w:rPr>
          <w:rFonts w:cs="Times New Roman"/>
        </w:rPr>
        <w:t>11</w:t>
      </w:r>
      <w:r>
        <w:rPr>
          <w:rFonts w:cs="Times New Roman" w:hint="eastAsia"/>
        </w:rPr>
        <w:t>月</w:t>
      </w:r>
      <w:r>
        <w:rPr>
          <w:rFonts w:cs="Times New Roman"/>
        </w:rPr>
        <w:t>24</w:t>
      </w:r>
      <w:r>
        <w:rPr>
          <w:rFonts w:cs="Times New Roman" w:hint="eastAsia"/>
        </w:rPr>
        <w:t>日</w:t>
      </w:r>
    </w:p>
    <w:sectPr w:rsidR="00104BBD" w:rsidSect="00A24137">
      <w:footerReference w:type="default" r:id="rId8"/>
      <w:pgSz w:w="11910" w:h="16840"/>
      <w:pgMar w:top="1460" w:right="1560" w:bottom="1380" w:left="1680" w:header="0" w:footer="1194" w:gutter="0"/>
      <w:cols w:space="720"/>
      <w:docGrid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E3E01" w:rsidRDefault="002E3E01">
      <w:r>
        <w:separator/>
      </w:r>
    </w:p>
  </w:endnote>
  <w:endnote w:type="continuationSeparator" w:id="0">
    <w:p w:rsidR="002E3E01" w:rsidRDefault="002E3E0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黑体">
    <w:altName w:val="SimHei"/>
    <w:panose1 w:val="02010600030101010101"/>
    <w:charset w:val="86"/>
    <w:family w:val="auto"/>
    <w:pitch w:val="variable"/>
    <w:sig w:usb0="00000001" w:usb1="080E0000" w:usb2="00000010" w:usb3="00000000" w:csb0="00040000" w:csb1="00000000"/>
  </w:font>
  <w:font w:name="Arial">
    <w:panose1 w:val="020B0604020202020204"/>
    <w:charset w:val="00"/>
    <w:family w:val="swiss"/>
    <w:pitch w:val="variable"/>
    <w:sig w:usb0="20002A87" w:usb1="80000000" w:usb2="00000008"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4BBD" w:rsidRDefault="00A24137">
    <w:pPr>
      <w:pStyle w:val="a3"/>
      <w:spacing w:line="14" w:lineRule="auto"/>
      <w:ind w:left="0"/>
      <w:rPr>
        <w:sz w:val="20"/>
      </w:rPr>
    </w:pPr>
    <w:r w:rsidRPr="00A24137">
      <w:rPr>
        <w:noProof/>
      </w:rPr>
      <w:pict>
        <v:rect id="Text Box 1" o:spid="_x0000_s2049" style="position:absolute;margin-left:292.3pt;margin-top:771.2pt;width:10.65pt;height:11.15pt;z-index:-251658752;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" filled="f" stroked="f">
          <v:stroke joinstyle="round"/>
          <v:path arrowok="t"/>
          <v:textbox inset="0,0,0,0">
            <w:txbxContent>
              <w:p w:rsidR="00104BBD" w:rsidRDefault="00A24137">
                <w:pPr>
                  <w:spacing w:line="205" w:lineRule="exact"/>
                  <w:ind w:left="60"/>
                  <w:rPr>
                    <w:rFonts w:ascii="Calibri" w:hAnsi="Calibri"/>
                    <w:sz w:val="18"/>
                  </w:rPr>
                </w:pPr>
                <w:r>
                  <w:fldChar w:fldCharType="begin"/>
                </w:r>
                <w:r w:rsidR="002E3E01">
                  <w:rPr>
                    <w:rFonts w:ascii="Calibri" w:hAnsi="Calibri"/>
                    <w:w w:val="101"/>
                    <w:sz w:val="18"/>
                  </w:rPr>
                  <w:instrText xml:space="preserve"> PAGE </w:instrText>
                </w:r>
                <w:r>
                  <w:fldChar w:fldCharType="separate"/>
                </w:r>
                <w:r w:rsidR="00DD5550">
                  <w:rPr>
                    <w:rFonts w:ascii="Calibri" w:hAnsi="Calibri"/>
                    <w:noProof/>
                    <w:w w:val="101"/>
                    <w:sz w:val="18"/>
                  </w:rPr>
                  <w:t>1</w:t>
                </w:r>
                <w:r>
                  <w:fldChar w:fldCharType="end"/>
                </w:r>
              </w:p>
            </w:txbxContent>
          </v:textbox>
          <w10:wrap anchorx="page" anchory="page"/>
        </v:rect>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E3E01" w:rsidRDefault="002E3E01">
      <w:r>
        <w:separator/>
      </w:r>
    </w:p>
  </w:footnote>
  <w:footnote w:type="continuationSeparator" w:id="0">
    <w:p w:rsidR="002E3E01" w:rsidRDefault="002E3E0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720"/>
  <w:drawingGridHorizontalSpacing w:val="110"/>
  <w:drawingGridVerticalSpacing w:val="156"/>
  <w:displayHorizontalDrawingGridEvery w:val="2"/>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ulTrailSpace/>
    <w:useFELayout/>
  </w:compat>
  <w:rsids>
    <w:rsidRoot w:val="00104BBD"/>
    <w:rsid w:val="00104BBD"/>
    <w:rsid w:val="002E3E01"/>
    <w:rsid w:val="0099022A"/>
    <w:rsid w:val="00A24137"/>
    <w:rsid w:val="00D6623E"/>
    <w:rsid w:val="00DD555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Lucida Sans"/>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24137"/>
    <w:pPr>
      <w:widowControl w:val="0"/>
      <w:autoSpaceDE w:val="0"/>
      <w:autoSpaceDN w:val="0"/>
    </w:pPr>
    <w:rPr>
      <w:rFonts w:ascii="宋体" w:hAnsi="宋体" w:cs="宋体"/>
      <w:sz w:val="22"/>
      <w:szCs w:val="22"/>
    </w:rPr>
  </w:style>
  <w:style w:type="paragraph" w:styleId="1">
    <w:name w:val="heading 1"/>
    <w:basedOn w:val="a"/>
    <w:link w:val="1Char"/>
    <w:qFormat/>
    <w:rsid w:val="00A24137"/>
    <w:pPr>
      <w:spacing w:before="160"/>
      <w:ind w:left="600"/>
      <w:outlineLvl w:val="0"/>
    </w:pPr>
    <w:rPr>
      <w:b/>
      <w:bCs/>
      <w:sz w:val="24"/>
      <w:szCs w:val="24"/>
    </w:rPr>
  </w:style>
  <w:style w:type="paragraph" w:styleId="2">
    <w:name w:val="heading 2"/>
    <w:basedOn w:val="a"/>
    <w:next w:val="a"/>
    <w:link w:val="2Char"/>
    <w:qFormat/>
    <w:rsid w:val="00A24137"/>
    <w:pPr>
      <w:keepNext/>
      <w:keepLines/>
      <w:spacing w:before="260" w:after="260" w:line="415" w:lineRule="auto"/>
      <w:outlineLvl w:val="1"/>
    </w:pPr>
    <w:rPr>
      <w:rFonts w:ascii="Cambria" w:hAnsi="Cambria" w:cs="Times New Roman"/>
      <w:b/>
      <w:bCs/>
      <w:sz w:val="32"/>
      <w:szCs w:val="32"/>
    </w:rPr>
  </w:style>
  <w:style w:type="paragraph" w:styleId="3">
    <w:name w:val="heading 3"/>
    <w:basedOn w:val="a"/>
    <w:next w:val="a"/>
    <w:link w:val="3Char"/>
    <w:qFormat/>
    <w:rsid w:val="00A24137"/>
    <w:pPr>
      <w:keepNext/>
      <w:keepLines/>
      <w:spacing w:before="260" w:after="260" w:line="415"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sid w:val="00A24137"/>
    <w:rPr>
      <w:rFonts w:ascii="宋体" w:eastAsia="宋体" w:hAnsi="宋体" w:cs="宋体"/>
      <w:b/>
      <w:bCs/>
      <w:sz w:val="24"/>
      <w:szCs w:val="24"/>
      <w:lang w:val="en-US" w:eastAsia="zh-CN" w:bidi="ar-SA"/>
    </w:rPr>
  </w:style>
  <w:style w:type="character" w:customStyle="1" w:styleId="2Char">
    <w:name w:val="标题 2 Char"/>
    <w:basedOn w:val="a0"/>
    <w:link w:val="2"/>
    <w:rsid w:val="00A24137"/>
    <w:rPr>
      <w:rFonts w:ascii="Cambria" w:eastAsia="宋体" w:hAnsi="Cambria" w:cs="Times New Roman"/>
      <w:b/>
      <w:bCs/>
      <w:sz w:val="32"/>
      <w:szCs w:val="32"/>
      <w:lang w:val="en-US" w:eastAsia="zh-CN" w:bidi="ar-SA"/>
    </w:rPr>
  </w:style>
  <w:style w:type="character" w:customStyle="1" w:styleId="3Char">
    <w:name w:val="标题 3 Char"/>
    <w:basedOn w:val="a0"/>
    <w:link w:val="3"/>
    <w:rsid w:val="00A24137"/>
    <w:rPr>
      <w:rFonts w:ascii="宋体" w:eastAsia="宋体" w:hAnsi="宋体" w:cs="宋体"/>
      <w:b/>
      <w:bCs/>
      <w:sz w:val="32"/>
      <w:szCs w:val="32"/>
      <w:lang w:val="en-US" w:eastAsia="zh-CN" w:bidi="ar-SA"/>
    </w:rPr>
  </w:style>
  <w:style w:type="paragraph" w:styleId="a3">
    <w:name w:val="Body Text"/>
    <w:basedOn w:val="a"/>
    <w:qFormat/>
    <w:rsid w:val="00A24137"/>
    <w:pPr>
      <w:ind w:left="120"/>
    </w:pPr>
    <w:rPr>
      <w:sz w:val="24"/>
      <w:szCs w:val="24"/>
    </w:rPr>
  </w:style>
  <w:style w:type="paragraph" w:styleId="a4">
    <w:name w:val="Title"/>
    <w:basedOn w:val="a"/>
    <w:qFormat/>
    <w:rsid w:val="00A24137"/>
    <w:pPr>
      <w:spacing w:before="34"/>
      <w:ind w:left="2021" w:right="243" w:hanging="1830"/>
    </w:pPr>
    <w:rPr>
      <w:b/>
      <w:bCs/>
      <w:sz w:val="28"/>
      <w:szCs w:val="28"/>
    </w:rPr>
  </w:style>
  <w:style w:type="paragraph" w:styleId="a5">
    <w:name w:val="List Paragraph"/>
    <w:basedOn w:val="a"/>
    <w:qFormat/>
    <w:rsid w:val="00A24137"/>
  </w:style>
  <w:style w:type="paragraph" w:customStyle="1" w:styleId="TableParagraph">
    <w:name w:val="Table Paragraph"/>
    <w:basedOn w:val="a"/>
    <w:qFormat/>
    <w:rsid w:val="00A24137"/>
  </w:style>
  <w:style w:type="paragraph" w:styleId="a6">
    <w:name w:val="header"/>
    <w:basedOn w:val="a"/>
    <w:qFormat/>
    <w:rsid w:val="00A24137"/>
    <w:pPr>
      <w:pBdr>
        <w:bottom w:val="single" w:sz="6" w:space="1" w:color="auto"/>
      </w:pBdr>
      <w:tabs>
        <w:tab w:val="center" w:pos="4153"/>
        <w:tab w:val="right" w:pos="8306"/>
      </w:tabs>
      <w:snapToGrid w:val="0"/>
      <w:jc w:val="center"/>
    </w:pPr>
    <w:rPr>
      <w:sz w:val="18"/>
      <w:szCs w:val="18"/>
    </w:rPr>
  </w:style>
  <w:style w:type="paragraph" w:styleId="a7">
    <w:name w:val="footer"/>
    <w:basedOn w:val="a"/>
    <w:qFormat/>
    <w:rsid w:val="00A24137"/>
    <w:pPr>
      <w:tabs>
        <w:tab w:val="center" w:pos="4153"/>
        <w:tab w:val="right" w:pos="8306"/>
      </w:tabs>
      <w:snapToGrid w:val="0"/>
    </w:pPr>
    <w:rPr>
      <w:sz w:val="18"/>
      <w:szCs w:val="18"/>
    </w:rPr>
  </w:style>
  <w:style w:type="paragraph" w:styleId="a8">
    <w:name w:val="Balloon Text"/>
    <w:basedOn w:val="a"/>
    <w:qFormat/>
    <w:rsid w:val="00A24137"/>
    <w:rPr>
      <w:sz w:val="18"/>
      <w:szCs w:val="18"/>
    </w:rPr>
  </w:style>
  <w:style w:type="paragraph" w:customStyle="1" w:styleId="10">
    <w:name w:val="正文文本1"/>
    <w:basedOn w:val="a"/>
    <w:qFormat/>
    <w:rsid w:val="00A24137"/>
    <w:pPr>
      <w:autoSpaceDE/>
      <w:autoSpaceDN/>
      <w:spacing w:line="480" w:lineRule="auto"/>
      <w:ind w:firstLine="400"/>
    </w:pPr>
    <w:rPr>
      <w:lang w:val="zh-CN" w:bidi="zh-CN"/>
    </w:rPr>
  </w:style>
  <w:style w:type="character" w:styleId="a9">
    <w:name w:val="Hyperlink"/>
    <w:basedOn w:val="a0"/>
    <w:qFormat/>
    <w:rsid w:val="00A24137"/>
    <w:rPr>
      <w:color w:val="0000FF"/>
      <w:u w:val="single"/>
    </w:rPr>
  </w:style>
  <w:style w:type="character" w:styleId="aa">
    <w:name w:val="annotation reference"/>
    <w:basedOn w:val="a0"/>
    <w:qFormat/>
    <w:rsid w:val="00A24137"/>
    <w:rPr>
      <w:sz w:val="21"/>
      <w:szCs w:val="21"/>
    </w:rPr>
  </w:style>
  <w:style w:type="paragraph" w:styleId="ab">
    <w:name w:val="annotation text"/>
    <w:basedOn w:val="a"/>
    <w:qFormat/>
    <w:rsid w:val="00A24137"/>
  </w:style>
  <w:style w:type="paragraph" w:styleId="ac">
    <w:name w:val="annotation subject"/>
    <w:basedOn w:val="ab"/>
    <w:next w:val="ab"/>
    <w:qFormat/>
    <w:rsid w:val="00A24137"/>
    <w:rPr>
      <w:b/>
      <w:bCs/>
    </w:rPr>
  </w:style>
  <w:style w:type="paragraph" w:customStyle="1" w:styleId="Default">
    <w:name w:val="Default"/>
    <w:qFormat/>
    <w:rsid w:val="00A24137"/>
    <w:pPr>
      <w:widowControl w:val="0"/>
      <w:autoSpaceDE w:val="0"/>
      <w:autoSpaceDN w:val="0"/>
      <w:adjustRightInd w:val="0"/>
    </w:pPr>
    <w:rPr>
      <w:rFonts w:ascii="宋体" w:cs="宋体"/>
      <w:color w:val="000000"/>
      <w:sz w:val="24"/>
      <w:szCs w:val="24"/>
    </w:rPr>
  </w:style>
  <w:style w:type="paragraph" w:styleId="ad">
    <w:name w:val="Normal (Web)"/>
    <w:basedOn w:val="a"/>
    <w:qFormat/>
    <w:rsid w:val="00A24137"/>
    <w:pPr>
      <w:widowControl/>
      <w:autoSpaceDE/>
      <w:autoSpaceDN/>
      <w:spacing w:before="100" w:beforeAutospacing="1" w:after="100" w:afterAutospacing="1"/>
    </w:pPr>
    <w:rPr>
      <w:rFonts w:cs="Times New Roman"/>
      <w:sz w:val="24"/>
      <w:szCs w:val="24"/>
    </w:rPr>
  </w:style>
  <w:style w:type="paragraph" w:customStyle="1" w:styleId="11">
    <w:name w:val="修订1"/>
    <w:qFormat/>
    <w:rsid w:val="00A24137"/>
    <w:rPr>
      <w:rFonts w:ascii="宋体" w:hAnsi="宋体" w:cs="宋体"/>
      <w:sz w:val="22"/>
      <w:szCs w:val="22"/>
    </w:rPr>
  </w:style>
  <w:style w:type="paragraph" w:styleId="12">
    <w:name w:val="toc 1"/>
    <w:basedOn w:val="a"/>
    <w:next w:val="a"/>
    <w:autoRedefine/>
    <w:qFormat/>
    <w:rsid w:val="00A24137"/>
  </w:style>
  <w:style w:type="paragraph" w:styleId="20">
    <w:name w:val="toc 2"/>
    <w:basedOn w:val="a"/>
    <w:next w:val="a"/>
    <w:autoRedefine/>
    <w:qFormat/>
    <w:rsid w:val="00A24137"/>
    <w:pPr>
      <w:ind w:left="420"/>
    </w:pPr>
  </w:style>
  <w:style w:type="paragraph" w:styleId="30">
    <w:name w:val="toc 3"/>
    <w:basedOn w:val="a"/>
    <w:next w:val="a"/>
    <w:autoRedefine/>
    <w:qFormat/>
    <w:rsid w:val="00A24137"/>
    <w:pPr>
      <w:ind w:left="840"/>
    </w:pPr>
  </w:style>
  <w:style w:type="paragraph" w:styleId="4">
    <w:name w:val="toc 4"/>
    <w:basedOn w:val="a"/>
    <w:next w:val="a"/>
    <w:autoRedefine/>
    <w:qFormat/>
    <w:rsid w:val="00A24137"/>
    <w:pPr>
      <w:ind w:left="1260"/>
    </w:pPr>
  </w:style>
  <w:style w:type="paragraph" w:styleId="5">
    <w:name w:val="toc 5"/>
    <w:basedOn w:val="a"/>
    <w:next w:val="a"/>
    <w:autoRedefine/>
    <w:qFormat/>
    <w:rsid w:val="00A24137"/>
    <w:pPr>
      <w:ind w:left="1680"/>
    </w:pPr>
  </w:style>
  <w:style w:type="paragraph" w:customStyle="1" w:styleId="21">
    <w:name w:val="修订2"/>
    <w:qFormat/>
    <w:rsid w:val="00A24137"/>
    <w:rPr>
      <w:rFonts w:ascii="宋体" w:hAnsi="宋体" w:cs="宋体"/>
      <w:sz w:val="22"/>
      <w:szCs w:val="2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phfund.com/"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The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Theme">
      <a:majorFont>
        <a:latin typeface=""/>
        <a:ea typeface=""/>
        <a:cs typeface=""/>
      </a:majorFont>
      <a:minorFont>
        <a:latin typeface=""/>
        <a:ea typeface=""/>
        <a:cs typefac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1"/>
        </a:gradFill>
      </a:fillStyleLst>
      <a:lnStyleLst>
        <a:ln w="9525" cap="flat" cmpd="sng">
          <a:solidFill>
            <a:schemeClr val="phClr">
              <a:shade val="95000"/>
              <a:satMod val="105000"/>
            </a:schemeClr>
          </a:solidFill>
          <a:prstDash val="solid"/>
          <a:round/>
        </a:ln>
        <a:ln w="25400" cap="flat" cmpd="sng">
          <a:solidFill>
            <a:schemeClr val="phClr"/>
          </a:solidFill>
          <a:prstDash val="solid"/>
          <a:round/>
        </a:ln>
        <a:ln w="38100" cap="flat" cmpd="sng">
          <a:solidFill>
            <a:schemeClr val="phClr"/>
          </a:solidFill>
          <a:prstDash val="solid"/>
          <a:round/>
        </a:ln>
      </a:lnStyleLst>
      <a:effectStyleLst>
        <a:effectStyle>
          <a:effectLst>
            <a:outerShdw blurRad="40000" dist="20000" dir="5400000" rotWithShape="0">
              <a:srgbClr val="000000">
                <a:alpha val="37647"/>
              </a:srgbClr>
            </a:outerShdw>
          </a:effectLst>
        </a:effectStyle>
        <a:effectStyle>
          <a:effectLst>
            <a:outerShdw blurRad="40000" dist="23000" dir="5400000" rotWithShape="0">
              <a:srgbClr val="000000">
                <a:alpha val="34509"/>
              </a:srgbClr>
            </a:outerShdw>
          </a:effectLst>
        </a:effectStyle>
        <a:effectStyle>
          <a:effectLst>
            <a:outerShdw blurRad="40000" dist="23000" dir="5400000" rotWithShape="0">
              <a:srgbClr val="000000">
                <a:alpha val="34509"/>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100000" t="100000"/>
          </a:path>
          <a:tileRect r="-100000" b="-100000"/>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ustomData xmlns="http://www.yozosoft.com.cn/officeDocument/2016/customData">
  <customProps>
    <docPr revisions="3 0 5 0 0 0 1 0 0 0 3000 0 1 1 1 1"/>
    <sectPr/>
  </customProps>
</customData>
</file>

<file path=customXml/itemProps1.xml><?xml version="1.0" encoding="utf-8"?>
<ds:datastoreItem xmlns:ds="http://schemas.openxmlformats.org/officeDocument/2006/customXml" ds:itemID="{FBDB14E3-7822-4BD3-916C-429B9E6F62E2}">
  <ds:schemaRefs>
    <ds:schemaRef ds:uri="http://www.yozosoft.com.cn/officeDocument/2016/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398</Words>
  <Characters>2274</Characters>
  <Application>Microsoft Office Word</Application>
  <DocSecurity>4</DocSecurity>
  <Lines>18</Lines>
  <Paragraphs>5</Paragraphs>
  <ScaleCrop>false</ScaleCrop>
  <Company>PHFUND</Company>
  <LinksUpToDate>false</LinksUpToDate>
  <CharactersWithSpaces>2667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徐永隆</dc:creator>
  <cp:lastModifiedBy>ZHONGM</cp:lastModifiedBy>
  <cp:revision>2</cp:revision>
  <dcterms:created xsi:type="dcterms:W3CDTF">2025-11-23T16:01:00Z</dcterms:created>
  <dcterms:modified xsi:type="dcterms:W3CDTF">2025-11-23T16:01:00Z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Xpdf - https://xpdf.net</vt:lpwstr>
  </property>
</Properties>
</file>