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85" w:rsidRPr="001E4C3E" w:rsidRDefault="00F13E36" w:rsidP="008038D1">
      <w:pPr>
        <w:spacing w:line="360" w:lineRule="auto"/>
        <w:jc w:val="center"/>
        <w:rPr>
          <w:rFonts w:ascii="宋体" w:eastAsia="宋体" w:hAnsi="宋体"/>
          <w:b/>
          <w:bCs/>
          <w:sz w:val="24"/>
          <w:szCs w:val="24"/>
        </w:rPr>
      </w:pPr>
      <w:r w:rsidRPr="001E4C3E">
        <w:rPr>
          <w:rFonts w:ascii="宋体" w:eastAsia="宋体" w:hAnsi="宋体" w:hint="eastAsia"/>
          <w:b/>
          <w:bCs/>
          <w:sz w:val="24"/>
          <w:szCs w:val="24"/>
        </w:rPr>
        <w:t>摩根基金管理（中国）有限公司</w:t>
      </w:r>
    </w:p>
    <w:p w:rsidR="00F13E36" w:rsidRPr="001E4C3E" w:rsidRDefault="00F13E36" w:rsidP="008038D1">
      <w:pPr>
        <w:spacing w:line="360" w:lineRule="auto"/>
        <w:jc w:val="center"/>
        <w:rPr>
          <w:rFonts w:ascii="宋体" w:eastAsia="宋体" w:hAnsi="宋体"/>
          <w:b/>
          <w:bCs/>
          <w:sz w:val="24"/>
          <w:szCs w:val="24"/>
        </w:rPr>
      </w:pPr>
      <w:r w:rsidRPr="001E4C3E">
        <w:rPr>
          <w:rFonts w:ascii="宋体" w:eastAsia="宋体" w:hAnsi="宋体" w:hint="eastAsia"/>
          <w:b/>
          <w:bCs/>
          <w:sz w:val="24"/>
          <w:szCs w:val="24"/>
        </w:rPr>
        <w:t>关于旗下部分上交所</w:t>
      </w:r>
      <w:r w:rsidRPr="001E4C3E">
        <w:rPr>
          <w:rFonts w:ascii="宋体" w:eastAsia="宋体" w:hAnsi="宋体"/>
          <w:b/>
          <w:bCs/>
          <w:sz w:val="24"/>
          <w:szCs w:val="24"/>
        </w:rPr>
        <w:t>ETF</w:t>
      </w:r>
      <w:r w:rsidRPr="001E4C3E">
        <w:rPr>
          <w:rFonts w:ascii="宋体" w:eastAsia="宋体" w:hAnsi="宋体" w:hint="eastAsia"/>
          <w:b/>
          <w:bCs/>
          <w:sz w:val="24"/>
          <w:szCs w:val="24"/>
        </w:rPr>
        <w:t>申购赎回清单版本更新的公告</w:t>
      </w:r>
    </w:p>
    <w:p w:rsidR="00F13E36" w:rsidRPr="001E4C3E" w:rsidRDefault="00F13E36" w:rsidP="00F13E36">
      <w:pPr>
        <w:rPr>
          <w:rFonts w:ascii="宋体" w:eastAsia="宋体" w:hAnsi="宋体"/>
          <w:b/>
          <w:bCs/>
          <w:szCs w:val="21"/>
        </w:rPr>
      </w:pPr>
    </w:p>
    <w:p w:rsidR="00F13E36" w:rsidRPr="001E4C3E" w:rsidRDefault="00F13E36" w:rsidP="001E4C3E">
      <w:pPr>
        <w:spacing w:line="360" w:lineRule="auto"/>
        <w:ind w:firstLineChars="200" w:firstLine="420"/>
        <w:rPr>
          <w:rFonts w:ascii="宋体" w:eastAsia="宋体" w:hAnsi="宋体"/>
          <w:szCs w:val="21"/>
        </w:rPr>
      </w:pPr>
      <w:r w:rsidRPr="001E4C3E">
        <w:rPr>
          <w:rFonts w:ascii="宋体" w:eastAsia="宋体" w:hAnsi="宋体" w:hint="eastAsia"/>
          <w:szCs w:val="21"/>
        </w:rPr>
        <w:t>根据上海证券交易所（以下简称“上交所”）于2025年10月24日公告的</w:t>
      </w:r>
      <w:r w:rsidR="00CB1985" w:rsidRPr="001E4C3E">
        <w:rPr>
          <w:rFonts w:ascii="宋体" w:eastAsia="宋体" w:hAnsi="宋体" w:hint="eastAsia"/>
          <w:szCs w:val="21"/>
        </w:rPr>
        <w:t>《</w:t>
      </w:r>
      <w:r w:rsidRPr="001E4C3E">
        <w:rPr>
          <w:rFonts w:ascii="宋体" w:eastAsia="宋体" w:hAnsi="宋体" w:hint="eastAsia"/>
          <w:szCs w:val="21"/>
        </w:rPr>
        <w:t>关于发布优化ETF申赎清单、</w:t>
      </w:r>
      <w:r w:rsidR="00FA5090" w:rsidRPr="00FA5090">
        <w:rPr>
          <w:rFonts w:ascii="宋体" w:eastAsia="宋体" w:hAnsi="宋体" w:hint="eastAsia"/>
          <w:szCs w:val="21"/>
        </w:rPr>
        <w:t>EzOES</w:t>
      </w:r>
      <w:r w:rsidRPr="001E4C3E">
        <w:rPr>
          <w:rFonts w:ascii="宋体" w:eastAsia="宋体" w:hAnsi="宋体" w:hint="eastAsia"/>
          <w:szCs w:val="21"/>
        </w:rPr>
        <w:t>下线市场接口及技术指南（正式稿）的通知</w:t>
      </w:r>
      <w:r w:rsidR="003625DD" w:rsidRPr="001E4C3E">
        <w:rPr>
          <w:rFonts w:ascii="宋体" w:eastAsia="宋体" w:hAnsi="宋体" w:hint="eastAsia"/>
          <w:szCs w:val="21"/>
        </w:rPr>
        <w:t>》</w:t>
      </w:r>
      <w:r w:rsidRPr="001E4C3E">
        <w:rPr>
          <w:rFonts w:ascii="宋体" w:eastAsia="宋体" w:hAnsi="宋体" w:hint="eastAsia"/>
          <w:szCs w:val="21"/>
        </w:rPr>
        <w:t>，上交所将正式上线ETF新版申购赎回清单。摩根基金管理（中国）有限公司（以下简称“本公司”）自</w:t>
      </w:r>
      <w:r w:rsidR="007D6FB8" w:rsidRPr="001E4C3E">
        <w:rPr>
          <w:rFonts w:ascii="宋体" w:eastAsia="宋体" w:hAnsi="宋体" w:hint="eastAsia"/>
          <w:szCs w:val="21"/>
        </w:rPr>
        <w:t>2025年11月</w:t>
      </w:r>
      <w:r w:rsidR="007D6FB8">
        <w:rPr>
          <w:rFonts w:ascii="宋体" w:eastAsia="宋体" w:hAnsi="宋体" w:hint="eastAsia"/>
          <w:szCs w:val="21"/>
        </w:rPr>
        <w:t>24</w:t>
      </w:r>
      <w:r w:rsidRPr="001E4C3E">
        <w:rPr>
          <w:rFonts w:ascii="宋体" w:eastAsia="宋体" w:hAnsi="宋体" w:hint="eastAsia"/>
          <w:szCs w:val="21"/>
        </w:rPr>
        <w:t>日起对旗下部分上交所ETF申购赎回清单进行版本更新。</w:t>
      </w:r>
    </w:p>
    <w:p w:rsidR="00F13E36" w:rsidRPr="001E4C3E" w:rsidRDefault="00F13E36" w:rsidP="001E4C3E">
      <w:pPr>
        <w:spacing w:line="360" w:lineRule="auto"/>
        <w:ind w:firstLineChars="200" w:firstLine="420"/>
        <w:rPr>
          <w:rFonts w:ascii="宋体" w:eastAsia="宋体" w:hAnsi="宋体"/>
          <w:szCs w:val="21"/>
        </w:rPr>
      </w:pPr>
      <w:r w:rsidRPr="001E4C3E">
        <w:rPr>
          <w:rFonts w:ascii="宋体" w:eastAsia="宋体" w:hAnsi="宋体" w:hint="eastAsia"/>
          <w:szCs w:val="21"/>
        </w:rPr>
        <w:t>现将相关事项公告如下：</w:t>
      </w:r>
    </w:p>
    <w:p w:rsidR="00F13E36" w:rsidRPr="001E4C3E" w:rsidRDefault="00F13E36" w:rsidP="001E4C3E">
      <w:pPr>
        <w:pStyle w:val="a6"/>
        <w:numPr>
          <w:ilvl w:val="0"/>
          <w:numId w:val="1"/>
        </w:numPr>
        <w:spacing w:line="360" w:lineRule="auto"/>
        <w:rPr>
          <w:rFonts w:ascii="宋体" w:eastAsia="宋体" w:hAnsi="宋体"/>
          <w:szCs w:val="21"/>
        </w:rPr>
      </w:pPr>
      <w:r w:rsidRPr="001E4C3E">
        <w:rPr>
          <w:rFonts w:ascii="宋体" w:eastAsia="宋体" w:hAnsi="宋体" w:hint="eastAsia"/>
          <w:szCs w:val="21"/>
        </w:rPr>
        <w:t>涉及本次申购赎回清单版本更新的基金列表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1164"/>
        <w:gridCol w:w="3204"/>
        <w:gridCol w:w="1164"/>
        <w:gridCol w:w="2262"/>
      </w:tblGrid>
      <w:tr w:rsidR="00426ADC" w:rsidRPr="000D1B2E" w:rsidTr="000D1B2E">
        <w:trPr>
          <w:trHeight w:val="732"/>
        </w:trPr>
        <w:tc>
          <w:tcPr>
            <w:tcW w:w="427" w:type="pct"/>
            <w:noWrap/>
            <w:vAlign w:val="center"/>
            <w:hideMark/>
          </w:tcPr>
          <w:p w:rsidR="003625DD" w:rsidRPr="000D1B2E" w:rsidRDefault="003625DD" w:rsidP="003625DD">
            <w:pPr>
              <w:widowControl/>
              <w:jc w:val="center"/>
              <w:rPr>
                <w:rFonts w:ascii="宋体" w:eastAsia="宋体" w:hAnsi="宋体" w:cs="宋体"/>
                <w:b/>
                <w:bCs/>
                <w:color w:val="000000"/>
                <w:kern w:val="0"/>
                <w:szCs w:val="21"/>
              </w:rPr>
            </w:pPr>
            <w:r w:rsidRPr="000D1B2E">
              <w:rPr>
                <w:rFonts w:ascii="宋体" w:eastAsia="宋体" w:hAnsi="宋体" w:cs="宋体" w:hint="eastAsia"/>
                <w:b/>
                <w:bCs/>
                <w:color w:val="000000"/>
                <w:kern w:val="0"/>
                <w:szCs w:val="21"/>
              </w:rPr>
              <w:t>序号</w:t>
            </w:r>
          </w:p>
        </w:tc>
        <w:tc>
          <w:tcPr>
            <w:tcW w:w="683" w:type="pct"/>
            <w:noWrap/>
            <w:vAlign w:val="center"/>
            <w:hideMark/>
          </w:tcPr>
          <w:p w:rsidR="003625DD" w:rsidRPr="000D1B2E" w:rsidRDefault="003625DD" w:rsidP="003625DD">
            <w:pPr>
              <w:widowControl/>
              <w:jc w:val="center"/>
              <w:rPr>
                <w:rFonts w:ascii="宋体" w:eastAsia="宋体" w:hAnsi="宋体" w:cs="宋体"/>
                <w:b/>
                <w:bCs/>
                <w:color w:val="000000"/>
                <w:kern w:val="0"/>
                <w:szCs w:val="21"/>
              </w:rPr>
            </w:pPr>
            <w:r w:rsidRPr="000D1B2E">
              <w:rPr>
                <w:rFonts w:ascii="宋体" w:eastAsia="宋体" w:hAnsi="宋体" w:cs="宋体" w:hint="eastAsia"/>
                <w:b/>
                <w:bCs/>
                <w:color w:val="000000"/>
                <w:kern w:val="0"/>
                <w:szCs w:val="21"/>
              </w:rPr>
              <w:t>基金代码</w:t>
            </w:r>
          </w:p>
        </w:tc>
        <w:tc>
          <w:tcPr>
            <w:tcW w:w="1880" w:type="pct"/>
            <w:noWrap/>
            <w:vAlign w:val="center"/>
            <w:hideMark/>
          </w:tcPr>
          <w:p w:rsidR="003625DD" w:rsidRPr="000D1B2E" w:rsidRDefault="003625DD" w:rsidP="003625DD">
            <w:pPr>
              <w:widowControl/>
              <w:jc w:val="center"/>
              <w:rPr>
                <w:rFonts w:ascii="宋体" w:eastAsia="宋体" w:hAnsi="宋体" w:cs="宋体"/>
                <w:b/>
                <w:bCs/>
                <w:color w:val="000000"/>
                <w:kern w:val="0"/>
                <w:szCs w:val="21"/>
              </w:rPr>
            </w:pPr>
            <w:r w:rsidRPr="000D1B2E">
              <w:rPr>
                <w:rFonts w:ascii="宋体" w:eastAsia="宋体" w:hAnsi="宋体" w:cs="宋体" w:hint="eastAsia"/>
                <w:b/>
                <w:bCs/>
                <w:color w:val="000000"/>
                <w:kern w:val="0"/>
                <w:szCs w:val="21"/>
              </w:rPr>
              <w:t>基金名称</w:t>
            </w:r>
          </w:p>
        </w:tc>
        <w:tc>
          <w:tcPr>
            <w:tcW w:w="683" w:type="pct"/>
            <w:noWrap/>
            <w:vAlign w:val="center"/>
            <w:hideMark/>
          </w:tcPr>
          <w:p w:rsidR="003625DD" w:rsidRPr="000D1B2E" w:rsidRDefault="003625DD" w:rsidP="003625DD">
            <w:pPr>
              <w:widowControl/>
              <w:jc w:val="center"/>
              <w:rPr>
                <w:rFonts w:ascii="宋体" w:eastAsia="宋体" w:hAnsi="宋体" w:cs="宋体"/>
                <w:b/>
                <w:bCs/>
                <w:color w:val="000000"/>
                <w:kern w:val="0"/>
                <w:szCs w:val="21"/>
              </w:rPr>
            </w:pPr>
            <w:r w:rsidRPr="000D1B2E">
              <w:rPr>
                <w:rFonts w:ascii="宋体" w:eastAsia="宋体" w:hAnsi="宋体" w:cs="宋体" w:hint="eastAsia"/>
                <w:b/>
                <w:bCs/>
                <w:color w:val="000000"/>
                <w:kern w:val="0"/>
                <w:szCs w:val="21"/>
              </w:rPr>
              <w:t>场内简称</w:t>
            </w:r>
          </w:p>
        </w:tc>
        <w:tc>
          <w:tcPr>
            <w:tcW w:w="1327" w:type="pct"/>
            <w:noWrap/>
            <w:vAlign w:val="center"/>
            <w:hideMark/>
          </w:tcPr>
          <w:p w:rsidR="003625DD" w:rsidRPr="000D1B2E" w:rsidRDefault="003625DD" w:rsidP="003625DD">
            <w:pPr>
              <w:widowControl/>
              <w:jc w:val="center"/>
              <w:rPr>
                <w:rFonts w:ascii="宋体" w:eastAsia="宋体" w:hAnsi="宋体" w:cs="宋体"/>
                <w:b/>
                <w:bCs/>
                <w:color w:val="000000"/>
                <w:kern w:val="0"/>
                <w:szCs w:val="21"/>
              </w:rPr>
            </w:pPr>
            <w:r w:rsidRPr="000D1B2E">
              <w:rPr>
                <w:rFonts w:ascii="宋体" w:eastAsia="宋体" w:hAnsi="宋体" w:cs="宋体" w:hint="eastAsia"/>
                <w:b/>
                <w:bCs/>
                <w:color w:val="000000"/>
                <w:kern w:val="0"/>
                <w:szCs w:val="21"/>
              </w:rPr>
              <w:t>扩位证券简称</w:t>
            </w:r>
          </w:p>
        </w:tc>
      </w:tr>
      <w:tr w:rsidR="007D6FB8" w:rsidRPr="000D1B2E" w:rsidTr="000D1B2E">
        <w:trPr>
          <w:trHeight w:val="732"/>
        </w:trPr>
        <w:tc>
          <w:tcPr>
            <w:tcW w:w="427"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1</w:t>
            </w:r>
          </w:p>
        </w:tc>
        <w:tc>
          <w:tcPr>
            <w:tcW w:w="683"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hint="eastAsia"/>
                <w:szCs w:val="21"/>
              </w:rPr>
              <w:t>515770</w:t>
            </w:r>
          </w:p>
        </w:tc>
        <w:tc>
          <w:tcPr>
            <w:tcW w:w="1880" w:type="pct"/>
            <w:noWrap/>
            <w:vAlign w:val="center"/>
          </w:tcPr>
          <w:p w:rsidR="007D6FB8" w:rsidRPr="000D1B2E" w:rsidRDefault="007D6FB8" w:rsidP="007D6FB8">
            <w:pPr>
              <w:widowControl/>
              <w:jc w:val="left"/>
              <w:rPr>
                <w:rFonts w:ascii="宋体" w:eastAsia="宋体" w:hAnsi="宋体" w:cs="宋体"/>
                <w:color w:val="000000"/>
                <w:kern w:val="0"/>
                <w:szCs w:val="21"/>
              </w:rPr>
            </w:pPr>
            <w:r w:rsidRPr="000D1B2E">
              <w:rPr>
                <w:rFonts w:ascii="宋体" w:eastAsia="宋体" w:hAnsi="宋体" w:hint="eastAsia"/>
                <w:szCs w:val="21"/>
              </w:rPr>
              <w:t>摩根MSCI中国A股交易型开放式指数证券投资基金</w:t>
            </w:r>
          </w:p>
        </w:tc>
        <w:tc>
          <w:tcPr>
            <w:tcW w:w="683" w:type="pct"/>
            <w:noWrap/>
            <w:vAlign w:val="center"/>
          </w:tcPr>
          <w:p w:rsidR="007D6FB8" w:rsidRPr="000D1B2E" w:rsidRDefault="007D6FB8" w:rsidP="007D6FB8">
            <w:pPr>
              <w:widowControl/>
              <w:jc w:val="left"/>
              <w:rPr>
                <w:rFonts w:ascii="宋体" w:eastAsia="宋体" w:hAnsi="宋体" w:cs="宋体"/>
                <w:color w:val="000000"/>
                <w:kern w:val="0"/>
                <w:szCs w:val="21"/>
              </w:rPr>
            </w:pPr>
            <w:r w:rsidRPr="000D1B2E">
              <w:rPr>
                <w:rFonts w:ascii="宋体" w:eastAsia="宋体" w:hAnsi="宋体" w:cs="宋体" w:hint="eastAsia"/>
                <w:color w:val="000000"/>
                <w:kern w:val="0"/>
                <w:szCs w:val="21"/>
              </w:rPr>
              <w:t>MSCIAETF</w:t>
            </w:r>
          </w:p>
        </w:tc>
        <w:tc>
          <w:tcPr>
            <w:tcW w:w="1327" w:type="pct"/>
            <w:noWrap/>
            <w:vAlign w:val="center"/>
          </w:tcPr>
          <w:p w:rsidR="007D6FB8" w:rsidRPr="000D1B2E" w:rsidRDefault="007D6FB8" w:rsidP="007D6FB8">
            <w:pPr>
              <w:widowControl/>
              <w:jc w:val="left"/>
              <w:rPr>
                <w:rFonts w:ascii="宋体" w:eastAsia="宋体" w:hAnsi="宋体" w:cs="宋体"/>
                <w:color w:val="000000"/>
                <w:kern w:val="0"/>
                <w:szCs w:val="21"/>
              </w:rPr>
            </w:pPr>
            <w:r w:rsidRPr="000D1B2E">
              <w:rPr>
                <w:rFonts w:ascii="宋体" w:eastAsia="宋体" w:hAnsi="宋体" w:hint="eastAsia"/>
                <w:spacing w:val="-5"/>
                <w:szCs w:val="21"/>
              </w:rPr>
              <w:t>摩根MSCIAET</w:t>
            </w:r>
            <w:r w:rsidRPr="000D1B2E">
              <w:rPr>
                <w:rFonts w:ascii="宋体" w:eastAsia="宋体" w:hAnsi="宋体"/>
                <w:spacing w:val="-5"/>
                <w:szCs w:val="21"/>
              </w:rPr>
              <w:t>F</w:t>
            </w:r>
          </w:p>
        </w:tc>
      </w:tr>
      <w:tr w:rsidR="007D6FB8" w:rsidRPr="000D1B2E" w:rsidTr="000D1B2E">
        <w:trPr>
          <w:trHeight w:val="732"/>
        </w:trPr>
        <w:tc>
          <w:tcPr>
            <w:tcW w:w="427"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2</w:t>
            </w:r>
          </w:p>
        </w:tc>
        <w:tc>
          <w:tcPr>
            <w:tcW w:w="683"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hint="eastAsia"/>
                <w:szCs w:val="21"/>
              </w:rPr>
              <w:t>513890</w:t>
            </w:r>
          </w:p>
        </w:tc>
        <w:tc>
          <w:tcPr>
            <w:tcW w:w="1880"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rPr>
              <w:t>摩根恒生科技交易型开放式指数证券投资基金(QDII)</w:t>
            </w:r>
          </w:p>
        </w:tc>
        <w:tc>
          <w:tcPr>
            <w:tcW w:w="683"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cs="方正仿宋简体" w:hint="eastAsia"/>
                <w:iCs/>
                <w:szCs w:val="21"/>
              </w:rPr>
              <w:t>HK科技</w:t>
            </w:r>
          </w:p>
        </w:tc>
        <w:tc>
          <w:tcPr>
            <w:tcW w:w="1327"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cs="方正仿宋简体" w:hint="eastAsia"/>
                <w:iCs/>
                <w:szCs w:val="21"/>
              </w:rPr>
              <w:t>恒生科技HKETF</w:t>
            </w:r>
          </w:p>
        </w:tc>
      </w:tr>
      <w:tr w:rsidR="007D6FB8" w:rsidRPr="000D1B2E" w:rsidTr="000D1B2E">
        <w:trPr>
          <w:trHeight w:val="732"/>
        </w:trPr>
        <w:tc>
          <w:tcPr>
            <w:tcW w:w="427"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3</w:t>
            </w:r>
          </w:p>
        </w:tc>
        <w:tc>
          <w:tcPr>
            <w:tcW w:w="683"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hint="eastAsia"/>
                <w:szCs w:val="21"/>
              </w:rPr>
              <w:t>560900</w:t>
            </w:r>
          </w:p>
        </w:tc>
        <w:tc>
          <w:tcPr>
            <w:tcW w:w="1880"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rPr>
              <w:t>摩根中证创新药产业交易型开放式指数证券投资基金</w:t>
            </w:r>
          </w:p>
        </w:tc>
        <w:tc>
          <w:tcPr>
            <w:tcW w:w="683"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lang/>
              </w:rPr>
              <w:t>创新药企</w:t>
            </w:r>
          </w:p>
        </w:tc>
        <w:tc>
          <w:tcPr>
            <w:tcW w:w="1327"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lang/>
              </w:rPr>
              <w:t>创新药企ETF</w:t>
            </w:r>
            <w:r w:rsidRPr="000D1B2E" w:rsidDel="007D6FB8">
              <w:rPr>
                <w:rFonts w:ascii="宋体" w:eastAsia="宋体" w:hAnsi="宋体" w:cs="宋体" w:hint="eastAsia"/>
                <w:color w:val="000000"/>
                <w:kern w:val="0"/>
                <w:szCs w:val="21"/>
              </w:rPr>
              <w:t xml:space="preserve"> </w:t>
            </w:r>
          </w:p>
        </w:tc>
      </w:tr>
      <w:tr w:rsidR="007D6FB8" w:rsidRPr="000D1B2E" w:rsidTr="000D1B2E">
        <w:trPr>
          <w:trHeight w:val="732"/>
        </w:trPr>
        <w:tc>
          <w:tcPr>
            <w:tcW w:w="427"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4</w:t>
            </w:r>
          </w:p>
        </w:tc>
        <w:tc>
          <w:tcPr>
            <w:tcW w:w="683"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hint="eastAsia"/>
                <w:szCs w:val="21"/>
              </w:rPr>
              <w:t>513630</w:t>
            </w:r>
          </w:p>
        </w:tc>
        <w:tc>
          <w:tcPr>
            <w:tcW w:w="1880"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rPr>
              <w:t>摩根标普港股通低波红利交易型开放式指数证券投资基金</w:t>
            </w:r>
          </w:p>
        </w:tc>
        <w:tc>
          <w:tcPr>
            <w:tcW w:w="683" w:type="pct"/>
            <w:noWrap/>
            <w:vAlign w:val="center"/>
          </w:tcPr>
          <w:p w:rsidR="007D6FB8" w:rsidRPr="000D1B2E" w:rsidRDefault="000D1B2E" w:rsidP="007D6FB8">
            <w:pPr>
              <w:widowControl/>
              <w:jc w:val="left"/>
              <w:rPr>
                <w:rFonts w:ascii="宋体" w:eastAsia="宋体" w:hAnsi="宋体" w:cs="宋体"/>
                <w:color w:val="000000"/>
                <w:kern w:val="0"/>
                <w:szCs w:val="21"/>
                <w:lang/>
              </w:rPr>
            </w:pPr>
            <w:r w:rsidRPr="000D1B2E">
              <w:rPr>
                <w:rFonts w:ascii="宋体" w:eastAsia="宋体" w:hAnsi="宋体" w:cs="方正仿宋简体" w:hint="eastAsia"/>
                <w:iCs/>
                <w:szCs w:val="21"/>
              </w:rPr>
              <w:t>香港红利</w:t>
            </w:r>
          </w:p>
        </w:tc>
        <w:tc>
          <w:tcPr>
            <w:tcW w:w="1327"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cs="方正仿宋简体" w:hint="eastAsia"/>
                <w:iCs/>
                <w:szCs w:val="21"/>
              </w:rPr>
              <w:t>港股红利指数ETF</w:t>
            </w:r>
          </w:p>
        </w:tc>
      </w:tr>
      <w:tr w:rsidR="007D6FB8" w:rsidRPr="000D1B2E" w:rsidTr="000D1B2E">
        <w:trPr>
          <w:trHeight w:val="732"/>
        </w:trPr>
        <w:tc>
          <w:tcPr>
            <w:tcW w:w="427"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5</w:t>
            </w:r>
          </w:p>
        </w:tc>
        <w:tc>
          <w:tcPr>
            <w:tcW w:w="683"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hint="eastAsia"/>
                <w:szCs w:val="21"/>
              </w:rPr>
              <w:t>560350</w:t>
            </w:r>
          </w:p>
        </w:tc>
        <w:tc>
          <w:tcPr>
            <w:tcW w:w="1880"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rPr>
              <w:t>摩根中证A50交易型开放式指数证券投资基金</w:t>
            </w:r>
          </w:p>
        </w:tc>
        <w:tc>
          <w:tcPr>
            <w:tcW w:w="683" w:type="pct"/>
            <w:noWrap/>
            <w:vAlign w:val="center"/>
          </w:tcPr>
          <w:p w:rsidR="007D6FB8" w:rsidRPr="000D1B2E" w:rsidRDefault="000D1B2E" w:rsidP="007D6FB8">
            <w:pPr>
              <w:widowControl/>
              <w:jc w:val="left"/>
              <w:rPr>
                <w:rFonts w:ascii="宋体" w:eastAsia="宋体" w:hAnsi="宋体" w:cs="宋体"/>
                <w:color w:val="000000"/>
                <w:kern w:val="0"/>
                <w:szCs w:val="21"/>
                <w:lang/>
              </w:rPr>
            </w:pPr>
            <w:r w:rsidRPr="000D1B2E">
              <w:rPr>
                <w:rFonts w:ascii="宋体" w:eastAsia="宋体" w:hAnsi="宋体" w:hint="eastAsia"/>
                <w:szCs w:val="21"/>
                <w:lang/>
              </w:rPr>
              <w:t>A50指数</w:t>
            </w:r>
          </w:p>
        </w:tc>
        <w:tc>
          <w:tcPr>
            <w:tcW w:w="1327"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lang/>
              </w:rPr>
              <w:t>中证A50ETF指数基金</w:t>
            </w:r>
          </w:p>
        </w:tc>
      </w:tr>
      <w:tr w:rsidR="007D6FB8" w:rsidRPr="000D1B2E" w:rsidTr="000D1B2E">
        <w:trPr>
          <w:trHeight w:val="732"/>
        </w:trPr>
        <w:tc>
          <w:tcPr>
            <w:tcW w:w="427" w:type="pct"/>
            <w:noWrap/>
            <w:vAlign w:val="center"/>
          </w:tcPr>
          <w:p w:rsidR="007D6FB8" w:rsidRPr="000D1B2E" w:rsidRDefault="007D6FB8" w:rsidP="003625DD">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6</w:t>
            </w:r>
          </w:p>
        </w:tc>
        <w:tc>
          <w:tcPr>
            <w:tcW w:w="683" w:type="pct"/>
            <w:noWrap/>
            <w:vAlign w:val="center"/>
          </w:tcPr>
          <w:p w:rsidR="007D6FB8" w:rsidRPr="000D1B2E" w:rsidRDefault="00574399" w:rsidP="003625D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588770</w:t>
            </w:r>
          </w:p>
        </w:tc>
        <w:tc>
          <w:tcPr>
            <w:tcW w:w="1880" w:type="pct"/>
            <w:noWrap/>
            <w:vAlign w:val="center"/>
          </w:tcPr>
          <w:p w:rsidR="007D6FB8" w:rsidRPr="000D1B2E" w:rsidRDefault="000D1B2E" w:rsidP="003625DD">
            <w:pPr>
              <w:widowControl/>
              <w:jc w:val="left"/>
              <w:rPr>
                <w:rFonts w:ascii="宋体" w:eastAsia="宋体" w:hAnsi="宋体" w:cs="宋体"/>
                <w:color w:val="000000"/>
                <w:kern w:val="0"/>
                <w:szCs w:val="21"/>
              </w:rPr>
            </w:pPr>
            <w:r w:rsidRPr="000D1B2E">
              <w:rPr>
                <w:rFonts w:ascii="宋体" w:eastAsia="宋体" w:hAnsi="宋体" w:cs="宋体" w:hint="eastAsia"/>
                <w:color w:val="000000"/>
                <w:kern w:val="0"/>
                <w:szCs w:val="21"/>
              </w:rPr>
              <w:t>摩根上证科创板新一代信息技术交易型开放式指数证券投资基金</w:t>
            </w:r>
          </w:p>
        </w:tc>
        <w:tc>
          <w:tcPr>
            <w:tcW w:w="683" w:type="pct"/>
            <w:noWrap/>
            <w:vAlign w:val="center"/>
          </w:tcPr>
          <w:p w:rsidR="007D6FB8" w:rsidRPr="000D1B2E" w:rsidRDefault="000D1B2E" w:rsidP="003625DD">
            <w:pPr>
              <w:widowControl/>
              <w:jc w:val="left"/>
              <w:rPr>
                <w:rFonts w:ascii="宋体" w:eastAsia="宋体" w:hAnsi="宋体" w:cs="宋体"/>
                <w:color w:val="000000"/>
                <w:kern w:val="0"/>
                <w:szCs w:val="21"/>
                <w:lang/>
              </w:rPr>
            </w:pPr>
            <w:r w:rsidRPr="000D1B2E">
              <w:rPr>
                <w:rFonts w:ascii="宋体" w:eastAsia="宋体" w:hAnsi="宋体" w:hint="eastAsia"/>
                <w:szCs w:val="21"/>
                <w:lang/>
              </w:rPr>
              <w:t>信息科创</w:t>
            </w:r>
          </w:p>
        </w:tc>
        <w:tc>
          <w:tcPr>
            <w:tcW w:w="1327" w:type="pct"/>
            <w:noWrap/>
            <w:vAlign w:val="center"/>
          </w:tcPr>
          <w:p w:rsidR="007D6FB8" w:rsidRPr="000D1B2E" w:rsidRDefault="000D1B2E" w:rsidP="003625DD">
            <w:pPr>
              <w:widowControl/>
              <w:jc w:val="left"/>
              <w:rPr>
                <w:rFonts w:ascii="宋体" w:eastAsia="宋体" w:hAnsi="宋体" w:cs="宋体"/>
                <w:color w:val="000000"/>
                <w:kern w:val="0"/>
                <w:szCs w:val="21"/>
              </w:rPr>
            </w:pPr>
            <w:r w:rsidRPr="000D1B2E">
              <w:rPr>
                <w:rFonts w:ascii="宋体" w:eastAsia="宋体" w:hAnsi="宋体" w:hint="eastAsia"/>
                <w:szCs w:val="21"/>
                <w:lang/>
              </w:rPr>
              <w:t>科创信息技术ETF摩根</w:t>
            </w:r>
          </w:p>
        </w:tc>
      </w:tr>
      <w:tr w:rsidR="007D6FB8" w:rsidRPr="000D1B2E" w:rsidTr="000D1B2E">
        <w:trPr>
          <w:trHeight w:val="732"/>
        </w:trPr>
        <w:tc>
          <w:tcPr>
            <w:tcW w:w="427"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7</w:t>
            </w:r>
          </w:p>
        </w:tc>
        <w:tc>
          <w:tcPr>
            <w:tcW w:w="683"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hint="eastAsia"/>
                <w:szCs w:val="21"/>
              </w:rPr>
              <w:t>551300</w:t>
            </w:r>
          </w:p>
        </w:tc>
        <w:tc>
          <w:tcPr>
            <w:tcW w:w="1880"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rPr>
              <w:t>摩根上证AAA科技创新公司债交易型开放式指数证券投资基金</w:t>
            </w:r>
          </w:p>
        </w:tc>
        <w:tc>
          <w:tcPr>
            <w:tcW w:w="683" w:type="pct"/>
            <w:noWrap/>
            <w:vAlign w:val="center"/>
          </w:tcPr>
          <w:p w:rsidR="007D6FB8" w:rsidRPr="000D1B2E" w:rsidRDefault="000D1B2E" w:rsidP="007D6FB8">
            <w:pPr>
              <w:widowControl/>
              <w:jc w:val="left"/>
              <w:rPr>
                <w:rFonts w:ascii="宋体" w:eastAsia="宋体" w:hAnsi="宋体" w:cs="宋体"/>
                <w:color w:val="000000"/>
                <w:kern w:val="0"/>
                <w:szCs w:val="21"/>
                <w:lang/>
              </w:rPr>
            </w:pPr>
            <w:r w:rsidRPr="000D1B2E">
              <w:rPr>
                <w:rFonts w:ascii="宋体" w:eastAsia="宋体" w:hAnsi="宋体" w:hint="eastAsia"/>
                <w:szCs w:val="21"/>
                <w:lang/>
              </w:rPr>
              <w:t>科创债摩</w:t>
            </w:r>
          </w:p>
        </w:tc>
        <w:tc>
          <w:tcPr>
            <w:tcW w:w="1327"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lang/>
              </w:rPr>
              <w:t>科创债ETF摩根</w:t>
            </w:r>
          </w:p>
        </w:tc>
      </w:tr>
      <w:tr w:rsidR="007D6FB8" w:rsidRPr="000D1B2E" w:rsidTr="000D1B2E">
        <w:trPr>
          <w:trHeight w:val="732"/>
        </w:trPr>
        <w:tc>
          <w:tcPr>
            <w:tcW w:w="427"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cs="宋体" w:hint="eastAsia"/>
                <w:color w:val="000000"/>
                <w:kern w:val="0"/>
                <w:szCs w:val="21"/>
              </w:rPr>
              <w:t>8</w:t>
            </w:r>
          </w:p>
        </w:tc>
        <w:tc>
          <w:tcPr>
            <w:tcW w:w="683" w:type="pct"/>
            <w:noWrap/>
            <w:vAlign w:val="center"/>
          </w:tcPr>
          <w:p w:rsidR="007D6FB8" w:rsidRPr="000D1B2E" w:rsidRDefault="007D6FB8" w:rsidP="007D6FB8">
            <w:pPr>
              <w:widowControl/>
              <w:jc w:val="center"/>
              <w:rPr>
                <w:rFonts w:ascii="宋体" w:eastAsia="宋体" w:hAnsi="宋体" w:cs="宋体"/>
                <w:color w:val="000000"/>
                <w:kern w:val="0"/>
                <w:szCs w:val="21"/>
              </w:rPr>
            </w:pPr>
            <w:r w:rsidRPr="000D1B2E">
              <w:rPr>
                <w:rFonts w:ascii="宋体" w:eastAsia="宋体" w:hAnsi="宋体" w:hint="eastAsia"/>
                <w:szCs w:val="21"/>
              </w:rPr>
              <w:t>520950</w:t>
            </w:r>
          </w:p>
        </w:tc>
        <w:tc>
          <w:tcPr>
            <w:tcW w:w="1880"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hint="eastAsia"/>
                <w:szCs w:val="21"/>
              </w:rPr>
              <w:t>摩根恒生港股通50交易型开放式指数证券投资基金</w:t>
            </w:r>
          </w:p>
        </w:tc>
        <w:tc>
          <w:tcPr>
            <w:tcW w:w="683" w:type="pct"/>
            <w:noWrap/>
            <w:vAlign w:val="center"/>
          </w:tcPr>
          <w:p w:rsidR="007D6FB8" w:rsidRPr="000D1B2E" w:rsidRDefault="000D1B2E" w:rsidP="007D6FB8">
            <w:pPr>
              <w:widowControl/>
              <w:jc w:val="left"/>
              <w:rPr>
                <w:rFonts w:ascii="宋体" w:eastAsia="宋体" w:hAnsi="宋体" w:cs="宋体"/>
                <w:color w:val="000000"/>
                <w:kern w:val="0"/>
                <w:szCs w:val="21"/>
                <w:lang/>
              </w:rPr>
            </w:pPr>
            <w:r w:rsidRPr="000D1B2E">
              <w:rPr>
                <w:rStyle w:val="engineCreateelementDataeditorTdengineCreateelementDataeditorTdengineCreateelementDataeditorTd"/>
                <w:rFonts w:ascii="宋体" w:eastAsia="宋体" w:hAnsi="宋体"/>
                <w:color w:val="000000"/>
                <w:szCs w:val="21"/>
                <w:lang w:eastAsia="en-US"/>
              </w:rPr>
              <w:t>港股50</w:t>
            </w:r>
          </w:p>
        </w:tc>
        <w:tc>
          <w:tcPr>
            <w:tcW w:w="1327" w:type="pct"/>
            <w:noWrap/>
            <w:vAlign w:val="center"/>
          </w:tcPr>
          <w:p w:rsidR="007D6FB8" w:rsidRPr="000D1B2E" w:rsidRDefault="000D1B2E" w:rsidP="007D6FB8">
            <w:pPr>
              <w:widowControl/>
              <w:jc w:val="left"/>
              <w:rPr>
                <w:rFonts w:ascii="宋体" w:eastAsia="宋体" w:hAnsi="宋体" w:cs="宋体"/>
                <w:color w:val="000000"/>
                <w:kern w:val="0"/>
                <w:szCs w:val="21"/>
              </w:rPr>
            </w:pPr>
            <w:r w:rsidRPr="000D1B2E">
              <w:rPr>
                <w:rFonts w:ascii="宋体" w:eastAsia="宋体" w:hAnsi="宋体" w:cs="宋体" w:hint="eastAsia"/>
                <w:color w:val="000000"/>
                <w:kern w:val="0"/>
                <w:szCs w:val="21"/>
              </w:rPr>
              <w:t>港股通50ETF摩根</w:t>
            </w:r>
          </w:p>
        </w:tc>
      </w:tr>
    </w:tbl>
    <w:p w:rsidR="00CB1985" w:rsidRPr="001E4C3E" w:rsidRDefault="00CB1985" w:rsidP="001E4C3E">
      <w:pPr>
        <w:spacing w:line="360" w:lineRule="auto"/>
        <w:rPr>
          <w:rFonts w:ascii="宋体" w:eastAsia="宋体" w:hAnsi="宋体"/>
          <w:szCs w:val="21"/>
        </w:rPr>
      </w:pPr>
    </w:p>
    <w:p w:rsidR="00F13E36" w:rsidRPr="001E4C3E" w:rsidRDefault="00F13E36" w:rsidP="001E4C3E">
      <w:pPr>
        <w:spacing w:line="360" w:lineRule="auto"/>
        <w:rPr>
          <w:rFonts w:ascii="宋体" w:eastAsia="宋体" w:hAnsi="宋体"/>
          <w:szCs w:val="21"/>
        </w:rPr>
      </w:pPr>
      <w:r w:rsidRPr="001E4C3E">
        <w:rPr>
          <w:rFonts w:ascii="宋体" w:eastAsia="宋体" w:hAnsi="宋体" w:hint="eastAsia"/>
          <w:szCs w:val="21"/>
        </w:rPr>
        <w:t>二、更新情况说明</w:t>
      </w:r>
    </w:p>
    <w:p w:rsidR="002E5781" w:rsidRPr="001E4C3E" w:rsidRDefault="002E5781" w:rsidP="002E5781">
      <w:pPr>
        <w:spacing w:line="360" w:lineRule="auto"/>
        <w:ind w:firstLineChars="200" w:firstLine="420"/>
        <w:rPr>
          <w:rFonts w:ascii="宋体" w:eastAsia="宋体" w:hAnsi="宋体"/>
          <w:szCs w:val="21"/>
        </w:rPr>
      </w:pPr>
      <w:r w:rsidRPr="001E4C3E">
        <w:rPr>
          <w:rFonts w:ascii="宋体" w:eastAsia="宋体" w:hAnsi="宋体" w:hint="eastAsia"/>
          <w:szCs w:val="21"/>
        </w:rPr>
        <w:t>根据《上海证券交易所优化ETF申赎清单市场参与者技术实施指南》3.0版，上交所ETF申购赎回清单将新增xml版本，除格式变更外，主要调整包括：1.启用“市场ID”字段；2.调整“替代标志”字段描述，统一调整为“0-禁止现金替代”</w:t>
      </w:r>
      <w:r>
        <w:rPr>
          <w:rFonts w:ascii="宋体" w:eastAsia="宋体" w:hAnsi="宋体" w:hint="eastAsia"/>
          <w:szCs w:val="21"/>
        </w:rPr>
        <w:t>、</w:t>
      </w:r>
      <w:r w:rsidRPr="001E4C3E">
        <w:rPr>
          <w:rFonts w:ascii="宋体" w:eastAsia="宋体" w:hAnsi="宋体" w:hint="eastAsia"/>
          <w:szCs w:val="21"/>
        </w:rPr>
        <w:t>“1-允许现金替代”</w:t>
      </w:r>
      <w:r>
        <w:rPr>
          <w:rFonts w:ascii="宋体" w:eastAsia="宋体" w:hAnsi="宋体" w:hint="eastAsia"/>
          <w:szCs w:val="21"/>
        </w:rPr>
        <w:t>、</w:t>
      </w:r>
      <w:r w:rsidRPr="001E4C3E">
        <w:rPr>
          <w:rFonts w:ascii="宋体" w:eastAsia="宋体" w:hAnsi="宋体" w:hint="eastAsia"/>
          <w:szCs w:val="21"/>
        </w:rPr>
        <w:t>“2-必须现金替代”三类；3.新增“当日净申购基金份额上限”</w:t>
      </w:r>
      <w:r>
        <w:rPr>
          <w:rFonts w:ascii="宋体" w:eastAsia="宋体" w:hAnsi="宋体" w:hint="eastAsia"/>
          <w:szCs w:val="21"/>
        </w:rPr>
        <w:t>、</w:t>
      </w:r>
      <w:r w:rsidRPr="001E4C3E">
        <w:rPr>
          <w:rFonts w:ascii="宋体" w:eastAsia="宋体" w:hAnsi="宋体" w:hint="eastAsia"/>
          <w:szCs w:val="21"/>
        </w:rPr>
        <w:t>“当日净赎回基金份额上限”字段；4.新增“单个账户净申购总额限制”</w:t>
      </w:r>
      <w:r>
        <w:rPr>
          <w:rFonts w:ascii="宋体" w:eastAsia="宋体" w:hAnsi="宋体" w:hint="eastAsia"/>
          <w:szCs w:val="21"/>
        </w:rPr>
        <w:t>、</w:t>
      </w:r>
      <w:r w:rsidRPr="001E4C3E">
        <w:rPr>
          <w:rFonts w:ascii="宋体" w:eastAsia="宋体" w:hAnsi="宋体" w:hint="eastAsia"/>
          <w:szCs w:val="21"/>
        </w:rPr>
        <w:t>“单个账户净赎回总额限制”字段；5.新增“单个</w:t>
      </w:r>
      <w:r w:rsidRPr="001E4C3E">
        <w:rPr>
          <w:rFonts w:ascii="宋体" w:eastAsia="宋体" w:hAnsi="宋体" w:hint="eastAsia"/>
          <w:szCs w:val="21"/>
        </w:rPr>
        <w:lastRenderedPageBreak/>
        <w:t>账户累计申购总额限制”</w:t>
      </w:r>
      <w:r>
        <w:rPr>
          <w:rFonts w:ascii="宋体" w:eastAsia="宋体" w:hAnsi="宋体" w:hint="eastAsia"/>
          <w:szCs w:val="21"/>
        </w:rPr>
        <w:t>、</w:t>
      </w:r>
      <w:r w:rsidRPr="001E4C3E">
        <w:rPr>
          <w:rFonts w:ascii="宋体" w:eastAsia="宋体" w:hAnsi="宋体" w:hint="eastAsia"/>
          <w:szCs w:val="21"/>
        </w:rPr>
        <w:t>“单个账户累计赎回总额限制”字段；6.新增“当日申购限额”</w:t>
      </w:r>
      <w:r>
        <w:rPr>
          <w:rFonts w:ascii="宋体" w:eastAsia="宋体" w:hAnsi="宋体" w:hint="eastAsia"/>
          <w:szCs w:val="21"/>
        </w:rPr>
        <w:t>、</w:t>
      </w:r>
      <w:r w:rsidRPr="001E4C3E">
        <w:rPr>
          <w:rFonts w:ascii="宋体" w:eastAsia="宋体" w:hAnsi="宋体" w:hint="eastAsia"/>
          <w:szCs w:val="21"/>
        </w:rPr>
        <w:t>“当日赎回限额”；7.增加部分字段长度；8.新增“申赎模式”字段。具体更新内容详见上海证券交易所的相关说明。</w:t>
      </w:r>
    </w:p>
    <w:p w:rsidR="00F13E36" w:rsidRPr="001E4C3E" w:rsidRDefault="00F13E36" w:rsidP="001E4C3E">
      <w:pPr>
        <w:spacing w:line="360" w:lineRule="auto"/>
        <w:ind w:firstLineChars="200" w:firstLine="420"/>
        <w:rPr>
          <w:rFonts w:ascii="宋体" w:eastAsia="宋体" w:hAnsi="宋体"/>
          <w:szCs w:val="21"/>
        </w:rPr>
      </w:pPr>
      <w:r w:rsidRPr="001E4C3E">
        <w:rPr>
          <w:rFonts w:ascii="宋体" w:eastAsia="宋体" w:hAnsi="宋体" w:hint="eastAsia"/>
          <w:szCs w:val="21"/>
        </w:rPr>
        <w:t>自</w:t>
      </w:r>
      <w:r w:rsidR="007D6FB8" w:rsidRPr="001E4C3E">
        <w:rPr>
          <w:rFonts w:ascii="宋体" w:eastAsia="宋体" w:hAnsi="宋体" w:hint="eastAsia"/>
          <w:szCs w:val="21"/>
        </w:rPr>
        <w:t>2025年11月</w:t>
      </w:r>
      <w:r w:rsidR="007D6FB8">
        <w:rPr>
          <w:rFonts w:ascii="宋体" w:eastAsia="宋体" w:hAnsi="宋体" w:hint="eastAsia"/>
          <w:szCs w:val="21"/>
        </w:rPr>
        <w:t>24</w:t>
      </w:r>
      <w:r w:rsidRPr="001E4C3E">
        <w:rPr>
          <w:rFonts w:ascii="宋体" w:eastAsia="宋体" w:hAnsi="宋体" w:hint="eastAsia"/>
          <w:szCs w:val="21"/>
        </w:rPr>
        <w:t>日起，上述ETF将采用xml版本申购赎回清单，具体内容以上海证</w:t>
      </w:r>
    </w:p>
    <w:p w:rsidR="004C6A0C" w:rsidRPr="004C6A0C" w:rsidRDefault="00F13E36" w:rsidP="004C6A0C">
      <w:pPr>
        <w:spacing w:line="360" w:lineRule="auto"/>
        <w:rPr>
          <w:rFonts w:ascii="宋体" w:eastAsia="宋体" w:hAnsi="宋体"/>
          <w:szCs w:val="21"/>
        </w:rPr>
      </w:pPr>
      <w:r w:rsidRPr="001E4C3E">
        <w:rPr>
          <w:rFonts w:ascii="宋体" w:eastAsia="宋体" w:hAnsi="宋体" w:hint="eastAsia"/>
          <w:szCs w:val="21"/>
        </w:rPr>
        <w:t>券交易所实际公布的清单为准。</w:t>
      </w:r>
      <w:r w:rsidR="004C6A0C" w:rsidRPr="004C6A0C">
        <w:rPr>
          <w:rFonts w:ascii="宋体" w:eastAsia="宋体" w:hAnsi="宋体" w:hint="eastAsia"/>
          <w:szCs w:val="21"/>
        </w:rPr>
        <w:t>相应基金招募说明书的相关内容以及基金份额参考净值计算方法等其他必要内容也将根据实际情况进行必要修改。</w:t>
      </w:r>
    </w:p>
    <w:p w:rsidR="001E4C3E" w:rsidRPr="001E4C3E" w:rsidRDefault="001E4C3E" w:rsidP="001E4C3E">
      <w:pPr>
        <w:spacing w:line="360" w:lineRule="auto"/>
        <w:rPr>
          <w:rFonts w:ascii="宋体" w:eastAsia="宋体" w:hAnsi="宋体"/>
          <w:szCs w:val="21"/>
        </w:rPr>
      </w:pPr>
    </w:p>
    <w:p w:rsidR="00F13E36" w:rsidRPr="001E4C3E" w:rsidRDefault="00F13E36" w:rsidP="001E4C3E">
      <w:pPr>
        <w:spacing w:line="360" w:lineRule="auto"/>
        <w:rPr>
          <w:rFonts w:ascii="宋体" w:eastAsia="宋体" w:hAnsi="宋体"/>
          <w:szCs w:val="21"/>
        </w:rPr>
      </w:pPr>
      <w:r w:rsidRPr="001E4C3E">
        <w:rPr>
          <w:rFonts w:ascii="宋体" w:eastAsia="宋体" w:hAnsi="宋体" w:hint="eastAsia"/>
          <w:szCs w:val="21"/>
        </w:rPr>
        <w:t>三、其他需要提示的事项</w:t>
      </w:r>
    </w:p>
    <w:p w:rsidR="00F13E36" w:rsidRPr="001E4C3E" w:rsidRDefault="00F13E36" w:rsidP="006F64B4">
      <w:pPr>
        <w:spacing w:line="360" w:lineRule="auto"/>
        <w:jc w:val="left"/>
        <w:rPr>
          <w:rFonts w:ascii="宋体" w:eastAsia="宋体" w:hAnsi="宋体"/>
          <w:szCs w:val="21"/>
        </w:rPr>
      </w:pPr>
      <w:r w:rsidRPr="001E4C3E">
        <w:rPr>
          <w:rFonts w:ascii="宋体" w:eastAsia="宋体" w:hAnsi="宋体" w:hint="eastAsia"/>
          <w:szCs w:val="21"/>
        </w:rPr>
        <w:t>1、本次更新符合相关法律法规及基金合同的规定，本公告主要对本公司旗下部分上交所ETF申购赎回清单版本更新的有关事项予以说明。投资者欲了解各ETF的详细情况，请阅读各ETF的基金合同、招募说明书（更新）、基金产品资料概要（更新）及相关公告。</w:t>
      </w:r>
    </w:p>
    <w:p w:rsidR="001E4C3E" w:rsidRPr="001E4C3E" w:rsidRDefault="001E4C3E" w:rsidP="001E4C3E">
      <w:pPr>
        <w:spacing w:line="360" w:lineRule="auto"/>
        <w:rPr>
          <w:rFonts w:ascii="宋体" w:eastAsia="宋体" w:hAnsi="宋体"/>
          <w:szCs w:val="21"/>
        </w:rPr>
      </w:pPr>
    </w:p>
    <w:p w:rsidR="00F13E36" w:rsidRPr="001E4C3E" w:rsidRDefault="00F13E36" w:rsidP="001E4C3E">
      <w:pPr>
        <w:spacing w:line="360" w:lineRule="auto"/>
        <w:rPr>
          <w:rFonts w:ascii="宋体" w:eastAsia="宋体" w:hAnsi="宋体"/>
          <w:szCs w:val="21"/>
        </w:rPr>
      </w:pPr>
      <w:r w:rsidRPr="001E4C3E">
        <w:rPr>
          <w:rFonts w:ascii="宋体" w:eastAsia="宋体" w:hAnsi="宋体" w:hint="eastAsia"/>
          <w:szCs w:val="21"/>
        </w:rPr>
        <w:t>2、投资者可通过以下途径咨询有关详情：</w:t>
      </w:r>
    </w:p>
    <w:p w:rsidR="001E4C3E" w:rsidRPr="001E4C3E" w:rsidRDefault="00F13E36" w:rsidP="001E4C3E">
      <w:pPr>
        <w:spacing w:line="360" w:lineRule="auto"/>
        <w:rPr>
          <w:rFonts w:ascii="宋体" w:eastAsia="宋体" w:hAnsi="宋体"/>
          <w:szCs w:val="21"/>
        </w:rPr>
      </w:pPr>
      <w:r w:rsidRPr="001E4C3E">
        <w:rPr>
          <w:rFonts w:ascii="宋体" w:eastAsia="宋体" w:hAnsi="宋体" w:hint="eastAsia"/>
          <w:szCs w:val="21"/>
        </w:rPr>
        <w:t>（1）</w:t>
      </w:r>
      <w:r w:rsidR="001E4C3E" w:rsidRPr="001E4C3E">
        <w:rPr>
          <w:rFonts w:ascii="宋体" w:eastAsia="宋体" w:hAnsi="宋体" w:hint="eastAsia"/>
          <w:szCs w:val="21"/>
        </w:rPr>
        <w:t>摩根基金管理（中国）有限公司客户服务热线：400 889 4888。</w:t>
      </w:r>
    </w:p>
    <w:p w:rsidR="00F13E36" w:rsidRPr="001E4C3E" w:rsidRDefault="001E4C3E" w:rsidP="001E4C3E">
      <w:pPr>
        <w:spacing w:line="360" w:lineRule="auto"/>
        <w:rPr>
          <w:rFonts w:ascii="宋体" w:eastAsia="宋体" w:hAnsi="宋体"/>
          <w:szCs w:val="21"/>
        </w:rPr>
      </w:pPr>
      <w:r w:rsidRPr="001E4C3E">
        <w:rPr>
          <w:rFonts w:ascii="宋体" w:eastAsia="宋体" w:hAnsi="宋体" w:hint="eastAsia"/>
          <w:szCs w:val="21"/>
        </w:rPr>
        <w:t>（2）摩根基金管理（中国）有限公司网站am.jpmorgan.com/cn。</w:t>
      </w:r>
      <w:r w:rsidR="00F13E36" w:rsidRPr="001E4C3E">
        <w:rPr>
          <w:rFonts w:ascii="宋体" w:eastAsia="宋体" w:hAnsi="宋体" w:hint="eastAsia"/>
          <w:szCs w:val="21"/>
        </w:rPr>
        <w:t>。</w:t>
      </w:r>
    </w:p>
    <w:p w:rsidR="001E4C3E" w:rsidRPr="001E4C3E" w:rsidRDefault="001E4C3E" w:rsidP="00F13E36">
      <w:pPr>
        <w:spacing w:line="360" w:lineRule="auto"/>
        <w:rPr>
          <w:rFonts w:ascii="宋体" w:eastAsia="宋体" w:hAnsi="宋体"/>
          <w:szCs w:val="21"/>
        </w:rPr>
      </w:pPr>
    </w:p>
    <w:p w:rsidR="001E4C3E" w:rsidRPr="001E4C3E" w:rsidRDefault="00F13E36" w:rsidP="001E4C3E">
      <w:pPr>
        <w:spacing w:line="360" w:lineRule="auto"/>
        <w:rPr>
          <w:rFonts w:ascii="宋体" w:eastAsia="宋体" w:hAnsi="宋体"/>
          <w:szCs w:val="21"/>
        </w:rPr>
      </w:pPr>
      <w:r w:rsidRPr="001E4C3E">
        <w:rPr>
          <w:rFonts w:ascii="宋体" w:eastAsia="宋体" w:hAnsi="宋体" w:hint="eastAsia"/>
          <w:b/>
          <w:bCs/>
          <w:szCs w:val="21"/>
        </w:rPr>
        <w:t>风险提示：</w:t>
      </w:r>
      <w:r w:rsidR="001E4C3E" w:rsidRPr="001E4C3E" w:rsidDel="001E4C3E">
        <w:rPr>
          <w:rFonts w:ascii="宋体" w:eastAsia="宋体" w:hAnsi="宋体" w:hint="eastAsia"/>
          <w:b/>
          <w:bCs/>
          <w:szCs w:val="21"/>
        </w:rPr>
        <w:t xml:space="preserve"> </w:t>
      </w:r>
    </w:p>
    <w:p w:rsidR="001E4C3E" w:rsidRPr="001E4C3E" w:rsidRDefault="001E4C3E" w:rsidP="001E4C3E">
      <w:pPr>
        <w:spacing w:line="360" w:lineRule="auto"/>
        <w:ind w:firstLineChars="200" w:firstLine="420"/>
        <w:rPr>
          <w:rFonts w:ascii="宋体" w:eastAsia="宋体" w:hAnsi="宋体"/>
          <w:szCs w:val="21"/>
        </w:rPr>
      </w:pPr>
      <w:r w:rsidRPr="001E4C3E">
        <w:rPr>
          <w:rFonts w:ascii="宋体" w:eastAsia="宋体" w:hAnsi="宋体" w:hint="eastAsia"/>
          <w:szCs w:val="21"/>
        </w:rPr>
        <w:t>基金管理人承诺以诚实信用、勤勉尽责的原则管理和运用基金资产，但不保证基金一定盈利，也不保证最低收益。销售机构根据法规要求对投资者类别、风险承受能力和基金的风险登记进行划分，并提出适当性匹配意见。投资者在投资基金前应认真阅读基金合同、招募说明书和基金产品资料概要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E4C3E" w:rsidRPr="001E4C3E" w:rsidRDefault="001E4C3E" w:rsidP="001E4C3E">
      <w:pPr>
        <w:spacing w:line="360" w:lineRule="auto"/>
        <w:rPr>
          <w:rFonts w:ascii="宋体" w:eastAsia="宋体" w:hAnsi="宋体"/>
          <w:szCs w:val="21"/>
        </w:rPr>
      </w:pPr>
    </w:p>
    <w:p w:rsidR="00F13E36" w:rsidRPr="001E4C3E" w:rsidRDefault="00F13E36" w:rsidP="001E4C3E">
      <w:pPr>
        <w:spacing w:line="360" w:lineRule="auto"/>
        <w:rPr>
          <w:rFonts w:ascii="宋体" w:eastAsia="宋体" w:hAnsi="宋体"/>
          <w:szCs w:val="21"/>
        </w:rPr>
      </w:pPr>
    </w:p>
    <w:p w:rsidR="00F13E36" w:rsidRPr="001E4C3E" w:rsidRDefault="00F13E36" w:rsidP="001E4C3E">
      <w:pPr>
        <w:spacing w:line="360" w:lineRule="auto"/>
        <w:rPr>
          <w:rFonts w:ascii="宋体" w:eastAsia="宋体" w:hAnsi="宋体"/>
          <w:szCs w:val="21"/>
        </w:rPr>
      </w:pPr>
      <w:r w:rsidRPr="001E4C3E">
        <w:rPr>
          <w:rFonts w:ascii="宋体" w:eastAsia="宋体" w:hAnsi="宋体" w:hint="eastAsia"/>
          <w:szCs w:val="21"/>
        </w:rPr>
        <w:t>特此公告。</w:t>
      </w:r>
    </w:p>
    <w:p w:rsidR="00F13E36" w:rsidRPr="001E4C3E" w:rsidRDefault="00F13E36" w:rsidP="001E4C3E">
      <w:pPr>
        <w:spacing w:line="360" w:lineRule="auto"/>
        <w:jc w:val="right"/>
        <w:rPr>
          <w:rFonts w:ascii="宋体" w:eastAsia="宋体" w:hAnsi="宋体"/>
          <w:szCs w:val="21"/>
        </w:rPr>
      </w:pPr>
      <w:r w:rsidRPr="001E4C3E">
        <w:rPr>
          <w:rFonts w:ascii="宋体" w:eastAsia="宋体" w:hAnsi="宋体" w:hint="eastAsia"/>
          <w:szCs w:val="21"/>
        </w:rPr>
        <w:t>摩根基金管理（中国）有限公司</w:t>
      </w:r>
    </w:p>
    <w:p w:rsidR="00D0532D" w:rsidRPr="001E4C3E" w:rsidRDefault="007D6FB8" w:rsidP="001E4C3E">
      <w:pPr>
        <w:spacing w:line="360" w:lineRule="auto"/>
        <w:jc w:val="right"/>
        <w:rPr>
          <w:rFonts w:ascii="宋体" w:eastAsia="宋体" w:hAnsi="宋体"/>
          <w:szCs w:val="21"/>
        </w:rPr>
      </w:pPr>
      <w:r w:rsidRPr="001E4C3E">
        <w:rPr>
          <w:rFonts w:ascii="宋体" w:eastAsia="宋体" w:hAnsi="宋体" w:hint="eastAsia"/>
          <w:szCs w:val="21"/>
        </w:rPr>
        <w:t>2025年11月</w:t>
      </w:r>
      <w:r>
        <w:rPr>
          <w:rFonts w:ascii="宋体" w:eastAsia="宋体" w:hAnsi="宋体" w:hint="eastAsia"/>
          <w:szCs w:val="21"/>
        </w:rPr>
        <w:t>24</w:t>
      </w:r>
      <w:r w:rsidR="00F13E36" w:rsidRPr="001E4C3E">
        <w:rPr>
          <w:rFonts w:ascii="宋体" w:eastAsia="宋体" w:hAnsi="宋体" w:hint="eastAsia"/>
          <w:szCs w:val="21"/>
        </w:rPr>
        <w:t>日</w:t>
      </w:r>
    </w:p>
    <w:sectPr w:rsidR="00D0532D" w:rsidRPr="001E4C3E" w:rsidSect="002F25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399" w:rsidRDefault="00574399" w:rsidP="00574399">
      <w:r>
        <w:separator/>
      </w:r>
    </w:p>
  </w:endnote>
  <w:endnote w:type="continuationSeparator" w:id="0">
    <w:p w:rsidR="00574399" w:rsidRDefault="00574399" w:rsidP="00574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399" w:rsidRDefault="00574399" w:rsidP="00574399">
      <w:r>
        <w:separator/>
      </w:r>
    </w:p>
  </w:footnote>
  <w:footnote w:type="continuationSeparator" w:id="0">
    <w:p w:rsidR="00574399" w:rsidRDefault="00574399" w:rsidP="00574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7B0D"/>
    <w:multiLevelType w:val="hybridMultilevel"/>
    <w:tmpl w:val="277871AA"/>
    <w:lvl w:ilvl="0" w:tplc="AB22A854">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07A4"/>
    <w:rsid w:val="00094A9C"/>
    <w:rsid w:val="000D1B2E"/>
    <w:rsid w:val="001E4C3E"/>
    <w:rsid w:val="002231E4"/>
    <w:rsid w:val="002E5781"/>
    <w:rsid w:val="002F2507"/>
    <w:rsid w:val="003625DD"/>
    <w:rsid w:val="00426ADC"/>
    <w:rsid w:val="004C6A0C"/>
    <w:rsid w:val="004E0B63"/>
    <w:rsid w:val="00511287"/>
    <w:rsid w:val="00574399"/>
    <w:rsid w:val="00581BB0"/>
    <w:rsid w:val="005B77B7"/>
    <w:rsid w:val="006B6D0A"/>
    <w:rsid w:val="006F64B4"/>
    <w:rsid w:val="007D6FB8"/>
    <w:rsid w:val="007D7EE3"/>
    <w:rsid w:val="007E2EA1"/>
    <w:rsid w:val="008038D1"/>
    <w:rsid w:val="00803FB1"/>
    <w:rsid w:val="00853A97"/>
    <w:rsid w:val="0091353D"/>
    <w:rsid w:val="009F35BA"/>
    <w:rsid w:val="00A5734E"/>
    <w:rsid w:val="00C32095"/>
    <w:rsid w:val="00CB1985"/>
    <w:rsid w:val="00CE07A4"/>
    <w:rsid w:val="00D0532D"/>
    <w:rsid w:val="00D448E9"/>
    <w:rsid w:val="00D47130"/>
    <w:rsid w:val="00E465F7"/>
    <w:rsid w:val="00F13E36"/>
    <w:rsid w:val="00FA50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07"/>
    <w:pPr>
      <w:widowControl w:val="0"/>
      <w:jc w:val="both"/>
    </w:pPr>
  </w:style>
  <w:style w:type="paragraph" w:styleId="1">
    <w:name w:val="heading 1"/>
    <w:basedOn w:val="a"/>
    <w:next w:val="a"/>
    <w:link w:val="1Char"/>
    <w:uiPriority w:val="9"/>
    <w:qFormat/>
    <w:rsid w:val="00CE07A4"/>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semiHidden/>
    <w:unhideWhenUsed/>
    <w:qFormat/>
    <w:rsid w:val="00CE07A4"/>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rsid w:val="00CE07A4"/>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rsid w:val="00CE07A4"/>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Char"/>
    <w:uiPriority w:val="9"/>
    <w:semiHidden/>
    <w:unhideWhenUsed/>
    <w:qFormat/>
    <w:rsid w:val="00CE07A4"/>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Char"/>
    <w:uiPriority w:val="9"/>
    <w:semiHidden/>
    <w:unhideWhenUsed/>
    <w:qFormat/>
    <w:rsid w:val="00CE07A4"/>
    <w:pPr>
      <w:keepNext/>
      <w:keepLines/>
      <w:spacing w:before="40"/>
      <w:outlineLvl w:val="5"/>
    </w:pPr>
    <w:rPr>
      <w:rFonts w:cstheme="majorBidi"/>
      <w:b/>
      <w:bCs/>
      <w:color w:val="2E74B5" w:themeColor="accent1" w:themeShade="BF"/>
    </w:rPr>
  </w:style>
  <w:style w:type="paragraph" w:styleId="7">
    <w:name w:val="heading 7"/>
    <w:basedOn w:val="a"/>
    <w:next w:val="a"/>
    <w:link w:val="7Char"/>
    <w:uiPriority w:val="9"/>
    <w:semiHidden/>
    <w:unhideWhenUsed/>
    <w:qFormat/>
    <w:rsid w:val="00CE07A4"/>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CE07A4"/>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CE07A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07A4"/>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semiHidden/>
    <w:rsid w:val="00CE07A4"/>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rsid w:val="00CE07A4"/>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rsid w:val="00CE07A4"/>
    <w:rPr>
      <w:rFonts w:cstheme="majorBidi"/>
      <w:color w:val="2E74B5" w:themeColor="accent1" w:themeShade="BF"/>
      <w:sz w:val="28"/>
      <w:szCs w:val="28"/>
    </w:rPr>
  </w:style>
  <w:style w:type="character" w:customStyle="1" w:styleId="5Char">
    <w:name w:val="标题 5 Char"/>
    <w:basedOn w:val="a0"/>
    <w:link w:val="5"/>
    <w:uiPriority w:val="9"/>
    <w:semiHidden/>
    <w:rsid w:val="00CE07A4"/>
    <w:rPr>
      <w:rFonts w:cstheme="majorBidi"/>
      <w:color w:val="2E74B5" w:themeColor="accent1" w:themeShade="BF"/>
      <w:sz w:val="24"/>
      <w:szCs w:val="24"/>
    </w:rPr>
  </w:style>
  <w:style w:type="character" w:customStyle="1" w:styleId="6Char">
    <w:name w:val="标题 6 Char"/>
    <w:basedOn w:val="a0"/>
    <w:link w:val="6"/>
    <w:uiPriority w:val="9"/>
    <w:semiHidden/>
    <w:rsid w:val="00CE07A4"/>
    <w:rPr>
      <w:rFonts w:cstheme="majorBidi"/>
      <w:b/>
      <w:bCs/>
      <w:color w:val="2E74B5" w:themeColor="accent1" w:themeShade="BF"/>
    </w:rPr>
  </w:style>
  <w:style w:type="character" w:customStyle="1" w:styleId="7Char">
    <w:name w:val="标题 7 Char"/>
    <w:basedOn w:val="a0"/>
    <w:link w:val="7"/>
    <w:uiPriority w:val="9"/>
    <w:semiHidden/>
    <w:rsid w:val="00CE07A4"/>
    <w:rPr>
      <w:rFonts w:cstheme="majorBidi"/>
      <w:b/>
      <w:bCs/>
      <w:color w:val="595959" w:themeColor="text1" w:themeTint="A6"/>
    </w:rPr>
  </w:style>
  <w:style w:type="character" w:customStyle="1" w:styleId="8Char">
    <w:name w:val="标题 8 Char"/>
    <w:basedOn w:val="a0"/>
    <w:link w:val="8"/>
    <w:uiPriority w:val="9"/>
    <w:semiHidden/>
    <w:rsid w:val="00CE07A4"/>
    <w:rPr>
      <w:rFonts w:cstheme="majorBidi"/>
      <w:color w:val="595959" w:themeColor="text1" w:themeTint="A6"/>
    </w:rPr>
  </w:style>
  <w:style w:type="character" w:customStyle="1" w:styleId="9Char">
    <w:name w:val="标题 9 Char"/>
    <w:basedOn w:val="a0"/>
    <w:link w:val="9"/>
    <w:uiPriority w:val="9"/>
    <w:semiHidden/>
    <w:rsid w:val="00CE07A4"/>
    <w:rPr>
      <w:rFonts w:eastAsiaTheme="majorEastAsia" w:cstheme="majorBidi"/>
      <w:color w:val="595959" w:themeColor="text1" w:themeTint="A6"/>
    </w:rPr>
  </w:style>
  <w:style w:type="paragraph" w:styleId="a3">
    <w:name w:val="Title"/>
    <w:basedOn w:val="a"/>
    <w:next w:val="a"/>
    <w:link w:val="Char"/>
    <w:uiPriority w:val="10"/>
    <w:qFormat/>
    <w:rsid w:val="00CE07A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CE07A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E07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CE07A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E07A4"/>
    <w:pPr>
      <w:spacing w:before="160" w:after="160"/>
      <w:jc w:val="center"/>
    </w:pPr>
    <w:rPr>
      <w:i/>
      <w:iCs/>
      <w:color w:val="404040" w:themeColor="text1" w:themeTint="BF"/>
    </w:rPr>
  </w:style>
  <w:style w:type="character" w:customStyle="1" w:styleId="Char1">
    <w:name w:val="引用 Char"/>
    <w:basedOn w:val="a0"/>
    <w:link w:val="a5"/>
    <w:uiPriority w:val="29"/>
    <w:rsid w:val="00CE07A4"/>
    <w:rPr>
      <w:i/>
      <w:iCs/>
      <w:color w:val="404040" w:themeColor="text1" w:themeTint="BF"/>
    </w:rPr>
  </w:style>
  <w:style w:type="paragraph" w:styleId="a6">
    <w:name w:val="List Paragraph"/>
    <w:basedOn w:val="a"/>
    <w:uiPriority w:val="34"/>
    <w:qFormat/>
    <w:rsid w:val="00CE07A4"/>
    <w:pPr>
      <w:ind w:left="720"/>
      <w:contextualSpacing/>
    </w:pPr>
  </w:style>
  <w:style w:type="character" w:styleId="a7">
    <w:name w:val="Intense Emphasis"/>
    <w:basedOn w:val="a0"/>
    <w:uiPriority w:val="21"/>
    <w:qFormat/>
    <w:rsid w:val="00CE07A4"/>
    <w:rPr>
      <w:i/>
      <w:iCs/>
      <w:color w:val="2E74B5" w:themeColor="accent1" w:themeShade="BF"/>
    </w:rPr>
  </w:style>
  <w:style w:type="paragraph" w:styleId="a8">
    <w:name w:val="Intense Quote"/>
    <w:basedOn w:val="a"/>
    <w:next w:val="a"/>
    <w:link w:val="Char2"/>
    <w:uiPriority w:val="30"/>
    <w:qFormat/>
    <w:rsid w:val="00CE07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明显引用 Char"/>
    <w:basedOn w:val="a0"/>
    <w:link w:val="a8"/>
    <w:uiPriority w:val="30"/>
    <w:rsid w:val="00CE07A4"/>
    <w:rPr>
      <w:i/>
      <w:iCs/>
      <w:color w:val="2E74B5" w:themeColor="accent1" w:themeShade="BF"/>
    </w:rPr>
  </w:style>
  <w:style w:type="character" w:styleId="a9">
    <w:name w:val="Intense Reference"/>
    <w:basedOn w:val="a0"/>
    <w:uiPriority w:val="32"/>
    <w:qFormat/>
    <w:rsid w:val="00CE07A4"/>
    <w:rPr>
      <w:b/>
      <w:bCs/>
      <w:smallCaps/>
      <w:color w:val="2E74B5" w:themeColor="accent1" w:themeShade="BF"/>
      <w:spacing w:val="5"/>
    </w:rPr>
  </w:style>
  <w:style w:type="paragraph" w:styleId="aa">
    <w:name w:val="Revision"/>
    <w:hidden/>
    <w:uiPriority w:val="99"/>
    <w:semiHidden/>
    <w:rsid w:val="00F13E36"/>
  </w:style>
  <w:style w:type="character" w:styleId="ab">
    <w:name w:val="annotation reference"/>
    <w:basedOn w:val="a0"/>
    <w:uiPriority w:val="99"/>
    <w:semiHidden/>
    <w:unhideWhenUsed/>
    <w:rsid w:val="00094A9C"/>
    <w:rPr>
      <w:sz w:val="21"/>
      <w:szCs w:val="21"/>
    </w:rPr>
  </w:style>
  <w:style w:type="paragraph" w:styleId="ac">
    <w:name w:val="annotation text"/>
    <w:basedOn w:val="a"/>
    <w:link w:val="Char3"/>
    <w:uiPriority w:val="99"/>
    <w:semiHidden/>
    <w:unhideWhenUsed/>
    <w:rsid w:val="00094A9C"/>
    <w:pPr>
      <w:jc w:val="left"/>
    </w:pPr>
  </w:style>
  <w:style w:type="character" w:customStyle="1" w:styleId="Char3">
    <w:name w:val="批注文字 Char"/>
    <w:basedOn w:val="a0"/>
    <w:link w:val="ac"/>
    <w:uiPriority w:val="99"/>
    <w:semiHidden/>
    <w:rsid w:val="00094A9C"/>
  </w:style>
  <w:style w:type="paragraph" w:styleId="ad">
    <w:name w:val="annotation subject"/>
    <w:basedOn w:val="ac"/>
    <w:next w:val="ac"/>
    <w:link w:val="Char4"/>
    <w:uiPriority w:val="99"/>
    <w:semiHidden/>
    <w:unhideWhenUsed/>
    <w:rsid w:val="00094A9C"/>
    <w:rPr>
      <w:b/>
      <w:bCs/>
    </w:rPr>
  </w:style>
  <w:style w:type="character" w:customStyle="1" w:styleId="Char4">
    <w:name w:val="批注主题 Char"/>
    <w:basedOn w:val="Char3"/>
    <w:link w:val="ad"/>
    <w:uiPriority w:val="99"/>
    <w:semiHidden/>
    <w:rsid w:val="00094A9C"/>
    <w:rPr>
      <w:b/>
      <w:bCs/>
    </w:rPr>
  </w:style>
  <w:style w:type="character" w:customStyle="1" w:styleId="engineCreateelementDataeditorTdengineCreateelementDataeditorTdengineCreateelementDataeditorTd">
    <w:name w:val="engineCreate elementData editorTd engineCreate elementData editorTd engineCreate elementData editorTd"/>
    <w:basedOn w:val="a0"/>
    <w:rsid w:val="000D1B2E"/>
  </w:style>
  <w:style w:type="paragraph" w:styleId="ae">
    <w:name w:val="header"/>
    <w:basedOn w:val="a"/>
    <w:link w:val="Char5"/>
    <w:uiPriority w:val="99"/>
    <w:unhideWhenUsed/>
    <w:rsid w:val="00574399"/>
    <w:pPr>
      <w:tabs>
        <w:tab w:val="center" w:pos="4153"/>
        <w:tab w:val="right" w:pos="8306"/>
      </w:tabs>
      <w:snapToGrid w:val="0"/>
      <w:jc w:val="center"/>
    </w:pPr>
    <w:rPr>
      <w:sz w:val="18"/>
      <w:szCs w:val="18"/>
    </w:rPr>
  </w:style>
  <w:style w:type="character" w:customStyle="1" w:styleId="Char5">
    <w:name w:val="页眉 Char"/>
    <w:basedOn w:val="a0"/>
    <w:link w:val="ae"/>
    <w:uiPriority w:val="99"/>
    <w:rsid w:val="00574399"/>
    <w:rPr>
      <w:sz w:val="18"/>
      <w:szCs w:val="18"/>
    </w:rPr>
  </w:style>
  <w:style w:type="paragraph" w:styleId="af">
    <w:name w:val="footer"/>
    <w:basedOn w:val="a"/>
    <w:link w:val="Char6"/>
    <w:uiPriority w:val="99"/>
    <w:unhideWhenUsed/>
    <w:rsid w:val="00574399"/>
    <w:pPr>
      <w:tabs>
        <w:tab w:val="center" w:pos="4153"/>
        <w:tab w:val="right" w:pos="8306"/>
      </w:tabs>
      <w:snapToGrid w:val="0"/>
      <w:jc w:val="left"/>
    </w:pPr>
    <w:rPr>
      <w:sz w:val="18"/>
      <w:szCs w:val="18"/>
    </w:rPr>
  </w:style>
  <w:style w:type="character" w:customStyle="1" w:styleId="Char6">
    <w:name w:val="页脚 Char"/>
    <w:basedOn w:val="a0"/>
    <w:link w:val="af"/>
    <w:uiPriority w:val="99"/>
    <w:rsid w:val="0057439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1418</Characters>
  <Application>Microsoft Office Word</Application>
  <DocSecurity>4</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Yiping.Wang@Product-D&amp;S</dc:creator>
  <cp:keywords/>
  <dc:description/>
  <cp:lastModifiedBy>ZHONGM</cp:lastModifiedBy>
  <cp:revision>2</cp:revision>
  <dcterms:created xsi:type="dcterms:W3CDTF">2025-11-23T16:01:00Z</dcterms:created>
  <dcterms:modified xsi:type="dcterms:W3CDTF">2025-11-23T16:01:00Z</dcterms:modified>
</cp:coreProperties>
</file>