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5DE" w:rsidRPr="00856256" w:rsidRDefault="00F90670" w:rsidP="00F90670">
      <w:pPr>
        <w:jc w:val="center"/>
        <w:rPr>
          <w:rFonts w:ascii="Times New Roman" w:eastAsia="宋体" w:hAnsi="Times New Roman" w:cs="Times New Roman"/>
          <w:b/>
          <w:sz w:val="28"/>
        </w:rPr>
      </w:pPr>
      <w:r w:rsidRPr="00856256">
        <w:rPr>
          <w:rFonts w:ascii="Times New Roman" w:eastAsia="宋体" w:hAnsi="Times New Roman" w:cs="Times New Roman"/>
          <w:b/>
          <w:sz w:val="28"/>
        </w:rPr>
        <w:t>国泰基金管理有限公司关于旗下部分上交所</w:t>
      </w:r>
      <w:r w:rsidRPr="00856256">
        <w:rPr>
          <w:rFonts w:ascii="Times New Roman" w:eastAsia="宋体" w:hAnsi="Times New Roman" w:cs="Times New Roman"/>
          <w:b/>
          <w:sz w:val="28"/>
        </w:rPr>
        <w:t>ETF</w:t>
      </w:r>
      <w:r w:rsidRPr="00856256">
        <w:rPr>
          <w:rFonts w:ascii="Times New Roman" w:eastAsia="宋体" w:hAnsi="Times New Roman" w:cs="Times New Roman"/>
          <w:b/>
          <w:sz w:val="28"/>
        </w:rPr>
        <w:t>申购赎回清单版本更新的公告</w:t>
      </w:r>
    </w:p>
    <w:p w:rsidR="00F90670" w:rsidRPr="00856256" w:rsidRDefault="00F90670" w:rsidP="00F90670">
      <w:pPr>
        <w:spacing w:line="360" w:lineRule="auto"/>
        <w:rPr>
          <w:rFonts w:ascii="Times New Roman" w:eastAsia="宋体" w:hAnsi="Times New Roman" w:cs="Times New Roman"/>
          <w:szCs w:val="21"/>
        </w:rPr>
      </w:pPr>
    </w:p>
    <w:p w:rsidR="00201BBE" w:rsidRPr="00856256" w:rsidRDefault="00F90670" w:rsidP="00372DDE">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根据上海证券交易所</w:t>
      </w:r>
      <w:r w:rsidR="00F73B4F" w:rsidRPr="00856256">
        <w:rPr>
          <w:rFonts w:ascii="Times New Roman" w:eastAsia="宋体" w:hAnsi="Times New Roman" w:cs="Times New Roman"/>
          <w:sz w:val="24"/>
          <w:szCs w:val="24"/>
        </w:rPr>
        <w:t>（以下简称</w:t>
      </w:r>
      <w:r w:rsidR="00F73B4F" w:rsidRPr="00856256">
        <w:rPr>
          <w:rFonts w:ascii="Times New Roman" w:eastAsia="宋体" w:hAnsi="Times New Roman" w:cs="Times New Roman"/>
          <w:sz w:val="24"/>
          <w:szCs w:val="24"/>
        </w:rPr>
        <w:t>“</w:t>
      </w:r>
      <w:r w:rsidR="00F73B4F" w:rsidRPr="00856256">
        <w:rPr>
          <w:rFonts w:ascii="Times New Roman" w:eastAsia="宋体" w:hAnsi="Times New Roman" w:cs="Times New Roman"/>
          <w:sz w:val="24"/>
          <w:szCs w:val="24"/>
        </w:rPr>
        <w:t>上交所</w:t>
      </w:r>
      <w:r w:rsidR="00F73B4F" w:rsidRPr="00856256">
        <w:rPr>
          <w:rFonts w:ascii="Times New Roman" w:eastAsia="宋体" w:hAnsi="Times New Roman" w:cs="Times New Roman"/>
          <w:sz w:val="24"/>
          <w:szCs w:val="24"/>
        </w:rPr>
        <w:t>”</w:t>
      </w:r>
      <w:r w:rsidR="00F73B4F"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最新</w:t>
      </w:r>
      <w:r w:rsidRPr="00856256">
        <w:rPr>
          <w:rFonts w:ascii="Times New Roman" w:eastAsia="宋体" w:hAnsi="Times New Roman" w:cs="Times New Roman"/>
          <w:sz w:val="24"/>
          <w:szCs w:val="24"/>
        </w:rPr>
        <w:t>ETF</w:t>
      </w:r>
      <w:r w:rsidRPr="00856256">
        <w:rPr>
          <w:rFonts w:ascii="Times New Roman" w:eastAsia="宋体" w:hAnsi="Times New Roman" w:cs="Times New Roman"/>
          <w:sz w:val="24"/>
          <w:szCs w:val="24"/>
        </w:rPr>
        <w:t>申购赎回清单格式规则，自</w:t>
      </w:r>
      <w:r w:rsidRPr="00856256">
        <w:rPr>
          <w:rFonts w:ascii="Times New Roman" w:eastAsia="宋体" w:hAnsi="Times New Roman" w:cs="Times New Roman"/>
          <w:sz w:val="24"/>
          <w:szCs w:val="24"/>
        </w:rPr>
        <w:t>2025</w:t>
      </w:r>
      <w:r w:rsidRPr="00856256">
        <w:rPr>
          <w:rFonts w:ascii="Times New Roman" w:eastAsia="宋体" w:hAnsi="Times New Roman" w:cs="Times New Roman"/>
          <w:sz w:val="24"/>
          <w:szCs w:val="24"/>
        </w:rPr>
        <w:t>年</w:t>
      </w:r>
      <w:r w:rsidRPr="00856256">
        <w:rPr>
          <w:rFonts w:ascii="Times New Roman" w:eastAsia="宋体" w:hAnsi="Times New Roman" w:cs="Times New Roman"/>
          <w:sz w:val="24"/>
          <w:szCs w:val="24"/>
        </w:rPr>
        <w:t>11</w:t>
      </w:r>
      <w:r w:rsidRPr="00856256">
        <w:rPr>
          <w:rFonts w:ascii="Times New Roman" w:eastAsia="宋体" w:hAnsi="Times New Roman" w:cs="Times New Roman"/>
          <w:sz w:val="24"/>
          <w:szCs w:val="24"/>
        </w:rPr>
        <w:t>月</w:t>
      </w:r>
      <w:r w:rsidR="00526985">
        <w:rPr>
          <w:rFonts w:ascii="Times New Roman" w:eastAsia="宋体" w:hAnsi="Times New Roman" w:cs="Times New Roman" w:hint="eastAsia"/>
          <w:sz w:val="24"/>
          <w:szCs w:val="24"/>
        </w:rPr>
        <w:t>2</w:t>
      </w:r>
      <w:r w:rsidR="00526985">
        <w:rPr>
          <w:rFonts w:ascii="Times New Roman" w:eastAsia="宋体" w:hAnsi="Times New Roman" w:cs="Times New Roman"/>
          <w:sz w:val="24"/>
          <w:szCs w:val="24"/>
        </w:rPr>
        <w:t>4</w:t>
      </w:r>
      <w:r w:rsidRPr="00856256">
        <w:rPr>
          <w:rFonts w:ascii="Times New Roman" w:eastAsia="宋体" w:hAnsi="Times New Roman" w:cs="Times New Roman"/>
          <w:sz w:val="24"/>
          <w:szCs w:val="24"/>
        </w:rPr>
        <w:t>日起，国泰基金管理有限公司（以下简称</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本基金管理人</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）对旗下部分上交所</w:t>
      </w:r>
      <w:r w:rsidRPr="00856256">
        <w:rPr>
          <w:rFonts w:ascii="Times New Roman" w:eastAsia="宋体" w:hAnsi="Times New Roman" w:cs="Times New Roman"/>
          <w:sz w:val="24"/>
          <w:szCs w:val="24"/>
        </w:rPr>
        <w:t>ETF</w:t>
      </w:r>
      <w:r w:rsidRPr="00856256">
        <w:rPr>
          <w:rFonts w:ascii="Times New Roman" w:eastAsia="宋体" w:hAnsi="Times New Roman" w:cs="Times New Roman"/>
          <w:sz w:val="24"/>
          <w:szCs w:val="24"/>
        </w:rPr>
        <w:t>申购赎回清单进行版本更新。</w:t>
      </w:r>
    </w:p>
    <w:p w:rsidR="00372DDE" w:rsidRPr="00856256" w:rsidRDefault="00DD5840" w:rsidP="00372DDE">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具体事项公告如下</w:t>
      </w:r>
      <w:r w:rsidR="00C67CC0" w:rsidRPr="00856256">
        <w:rPr>
          <w:rFonts w:ascii="Times New Roman" w:eastAsia="宋体" w:hAnsi="Times New Roman" w:cs="Times New Roman"/>
          <w:sz w:val="24"/>
          <w:szCs w:val="24"/>
        </w:rPr>
        <w:t>：</w:t>
      </w:r>
    </w:p>
    <w:p w:rsidR="00DD5840" w:rsidRPr="00856256" w:rsidRDefault="00372DDE" w:rsidP="00372DDE">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一、</w:t>
      </w:r>
      <w:r w:rsidR="00DD5840" w:rsidRPr="00856256">
        <w:rPr>
          <w:rFonts w:ascii="Times New Roman" w:eastAsia="宋体" w:hAnsi="Times New Roman" w:cs="Times New Roman"/>
          <w:sz w:val="24"/>
          <w:szCs w:val="24"/>
        </w:rPr>
        <w:t>涉及本次申购赎回清单版本更新的基金列表</w:t>
      </w:r>
    </w:p>
    <w:tbl>
      <w:tblPr>
        <w:tblStyle w:val="a6"/>
        <w:tblW w:w="0" w:type="auto"/>
        <w:jc w:val="center"/>
        <w:tblLook w:val="04A0"/>
      </w:tblPr>
      <w:tblGrid>
        <w:gridCol w:w="704"/>
        <w:gridCol w:w="1276"/>
        <w:gridCol w:w="3402"/>
        <w:gridCol w:w="1417"/>
        <w:gridCol w:w="1497"/>
      </w:tblGrid>
      <w:tr w:rsidR="00DD5840" w:rsidRPr="00856256" w:rsidTr="006C496E">
        <w:trPr>
          <w:jc w:val="center"/>
        </w:trPr>
        <w:tc>
          <w:tcPr>
            <w:tcW w:w="704" w:type="dxa"/>
            <w:vAlign w:val="center"/>
          </w:tcPr>
          <w:p w:rsidR="00DD5840" w:rsidRPr="00856256" w:rsidRDefault="00DD5840" w:rsidP="00372DDE">
            <w:pPr>
              <w:spacing w:line="360" w:lineRule="auto"/>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序号</w:t>
            </w:r>
          </w:p>
        </w:tc>
        <w:tc>
          <w:tcPr>
            <w:tcW w:w="1276" w:type="dxa"/>
            <w:vAlign w:val="center"/>
          </w:tcPr>
          <w:p w:rsidR="00DD5840" w:rsidRPr="00856256" w:rsidRDefault="00DD5840" w:rsidP="00372DDE">
            <w:pPr>
              <w:spacing w:line="360" w:lineRule="auto"/>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基金代码</w:t>
            </w:r>
          </w:p>
        </w:tc>
        <w:tc>
          <w:tcPr>
            <w:tcW w:w="3402" w:type="dxa"/>
            <w:vAlign w:val="center"/>
          </w:tcPr>
          <w:p w:rsidR="00DD5840" w:rsidRPr="00856256" w:rsidRDefault="00DD5840" w:rsidP="00372DDE">
            <w:pPr>
              <w:spacing w:line="360" w:lineRule="auto"/>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基金名称</w:t>
            </w:r>
          </w:p>
        </w:tc>
        <w:tc>
          <w:tcPr>
            <w:tcW w:w="1417" w:type="dxa"/>
            <w:vAlign w:val="center"/>
          </w:tcPr>
          <w:p w:rsidR="00DD5840" w:rsidRPr="00856256" w:rsidRDefault="00DD5840" w:rsidP="00372DDE">
            <w:pPr>
              <w:spacing w:line="360" w:lineRule="auto"/>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场内简称</w:t>
            </w:r>
          </w:p>
        </w:tc>
        <w:tc>
          <w:tcPr>
            <w:tcW w:w="1497" w:type="dxa"/>
            <w:vAlign w:val="center"/>
          </w:tcPr>
          <w:p w:rsidR="00DD5840" w:rsidRPr="00856256" w:rsidRDefault="00DD5840" w:rsidP="00372DDE">
            <w:pPr>
              <w:spacing w:line="360" w:lineRule="auto"/>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扩位简称</w:t>
            </w:r>
          </w:p>
        </w:tc>
      </w:tr>
      <w:tr w:rsidR="00526985" w:rsidRPr="00856256" w:rsidTr="00526985">
        <w:trPr>
          <w:jc w:val="center"/>
        </w:trPr>
        <w:tc>
          <w:tcPr>
            <w:tcW w:w="704" w:type="dxa"/>
            <w:vAlign w:val="center"/>
          </w:tcPr>
          <w:p w:rsidR="00526985" w:rsidRPr="00856256" w:rsidRDefault="00526985" w:rsidP="00526985">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1</w:t>
            </w:r>
          </w:p>
        </w:tc>
        <w:tc>
          <w:tcPr>
            <w:tcW w:w="1276"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513020</w:t>
            </w:r>
          </w:p>
        </w:tc>
        <w:tc>
          <w:tcPr>
            <w:tcW w:w="3402"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国泰中证港股通科技交易型开放式指数证券投资基金</w:t>
            </w:r>
          </w:p>
        </w:tc>
        <w:tc>
          <w:tcPr>
            <w:tcW w:w="141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科技</w:t>
            </w:r>
            <w:r w:rsidRPr="00526985">
              <w:rPr>
                <w:rFonts w:ascii="Times New Roman" w:eastAsia="宋体" w:hAnsi="Times New Roman" w:cs="Times New Roman"/>
                <w:sz w:val="24"/>
                <w:szCs w:val="24"/>
              </w:rPr>
              <w:t>HK</w:t>
            </w:r>
          </w:p>
        </w:tc>
        <w:tc>
          <w:tcPr>
            <w:tcW w:w="149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港股科技</w:t>
            </w:r>
            <w:r w:rsidRPr="00526985">
              <w:rPr>
                <w:rFonts w:ascii="Times New Roman" w:eastAsia="宋体" w:hAnsi="Times New Roman" w:cs="Times New Roman"/>
                <w:sz w:val="24"/>
                <w:szCs w:val="24"/>
              </w:rPr>
              <w:t>ETF</w:t>
            </w:r>
          </w:p>
        </w:tc>
      </w:tr>
      <w:tr w:rsidR="00526985" w:rsidRPr="00856256" w:rsidTr="00526985">
        <w:trPr>
          <w:jc w:val="center"/>
        </w:trPr>
        <w:tc>
          <w:tcPr>
            <w:tcW w:w="704" w:type="dxa"/>
            <w:vAlign w:val="center"/>
          </w:tcPr>
          <w:p w:rsidR="00526985" w:rsidRPr="00856256" w:rsidRDefault="00526985" w:rsidP="00526985">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2</w:t>
            </w:r>
          </w:p>
        </w:tc>
        <w:tc>
          <w:tcPr>
            <w:tcW w:w="1276"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512720</w:t>
            </w:r>
          </w:p>
        </w:tc>
        <w:tc>
          <w:tcPr>
            <w:tcW w:w="3402"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国泰中证计算机主题交易型开放式指数证券投资基金</w:t>
            </w:r>
          </w:p>
        </w:tc>
        <w:tc>
          <w:tcPr>
            <w:tcW w:w="141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计算机</w:t>
            </w:r>
          </w:p>
        </w:tc>
        <w:tc>
          <w:tcPr>
            <w:tcW w:w="149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计算机</w:t>
            </w:r>
            <w:r w:rsidRPr="00526985">
              <w:rPr>
                <w:rFonts w:ascii="Times New Roman" w:eastAsia="宋体" w:hAnsi="Times New Roman" w:cs="Times New Roman"/>
                <w:sz w:val="24"/>
                <w:szCs w:val="24"/>
              </w:rPr>
              <w:t>ETF</w:t>
            </w:r>
          </w:p>
        </w:tc>
      </w:tr>
      <w:tr w:rsidR="00526985" w:rsidRPr="00856256" w:rsidTr="00526985">
        <w:trPr>
          <w:jc w:val="center"/>
        </w:trPr>
        <w:tc>
          <w:tcPr>
            <w:tcW w:w="704" w:type="dxa"/>
            <w:vAlign w:val="center"/>
          </w:tcPr>
          <w:p w:rsidR="00526985" w:rsidRPr="00856256" w:rsidRDefault="00526985" w:rsidP="00526985">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3</w:t>
            </w:r>
          </w:p>
        </w:tc>
        <w:tc>
          <w:tcPr>
            <w:tcW w:w="1276"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510230</w:t>
            </w:r>
          </w:p>
        </w:tc>
        <w:tc>
          <w:tcPr>
            <w:tcW w:w="3402"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上证</w:t>
            </w:r>
            <w:r w:rsidRPr="00526985">
              <w:rPr>
                <w:rFonts w:ascii="Times New Roman" w:eastAsia="宋体" w:hAnsi="Times New Roman" w:cs="Times New Roman"/>
                <w:sz w:val="24"/>
                <w:szCs w:val="24"/>
              </w:rPr>
              <w:t>180</w:t>
            </w:r>
            <w:r w:rsidRPr="00526985">
              <w:rPr>
                <w:rFonts w:ascii="Times New Roman" w:eastAsia="宋体" w:hAnsi="Times New Roman" w:cs="Times New Roman"/>
                <w:sz w:val="24"/>
                <w:szCs w:val="24"/>
              </w:rPr>
              <w:t>金融交易型开放式指数证券投资基金</w:t>
            </w:r>
          </w:p>
        </w:tc>
        <w:tc>
          <w:tcPr>
            <w:tcW w:w="141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金融</w:t>
            </w:r>
            <w:r w:rsidRPr="00526985">
              <w:rPr>
                <w:rFonts w:ascii="Times New Roman" w:eastAsia="宋体" w:hAnsi="Times New Roman" w:cs="Times New Roman"/>
                <w:sz w:val="24"/>
                <w:szCs w:val="24"/>
              </w:rPr>
              <w:t>ETF</w:t>
            </w:r>
          </w:p>
        </w:tc>
        <w:tc>
          <w:tcPr>
            <w:tcW w:w="149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金融</w:t>
            </w:r>
            <w:r w:rsidRPr="00526985">
              <w:rPr>
                <w:rFonts w:ascii="Times New Roman" w:eastAsia="宋体" w:hAnsi="Times New Roman" w:cs="Times New Roman"/>
                <w:sz w:val="24"/>
                <w:szCs w:val="24"/>
              </w:rPr>
              <w:t>ETF</w:t>
            </w:r>
          </w:p>
        </w:tc>
      </w:tr>
      <w:tr w:rsidR="00526985" w:rsidRPr="00856256" w:rsidTr="00526985">
        <w:trPr>
          <w:jc w:val="center"/>
        </w:trPr>
        <w:tc>
          <w:tcPr>
            <w:tcW w:w="704" w:type="dxa"/>
            <w:vAlign w:val="center"/>
          </w:tcPr>
          <w:p w:rsidR="00526985" w:rsidRPr="00856256" w:rsidRDefault="00526985" w:rsidP="00526985">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4</w:t>
            </w:r>
          </w:p>
        </w:tc>
        <w:tc>
          <w:tcPr>
            <w:tcW w:w="1276"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512760</w:t>
            </w:r>
          </w:p>
        </w:tc>
        <w:tc>
          <w:tcPr>
            <w:tcW w:w="3402"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国泰</w:t>
            </w:r>
            <w:r w:rsidRPr="00526985">
              <w:rPr>
                <w:rFonts w:ascii="Times New Roman" w:eastAsia="宋体" w:hAnsi="Times New Roman" w:cs="Times New Roman"/>
                <w:sz w:val="24"/>
                <w:szCs w:val="24"/>
              </w:rPr>
              <w:t>CES</w:t>
            </w:r>
            <w:r w:rsidRPr="00526985">
              <w:rPr>
                <w:rFonts w:ascii="Times New Roman" w:eastAsia="宋体" w:hAnsi="Times New Roman" w:cs="Times New Roman"/>
                <w:sz w:val="24"/>
                <w:szCs w:val="24"/>
              </w:rPr>
              <w:t>半导体芯片行业交易型开放式指数证券投资基金</w:t>
            </w:r>
          </w:p>
        </w:tc>
        <w:tc>
          <w:tcPr>
            <w:tcW w:w="141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芯片</w:t>
            </w:r>
            <w:r w:rsidRPr="00526985">
              <w:rPr>
                <w:rFonts w:ascii="Times New Roman" w:eastAsia="宋体" w:hAnsi="Times New Roman" w:cs="Times New Roman"/>
                <w:sz w:val="24"/>
                <w:szCs w:val="24"/>
              </w:rPr>
              <w:t>ETF</w:t>
            </w:r>
          </w:p>
        </w:tc>
        <w:tc>
          <w:tcPr>
            <w:tcW w:w="149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芯片</w:t>
            </w:r>
            <w:r w:rsidRPr="00526985">
              <w:rPr>
                <w:rFonts w:ascii="Times New Roman" w:eastAsia="宋体" w:hAnsi="Times New Roman" w:cs="Times New Roman"/>
                <w:sz w:val="24"/>
                <w:szCs w:val="24"/>
              </w:rPr>
              <w:t>ETF</w:t>
            </w:r>
          </w:p>
        </w:tc>
      </w:tr>
      <w:tr w:rsidR="00526985" w:rsidRPr="00856256" w:rsidTr="00526985">
        <w:trPr>
          <w:jc w:val="center"/>
        </w:trPr>
        <w:tc>
          <w:tcPr>
            <w:tcW w:w="704" w:type="dxa"/>
            <w:vAlign w:val="center"/>
          </w:tcPr>
          <w:p w:rsidR="00526985" w:rsidRPr="00856256" w:rsidRDefault="00526985" w:rsidP="00526985">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5</w:t>
            </w:r>
          </w:p>
        </w:tc>
        <w:tc>
          <w:tcPr>
            <w:tcW w:w="1276"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515880</w:t>
            </w:r>
          </w:p>
        </w:tc>
        <w:tc>
          <w:tcPr>
            <w:tcW w:w="3402"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国泰中证全指通信设备交易型开放式指数证券投资基金</w:t>
            </w:r>
          </w:p>
        </w:tc>
        <w:tc>
          <w:tcPr>
            <w:tcW w:w="141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通信</w:t>
            </w:r>
            <w:r w:rsidRPr="00526985">
              <w:rPr>
                <w:rFonts w:ascii="Times New Roman" w:eastAsia="宋体" w:hAnsi="Times New Roman" w:cs="Times New Roman"/>
                <w:sz w:val="24"/>
                <w:szCs w:val="24"/>
              </w:rPr>
              <w:t>ETF</w:t>
            </w:r>
          </w:p>
        </w:tc>
        <w:tc>
          <w:tcPr>
            <w:tcW w:w="149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通信</w:t>
            </w:r>
            <w:r w:rsidRPr="00526985">
              <w:rPr>
                <w:rFonts w:ascii="Times New Roman" w:eastAsia="宋体" w:hAnsi="Times New Roman" w:cs="Times New Roman"/>
                <w:sz w:val="24"/>
                <w:szCs w:val="24"/>
              </w:rPr>
              <w:t>ETF</w:t>
            </w:r>
          </w:p>
        </w:tc>
      </w:tr>
      <w:tr w:rsidR="00526985" w:rsidRPr="00856256" w:rsidTr="00526985">
        <w:trPr>
          <w:jc w:val="center"/>
        </w:trPr>
        <w:tc>
          <w:tcPr>
            <w:tcW w:w="704" w:type="dxa"/>
            <w:vAlign w:val="center"/>
          </w:tcPr>
          <w:p w:rsidR="00526985" w:rsidRPr="00856256" w:rsidRDefault="00526985" w:rsidP="00526985">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6</w:t>
            </w:r>
          </w:p>
        </w:tc>
        <w:tc>
          <w:tcPr>
            <w:tcW w:w="1276"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512660</w:t>
            </w:r>
          </w:p>
        </w:tc>
        <w:tc>
          <w:tcPr>
            <w:tcW w:w="3402"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国泰中证军工交易型开放式指数证券投资基金</w:t>
            </w:r>
          </w:p>
        </w:tc>
        <w:tc>
          <w:tcPr>
            <w:tcW w:w="141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军工</w:t>
            </w:r>
            <w:r w:rsidRPr="00526985">
              <w:rPr>
                <w:rFonts w:ascii="Times New Roman" w:eastAsia="宋体" w:hAnsi="Times New Roman" w:cs="Times New Roman"/>
                <w:sz w:val="24"/>
                <w:szCs w:val="24"/>
              </w:rPr>
              <w:t>ETF</w:t>
            </w:r>
          </w:p>
        </w:tc>
        <w:tc>
          <w:tcPr>
            <w:tcW w:w="149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军工</w:t>
            </w:r>
            <w:r w:rsidRPr="00526985">
              <w:rPr>
                <w:rFonts w:ascii="Times New Roman" w:eastAsia="宋体" w:hAnsi="Times New Roman" w:cs="Times New Roman"/>
                <w:sz w:val="24"/>
                <w:szCs w:val="24"/>
              </w:rPr>
              <w:t>ETF</w:t>
            </w:r>
          </w:p>
        </w:tc>
      </w:tr>
      <w:tr w:rsidR="00526985" w:rsidRPr="00856256" w:rsidTr="00526985">
        <w:trPr>
          <w:jc w:val="center"/>
        </w:trPr>
        <w:tc>
          <w:tcPr>
            <w:tcW w:w="704" w:type="dxa"/>
            <w:vAlign w:val="center"/>
          </w:tcPr>
          <w:p w:rsidR="00526985" w:rsidRPr="00856256" w:rsidRDefault="00526985" w:rsidP="00526985">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7</w:t>
            </w:r>
          </w:p>
        </w:tc>
        <w:tc>
          <w:tcPr>
            <w:tcW w:w="1276"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512880</w:t>
            </w:r>
          </w:p>
        </w:tc>
        <w:tc>
          <w:tcPr>
            <w:tcW w:w="3402"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国泰中证全指证券公司交易型开放式指数证券投资基金</w:t>
            </w:r>
          </w:p>
        </w:tc>
        <w:tc>
          <w:tcPr>
            <w:tcW w:w="141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证券</w:t>
            </w:r>
            <w:r w:rsidRPr="00526985">
              <w:rPr>
                <w:rFonts w:ascii="Times New Roman" w:eastAsia="宋体" w:hAnsi="Times New Roman" w:cs="Times New Roman"/>
                <w:sz w:val="24"/>
                <w:szCs w:val="24"/>
              </w:rPr>
              <w:t>ETF</w:t>
            </w:r>
          </w:p>
        </w:tc>
        <w:tc>
          <w:tcPr>
            <w:tcW w:w="149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证券</w:t>
            </w:r>
            <w:r w:rsidRPr="00526985">
              <w:rPr>
                <w:rFonts w:ascii="Times New Roman" w:eastAsia="宋体" w:hAnsi="Times New Roman" w:cs="Times New Roman"/>
                <w:sz w:val="24"/>
                <w:szCs w:val="24"/>
              </w:rPr>
              <w:t>ETF</w:t>
            </w:r>
          </w:p>
        </w:tc>
      </w:tr>
      <w:tr w:rsidR="00526985" w:rsidRPr="00856256" w:rsidTr="00526985">
        <w:trPr>
          <w:jc w:val="center"/>
        </w:trPr>
        <w:tc>
          <w:tcPr>
            <w:tcW w:w="704" w:type="dxa"/>
            <w:vAlign w:val="center"/>
          </w:tcPr>
          <w:p w:rsidR="00526985" w:rsidRPr="00856256" w:rsidRDefault="00526985" w:rsidP="00526985">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8</w:t>
            </w:r>
          </w:p>
        </w:tc>
        <w:tc>
          <w:tcPr>
            <w:tcW w:w="1276"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517110</w:t>
            </w:r>
          </w:p>
        </w:tc>
        <w:tc>
          <w:tcPr>
            <w:tcW w:w="3402"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国泰中证沪港深创新药产业交易型开放式指数证券投资基金</w:t>
            </w:r>
          </w:p>
        </w:tc>
        <w:tc>
          <w:tcPr>
            <w:tcW w:w="141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创新药</w:t>
            </w:r>
            <w:r w:rsidRPr="00526985">
              <w:rPr>
                <w:rFonts w:ascii="Times New Roman" w:eastAsia="宋体" w:hAnsi="Times New Roman" w:cs="Times New Roman"/>
                <w:sz w:val="24"/>
                <w:szCs w:val="24"/>
              </w:rPr>
              <w:t>HK</w:t>
            </w:r>
          </w:p>
        </w:tc>
        <w:tc>
          <w:tcPr>
            <w:tcW w:w="149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创新药</w:t>
            </w:r>
            <w:r w:rsidRPr="00526985">
              <w:rPr>
                <w:rFonts w:ascii="Times New Roman" w:eastAsia="宋体" w:hAnsi="Times New Roman" w:cs="Times New Roman"/>
                <w:sz w:val="24"/>
                <w:szCs w:val="24"/>
              </w:rPr>
              <w:t>ETF</w:t>
            </w:r>
            <w:r w:rsidRPr="00526985">
              <w:rPr>
                <w:rFonts w:ascii="Times New Roman" w:eastAsia="宋体" w:hAnsi="Times New Roman" w:cs="Times New Roman"/>
                <w:sz w:val="24"/>
                <w:szCs w:val="24"/>
              </w:rPr>
              <w:t>国泰</w:t>
            </w:r>
          </w:p>
        </w:tc>
      </w:tr>
      <w:tr w:rsidR="00526985" w:rsidRPr="00856256" w:rsidTr="00526985">
        <w:trPr>
          <w:jc w:val="center"/>
        </w:trPr>
        <w:tc>
          <w:tcPr>
            <w:tcW w:w="704" w:type="dxa"/>
            <w:vAlign w:val="center"/>
          </w:tcPr>
          <w:p w:rsidR="00526985" w:rsidRPr="00856256" w:rsidRDefault="00526985" w:rsidP="00526985">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9</w:t>
            </w:r>
          </w:p>
        </w:tc>
        <w:tc>
          <w:tcPr>
            <w:tcW w:w="1276"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589100</w:t>
            </w:r>
          </w:p>
        </w:tc>
        <w:tc>
          <w:tcPr>
            <w:tcW w:w="3402"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国泰上证科创板芯片交易型开放式指数证券投资基金</w:t>
            </w:r>
          </w:p>
        </w:tc>
        <w:tc>
          <w:tcPr>
            <w:tcW w:w="141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国泰芯片</w:t>
            </w:r>
          </w:p>
        </w:tc>
        <w:tc>
          <w:tcPr>
            <w:tcW w:w="149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科创芯片</w:t>
            </w:r>
            <w:r w:rsidRPr="00526985">
              <w:rPr>
                <w:rFonts w:ascii="Times New Roman" w:eastAsia="宋体" w:hAnsi="Times New Roman" w:cs="Times New Roman"/>
                <w:sz w:val="24"/>
                <w:szCs w:val="24"/>
              </w:rPr>
              <w:t>ETF</w:t>
            </w:r>
            <w:r w:rsidRPr="00526985">
              <w:rPr>
                <w:rFonts w:ascii="Times New Roman" w:eastAsia="宋体" w:hAnsi="Times New Roman" w:cs="Times New Roman"/>
                <w:sz w:val="24"/>
                <w:szCs w:val="24"/>
              </w:rPr>
              <w:t>国泰</w:t>
            </w:r>
          </w:p>
        </w:tc>
      </w:tr>
      <w:tr w:rsidR="00526985" w:rsidRPr="00856256" w:rsidTr="00526985">
        <w:trPr>
          <w:jc w:val="center"/>
        </w:trPr>
        <w:tc>
          <w:tcPr>
            <w:tcW w:w="704" w:type="dxa"/>
            <w:vAlign w:val="center"/>
          </w:tcPr>
          <w:p w:rsidR="00526985" w:rsidRPr="00856256" w:rsidRDefault="00526985" w:rsidP="00526985">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10</w:t>
            </w:r>
          </w:p>
        </w:tc>
        <w:tc>
          <w:tcPr>
            <w:tcW w:w="1276"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588120</w:t>
            </w:r>
          </w:p>
        </w:tc>
        <w:tc>
          <w:tcPr>
            <w:tcW w:w="3402"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国泰上证科创板</w:t>
            </w:r>
            <w:r w:rsidRPr="00526985">
              <w:rPr>
                <w:rFonts w:ascii="Times New Roman" w:eastAsia="宋体" w:hAnsi="Times New Roman" w:cs="Times New Roman"/>
                <w:sz w:val="24"/>
                <w:szCs w:val="24"/>
              </w:rPr>
              <w:t>100</w:t>
            </w:r>
            <w:r w:rsidRPr="00526985">
              <w:rPr>
                <w:rFonts w:ascii="Times New Roman" w:eastAsia="宋体" w:hAnsi="Times New Roman" w:cs="Times New Roman"/>
                <w:sz w:val="24"/>
                <w:szCs w:val="24"/>
              </w:rPr>
              <w:t>交易型开放式指数证券投资基金</w:t>
            </w:r>
          </w:p>
        </w:tc>
        <w:tc>
          <w:tcPr>
            <w:tcW w:w="141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科</w:t>
            </w:r>
            <w:r w:rsidRPr="00526985">
              <w:rPr>
                <w:rFonts w:ascii="Times New Roman" w:eastAsia="宋体" w:hAnsi="Times New Roman" w:cs="Times New Roman"/>
                <w:sz w:val="24"/>
                <w:szCs w:val="24"/>
              </w:rPr>
              <w:t>100ETF</w:t>
            </w:r>
          </w:p>
        </w:tc>
        <w:tc>
          <w:tcPr>
            <w:tcW w:w="149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科创板</w:t>
            </w:r>
            <w:r w:rsidRPr="00526985">
              <w:rPr>
                <w:rFonts w:ascii="Times New Roman" w:eastAsia="宋体" w:hAnsi="Times New Roman" w:cs="Times New Roman"/>
                <w:sz w:val="24"/>
                <w:szCs w:val="24"/>
              </w:rPr>
              <w:t>100ETF</w:t>
            </w:r>
          </w:p>
        </w:tc>
      </w:tr>
      <w:tr w:rsidR="00526985" w:rsidRPr="00856256" w:rsidTr="00526985">
        <w:trPr>
          <w:jc w:val="center"/>
        </w:trPr>
        <w:tc>
          <w:tcPr>
            <w:tcW w:w="704" w:type="dxa"/>
            <w:vAlign w:val="center"/>
          </w:tcPr>
          <w:p w:rsidR="00526985" w:rsidRPr="00856256" w:rsidRDefault="00526985" w:rsidP="00526985">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11</w:t>
            </w:r>
          </w:p>
        </w:tc>
        <w:tc>
          <w:tcPr>
            <w:tcW w:w="1276"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510720</w:t>
            </w:r>
          </w:p>
        </w:tc>
        <w:tc>
          <w:tcPr>
            <w:tcW w:w="3402"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国泰上证国有企业红利交易型开放式指数证券投资基金</w:t>
            </w:r>
          </w:p>
        </w:tc>
        <w:tc>
          <w:tcPr>
            <w:tcW w:w="141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红利国泰</w:t>
            </w:r>
          </w:p>
        </w:tc>
        <w:tc>
          <w:tcPr>
            <w:tcW w:w="149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红利国企</w:t>
            </w:r>
            <w:r w:rsidRPr="00526985">
              <w:rPr>
                <w:rFonts w:ascii="Times New Roman" w:eastAsia="宋体" w:hAnsi="Times New Roman" w:cs="Times New Roman"/>
                <w:sz w:val="24"/>
                <w:szCs w:val="24"/>
              </w:rPr>
              <w:t>ETF</w:t>
            </w:r>
          </w:p>
        </w:tc>
      </w:tr>
      <w:tr w:rsidR="00526985" w:rsidRPr="00856256" w:rsidTr="00526985">
        <w:trPr>
          <w:jc w:val="center"/>
        </w:trPr>
        <w:tc>
          <w:tcPr>
            <w:tcW w:w="704" w:type="dxa"/>
            <w:vAlign w:val="center"/>
          </w:tcPr>
          <w:p w:rsidR="00526985" w:rsidRPr="00856256" w:rsidRDefault="00526985" w:rsidP="00526985">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12</w:t>
            </w:r>
          </w:p>
        </w:tc>
        <w:tc>
          <w:tcPr>
            <w:tcW w:w="1276"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513100</w:t>
            </w:r>
          </w:p>
        </w:tc>
        <w:tc>
          <w:tcPr>
            <w:tcW w:w="3402"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纳斯达克</w:t>
            </w:r>
            <w:r w:rsidRPr="00526985">
              <w:rPr>
                <w:rFonts w:ascii="Times New Roman" w:eastAsia="宋体" w:hAnsi="Times New Roman" w:cs="Times New Roman"/>
                <w:sz w:val="24"/>
                <w:szCs w:val="24"/>
              </w:rPr>
              <w:t>100</w:t>
            </w:r>
            <w:r w:rsidRPr="00526985">
              <w:rPr>
                <w:rFonts w:ascii="Times New Roman" w:eastAsia="宋体" w:hAnsi="Times New Roman" w:cs="Times New Roman"/>
                <w:sz w:val="24"/>
                <w:szCs w:val="24"/>
              </w:rPr>
              <w:t>交易型开放式指数证券投资基金</w:t>
            </w:r>
          </w:p>
        </w:tc>
        <w:tc>
          <w:tcPr>
            <w:tcW w:w="141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纳指</w:t>
            </w:r>
            <w:r w:rsidRPr="00526985">
              <w:rPr>
                <w:rFonts w:ascii="Times New Roman" w:eastAsia="宋体" w:hAnsi="Times New Roman" w:cs="Times New Roman"/>
                <w:sz w:val="24"/>
                <w:szCs w:val="24"/>
              </w:rPr>
              <w:t>ETF</w:t>
            </w:r>
          </w:p>
        </w:tc>
        <w:tc>
          <w:tcPr>
            <w:tcW w:w="149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纳指</w:t>
            </w:r>
            <w:r w:rsidRPr="00526985">
              <w:rPr>
                <w:rFonts w:ascii="Times New Roman" w:eastAsia="宋体" w:hAnsi="Times New Roman" w:cs="Times New Roman"/>
                <w:sz w:val="24"/>
                <w:szCs w:val="24"/>
              </w:rPr>
              <w:t>ETF</w:t>
            </w:r>
          </w:p>
        </w:tc>
      </w:tr>
      <w:tr w:rsidR="00526985" w:rsidRPr="00856256" w:rsidTr="00526985">
        <w:trPr>
          <w:jc w:val="center"/>
        </w:trPr>
        <w:tc>
          <w:tcPr>
            <w:tcW w:w="704" w:type="dxa"/>
            <w:vAlign w:val="center"/>
          </w:tcPr>
          <w:p w:rsidR="00526985" w:rsidRPr="00856256" w:rsidRDefault="00526985" w:rsidP="00526985">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13</w:t>
            </w:r>
          </w:p>
        </w:tc>
        <w:tc>
          <w:tcPr>
            <w:tcW w:w="1276"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518800</w:t>
            </w:r>
          </w:p>
        </w:tc>
        <w:tc>
          <w:tcPr>
            <w:tcW w:w="3402"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国泰黄金交易型开放式证券投资基金</w:t>
            </w:r>
          </w:p>
        </w:tc>
        <w:tc>
          <w:tcPr>
            <w:tcW w:w="141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黄金基金</w:t>
            </w:r>
          </w:p>
        </w:tc>
        <w:tc>
          <w:tcPr>
            <w:tcW w:w="149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黄金基金</w:t>
            </w:r>
            <w:r w:rsidRPr="00526985">
              <w:rPr>
                <w:rFonts w:ascii="Times New Roman" w:eastAsia="宋体" w:hAnsi="Times New Roman" w:cs="Times New Roman"/>
                <w:sz w:val="24"/>
                <w:szCs w:val="24"/>
              </w:rPr>
              <w:t>ETF</w:t>
            </w:r>
          </w:p>
        </w:tc>
      </w:tr>
      <w:tr w:rsidR="00526985" w:rsidRPr="00856256" w:rsidTr="00526985">
        <w:trPr>
          <w:jc w:val="center"/>
        </w:trPr>
        <w:tc>
          <w:tcPr>
            <w:tcW w:w="704" w:type="dxa"/>
            <w:vAlign w:val="center"/>
          </w:tcPr>
          <w:p w:rsidR="00526985" w:rsidRPr="00856256" w:rsidRDefault="00526985" w:rsidP="00526985">
            <w:pPr>
              <w:jc w:val="center"/>
              <w:rPr>
                <w:rFonts w:ascii="Times New Roman" w:eastAsia="宋体" w:hAnsi="Times New Roman" w:cs="Times New Roman"/>
                <w:sz w:val="24"/>
                <w:szCs w:val="24"/>
              </w:rPr>
            </w:pPr>
            <w:r w:rsidRPr="00856256">
              <w:rPr>
                <w:rFonts w:ascii="Times New Roman" w:eastAsia="宋体" w:hAnsi="Times New Roman" w:cs="Times New Roman"/>
                <w:sz w:val="24"/>
                <w:szCs w:val="24"/>
              </w:rPr>
              <w:t>14</w:t>
            </w:r>
          </w:p>
        </w:tc>
        <w:tc>
          <w:tcPr>
            <w:tcW w:w="1276"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551800</w:t>
            </w:r>
          </w:p>
        </w:tc>
        <w:tc>
          <w:tcPr>
            <w:tcW w:w="3402"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国泰中证</w:t>
            </w:r>
            <w:r w:rsidRPr="00526985">
              <w:rPr>
                <w:rFonts w:ascii="Times New Roman" w:eastAsia="宋体" w:hAnsi="Times New Roman" w:cs="Times New Roman"/>
                <w:sz w:val="24"/>
                <w:szCs w:val="24"/>
              </w:rPr>
              <w:t>AAA</w:t>
            </w:r>
            <w:r w:rsidRPr="00526985">
              <w:rPr>
                <w:rFonts w:ascii="Times New Roman" w:eastAsia="宋体" w:hAnsi="Times New Roman" w:cs="Times New Roman"/>
                <w:sz w:val="24"/>
                <w:szCs w:val="24"/>
              </w:rPr>
              <w:t>科技创新公司债交易型开放式指数证券投资基金</w:t>
            </w:r>
          </w:p>
        </w:tc>
        <w:tc>
          <w:tcPr>
            <w:tcW w:w="141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国泰科债</w:t>
            </w:r>
          </w:p>
        </w:tc>
        <w:tc>
          <w:tcPr>
            <w:tcW w:w="1497" w:type="dxa"/>
            <w:vAlign w:val="center"/>
          </w:tcPr>
          <w:p w:rsidR="00526985" w:rsidRPr="00526985" w:rsidRDefault="00526985" w:rsidP="00526985">
            <w:pPr>
              <w:jc w:val="center"/>
              <w:rPr>
                <w:rFonts w:ascii="Times New Roman" w:eastAsia="宋体" w:hAnsi="Times New Roman" w:cs="Times New Roman"/>
                <w:sz w:val="24"/>
                <w:szCs w:val="24"/>
              </w:rPr>
            </w:pPr>
            <w:r w:rsidRPr="00526985">
              <w:rPr>
                <w:rFonts w:ascii="Times New Roman" w:eastAsia="宋体" w:hAnsi="Times New Roman" w:cs="Times New Roman"/>
                <w:sz w:val="24"/>
                <w:szCs w:val="24"/>
              </w:rPr>
              <w:t>科创债</w:t>
            </w:r>
            <w:r w:rsidRPr="00526985">
              <w:rPr>
                <w:rFonts w:ascii="Times New Roman" w:eastAsia="宋体" w:hAnsi="Times New Roman" w:cs="Times New Roman"/>
                <w:sz w:val="24"/>
                <w:szCs w:val="24"/>
              </w:rPr>
              <w:t>ETF</w:t>
            </w:r>
            <w:r w:rsidRPr="00526985">
              <w:rPr>
                <w:rFonts w:ascii="Times New Roman" w:eastAsia="宋体" w:hAnsi="Times New Roman" w:cs="Times New Roman"/>
                <w:sz w:val="24"/>
                <w:szCs w:val="24"/>
              </w:rPr>
              <w:t>国泰</w:t>
            </w:r>
          </w:p>
        </w:tc>
      </w:tr>
    </w:tbl>
    <w:p w:rsidR="00DD5840" w:rsidRPr="00856256" w:rsidRDefault="00DD5840" w:rsidP="00DD5840">
      <w:pPr>
        <w:spacing w:line="360" w:lineRule="auto"/>
        <w:rPr>
          <w:rFonts w:ascii="Times New Roman" w:eastAsia="宋体" w:hAnsi="Times New Roman" w:cs="Times New Roman"/>
          <w:sz w:val="24"/>
          <w:szCs w:val="24"/>
        </w:rPr>
      </w:pPr>
    </w:p>
    <w:p w:rsidR="006D4A5B" w:rsidRPr="00856256" w:rsidRDefault="006D4A5B" w:rsidP="007577E8">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二、更新情况说明</w:t>
      </w:r>
    </w:p>
    <w:p w:rsidR="003739D4" w:rsidRPr="00856256" w:rsidRDefault="00F73B4F" w:rsidP="003739D4">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上交所</w:t>
      </w:r>
      <w:r w:rsidR="003739D4" w:rsidRPr="00856256">
        <w:rPr>
          <w:rFonts w:ascii="Times New Roman" w:eastAsia="宋体" w:hAnsi="Times New Roman" w:cs="Times New Roman"/>
          <w:sz w:val="24"/>
          <w:szCs w:val="24"/>
        </w:rPr>
        <w:t>ETF</w:t>
      </w:r>
      <w:r w:rsidR="003739D4" w:rsidRPr="00856256">
        <w:rPr>
          <w:rFonts w:ascii="Times New Roman" w:eastAsia="宋体" w:hAnsi="Times New Roman" w:cs="Times New Roman"/>
          <w:sz w:val="24"/>
          <w:szCs w:val="24"/>
        </w:rPr>
        <w:t>新版申购赎回清单</w:t>
      </w:r>
      <w:r w:rsidR="00680327" w:rsidRPr="00856256">
        <w:rPr>
          <w:rFonts w:ascii="Times New Roman" w:eastAsia="宋体" w:hAnsi="Times New Roman" w:cs="Times New Roman"/>
          <w:sz w:val="24"/>
          <w:szCs w:val="24"/>
        </w:rPr>
        <w:t>调整主要包括</w:t>
      </w:r>
      <w:r w:rsidR="003739D4" w:rsidRPr="00856256">
        <w:rPr>
          <w:rFonts w:ascii="Times New Roman" w:eastAsia="宋体" w:hAnsi="Times New Roman" w:cs="Times New Roman"/>
          <w:sz w:val="24"/>
          <w:szCs w:val="24"/>
        </w:rPr>
        <w:t>如下</w:t>
      </w:r>
      <w:r w:rsidR="00680327" w:rsidRPr="00856256">
        <w:rPr>
          <w:rFonts w:ascii="Times New Roman" w:eastAsia="宋体" w:hAnsi="Times New Roman" w:cs="Times New Roman"/>
          <w:sz w:val="24"/>
          <w:szCs w:val="24"/>
        </w:rPr>
        <w:t>内容</w:t>
      </w:r>
      <w:r w:rsidR="003739D4" w:rsidRPr="00856256">
        <w:rPr>
          <w:rFonts w:ascii="Times New Roman" w:eastAsia="宋体" w:hAnsi="Times New Roman" w:cs="Times New Roman"/>
          <w:sz w:val="24"/>
          <w:szCs w:val="24"/>
        </w:rPr>
        <w:t>：</w:t>
      </w:r>
    </w:p>
    <w:p w:rsidR="003739D4" w:rsidRPr="00856256" w:rsidRDefault="003739D4" w:rsidP="003739D4">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1</w:t>
      </w:r>
      <w:r w:rsidRPr="00856256">
        <w:rPr>
          <w:rFonts w:ascii="Times New Roman" w:eastAsia="宋体" w:hAnsi="Times New Roman" w:cs="Times New Roman"/>
          <w:sz w:val="24"/>
          <w:szCs w:val="24"/>
        </w:rPr>
        <w:t>）原</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申购上限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赎回上限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字段调整为</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当日累计可申购的基金份额上限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当日累计可赎回的基金份额上限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字段，并新增</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当日净申购的基金份额上限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当日净赎回的基金份额上限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单个证券账户当日净申购的基金份额上限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单个证券账户当日净赎回的基金份额上限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00F40C2C"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单个证券账户当日累计可申购的基金份额上限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00F40C2C"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单个证券账户当日累计可赎回的基金份额上限</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字段；</w:t>
      </w:r>
    </w:p>
    <w:p w:rsidR="003739D4" w:rsidRPr="00856256" w:rsidRDefault="003739D4" w:rsidP="008346F6">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2</w:t>
      </w:r>
      <w:r w:rsidRPr="00856256">
        <w:rPr>
          <w:rFonts w:ascii="Times New Roman" w:eastAsia="宋体" w:hAnsi="Times New Roman" w:cs="Times New Roman"/>
          <w:sz w:val="24"/>
          <w:szCs w:val="24"/>
        </w:rPr>
        <w:t>）新增</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申购赎回模式</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字段</w:t>
      </w:r>
      <w:r w:rsidR="008346F6"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挂牌市场</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标识；</w:t>
      </w:r>
    </w:p>
    <w:p w:rsidR="00F90670" w:rsidRPr="00856256" w:rsidRDefault="003739D4" w:rsidP="003739D4">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w:t>
      </w:r>
      <w:r w:rsidR="009A7199" w:rsidRPr="00856256">
        <w:rPr>
          <w:rFonts w:ascii="Times New Roman" w:eastAsia="宋体" w:hAnsi="Times New Roman" w:cs="Times New Roman"/>
          <w:sz w:val="24"/>
          <w:szCs w:val="24"/>
        </w:rPr>
        <w:t>3</w:t>
      </w:r>
      <w:r w:rsidRPr="00856256">
        <w:rPr>
          <w:rFonts w:ascii="Times New Roman" w:eastAsia="宋体" w:hAnsi="Times New Roman" w:cs="Times New Roman"/>
          <w:sz w:val="24"/>
          <w:szCs w:val="24"/>
        </w:rPr>
        <w:t>）调整</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现金替代标志</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字段描述</w:t>
      </w:r>
      <w:r w:rsidR="0079155C" w:rsidRPr="00856256">
        <w:rPr>
          <w:rFonts w:ascii="Times New Roman" w:eastAsia="宋体" w:hAnsi="Times New Roman" w:cs="Times New Roman"/>
          <w:sz w:val="24"/>
          <w:szCs w:val="24"/>
        </w:rPr>
        <w:t>，统一调整为</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禁止现金替代</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允许现金替代</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必须现金替代</w:t>
      </w:r>
      <w:r w:rsidR="0079155C" w:rsidRPr="00856256">
        <w:rPr>
          <w:rFonts w:ascii="Times New Roman" w:eastAsia="宋体" w:hAnsi="Times New Roman" w:cs="Times New Roman"/>
          <w:sz w:val="24"/>
          <w:szCs w:val="24"/>
        </w:rPr>
        <w:t>”</w:t>
      </w:r>
      <w:r w:rsidR="0079155C" w:rsidRPr="00856256">
        <w:rPr>
          <w:rFonts w:ascii="Times New Roman" w:eastAsia="宋体" w:hAnsi="Times New Roman" w:cs="Times New Roman"/>
          <w:sz w:val="24"/>
          <w:szCs w:val="24"/>
        </w:rPr>
        <w:t>三类</w:t>
      </w:r>
      <w:r w:rsidR="00810D03" w:rsidRPr="00856256">
        <w:rPr>
          <w:rFonts w:ascii="Times New Roman" w:eastAsia="宋体" w:hAnsi="Times New Roman" w:cs="Times New Roman"/>
          <w:sz w:val="24"/>
          <w:szCs w:val="24"/>
        </w:rPr>
        <w:t>：</w:t>
      </w:r>
    </w:p>
    <w:p w:rsidR="003739D4" w:rsidRPr="00856256" w:rsidRDefault="003739D4" w:rsidP="003739D4">
      <w:pPr>
        <w:spacing w:line="360" w:lineRule="auto"/>
        <w:ind w:firstLineChars="200" w:firstLine="480"/>
        <w:rPr>
          <w:rFonts w:ascii="Times New Roman" w:eastAsia="宋体" w:hAnsi="Times New Roman" w:cs="Times New Roman"/>
          <w:sz w:val="24"/>
          <w:szCs w:val="24"/>
        </w:rPr>
      </w:pPr>
      <w:r w:rsidRPr="00856256">
        <w:rPr>
          <w:rFonts w:ascii="宋体" w:eastAsia="宋体" w:hAnsi="宋体" w:cs="宋体" w:hint="eastAsia"/>
          <w:sz w:val="24"/>
          <w:szCs w:val="24"/>
        </w:rPr>
        <w:t>①</w:t>
      </w:r>
      <w:r w:rsidRPr="00856256">
        <w:rPr>
          <w:rFonts w:ascii="Times New Roman" w:eastAsia="宋体" w:hAnsi="Times New Roman" w:cs="Times New Roman"/>
          <w:sz w:val="24"/>
          <w:szCs w:val="24"/>
        </w:rPr>
        <w:t>若</w:t>
      </w:r>
      <w:r w:rsidRPr="00856256">
        <w:rPr>
          <w:rFonts w:ascii="Times New Roman" w:eastAsia="宋体" w:hAnsi="Times New Roman" w:cs="Times New Roman"/>
          <w:sz w:val="24"/>
          <w:szCs w:val="24"/>
        </w:rPr>
        <w:t>ETF</w:t>
      </w:r>
      <w:r w:rsidR="009A7199" w:rsidRPr="00856256">
        <w:rPr>
          <w:rFonts w:ascii="Times New Roman" w:eastAsia="宋体" w:hAnsi="Times New Roman" w:cs="Times New Roman"/>
          <w:sz w:val="24"/>
          <w:szCs w:val="24"/>
        </w:rPr>
        <w:t>采用实物申赎模式，对于沪市成份</w:t>
      </w:r>
      <w:r w:rsidRPr="00856256">
        <w:rPr>
          <w:rFonts w:ascii="Times New Roman" w:eastAsia="宋体" w:hAnsi="Times New Roman" w:cs="Times New Roman"/>
          <w:sz w:val="24"/>
          <w:szCs w:val="24"/>
        </w:rPr>
        <w:t>券，</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允许现金替代</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标志表示申购基金份额优先使用成份券，成份券不足时差额部分用现金替代，赎回基金</w:t>
      </w:r>
      <w:r w:rsidR="009A7199" w:rsidRPr="00856256">
        <w:rPr>
          <w:rFonts w:ascii="Times New Roman" w:eastAsia="宋体" w:hAnsi="Times New Roman" w:cs="Times New Roman"/>
          <w:sz w:val="24"/>
          <w:szCs w:val="24"/>
        </w:rPr>
        <w:t>份额时该成份券不允许使用现金作为替代；对于非沪市成份</w:t>
      </w:r>
      <w:r w:rsidRPr="00856256">
        <w:rPr>
          <w:rFonts w:ascii="Times New Roman" w:eastAsia="宋体" w:hAnsi="Times New Roman" w:cs="Times New Roman"/>
          <w:sz w:val="24"/>
          <w:szCs w:val="24"/>
        </w:rPr>
        <w:t>券，在申购</w:t>
      </w:r>
      <w:r w:rsidR="009A7199"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赎回基金份额时，该成份券只能使用现金作为替代，</w:t>
      </w:r>
      <w:r w:rsidR="009A7199" w:rsidRPr="00856256">
        <w:rPr>
          <w:rFonts w:ascii="Times New Roman" w:eastAsia="宋体" w:hAnsi="Times New Roman" w:cs="Times New Roman"/>
          <w:sz w:val="24"/>
          <w:szCs w:val="24"/>
        </w:rPr>
        <w:t>并根据基金管理人代买卖情况</w:t>
      </w:r>
      <w:r w:rsidRPr="00856256">
        <w:rPr>
          <w:rFonts w:ascii="Times New Roman" w:eastAsia="宋体" w:hAnsi="Times New Roman" w:cs="Times New Roman"/>
          <w:sz w:val="24"/>
          <w:szCs w:val="24"/>
        </w:rPr>
        <w:t>与投</w:t>
      </w:r>
      <w:r w:rsidR="009A7199" w:rsidRPr="00856256">
        <w:rPr>
          <w:rFonts w:ascii="Times New Roman" w:eastAsia="宋体" w:hAnsi="Times New Roman" w:cs="Times New Roman"/>
          <w:sz w:val="24"/>
          <w:szCs w:val="24"/>
        </w:rPr>
        <w:t>资者交收退补款</w:t>
      </w:r>
      <w:r w:rsidRPr="00856256">
        <w:rPr>
          <w:rFonts w:ascii="Times New Roman" w:eastAsia="宋体" w:hAnsi="Times New Roman" w:cs="Times New Roman"/>
          <w:sz w:val="24"/>
          <w:szCs w:val="24"/>
        </w:rPr>
        <w:t>。</w:t>
      </w:r>
    </w:p>
    <w:p w:rsidR="003739D4" w:rsidRPr="00856256" w:rsidRDefault="003739D4" w:rsidP="003739D4">
      <w:pPr>
        <w:spacing w:line="360" w:lineRule="auto"/>
        <w:ind w:firstLineChars="200" w:firstLine="480"/>
        <w:rPr>
          <w:rFonts w:ascii="Times New Roman" w:eastAsia="宋体" w:hAnsi="Times New Roman" w:cs="Times New Roman"/>
          <w:sz w:val="24"/>
          <w:szCs w:val="24"/>
        </w:rPr>
      </w:pPr>
      <w:r w:rsidRPr="00856256">
        <w:rPr>
          <w:rFonts w:ascii="宋体" w:eastAsia="宋体" w:hAnsi="宋体" w:cs="宋体" w:hint="eastAsia"/>
          <w:sz w:val="24"/>
          <w:szCs w:val="24"/>
        </w:rPr>
        <w:t>②</w:t>
      </w:r>
      <w:r w:rsidRPr="00856256">
        <w:rPr>
          <w:rFonts w:ascii="Times New Roman" w:eastAsia="宋体" w:hAnsi="Times New Roman" w:cs="Times New Roman"/>
          <w:sz w:val="24"/>
          <w:szCs w:val="24"/>
        </w:rPr>
        <w:t>若</w:t>
      </w:r>
      <w:r w:rsidRPr="00856256">
        <w:rPr>
          <w:rFonts w:ascii="Times New Roman" w:eastAsia="宋体" w:hAnsi="Times New Roman" w:cs="Times New Roman"/>
          <w:sz w:val="24"/>
          <w:szCs w:val="24"/>
        </w:rPr>
        <w:t>ETF</w:t>
      </w:r>
      <w:r w:rsidRPr="00856256">
        <w:rPr>
          <w:rFonts w:ascii="Times New Roman" w:eastAsia="宋体" w:hAnsi="Times New Roman" w:cs="Times New Roman"/>
          <w:sz w:val="24"/>
          <w:szCs w:val="24"/>
        </w:rPr>
        <w:t>采用现金申赎模式，</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允许现金替代</w:t>
      </w: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标志表示在申购</w:t>
      </w:r>
      <w:r w:rsidR="009A7199"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赎回基金份额时，该成份券只能使用现金作为替代</w:t>
      </w:r>
      <w:r w:rsidR="009A7199" w:rsidRPr="00856256">
        <w:rPr>
          <w:rFonts w:ascii="Times New Roman" w:eastAsia="宋体" w:hAnsi="Times New Roman" w:cs="Times New Roman"/>
          <w:sz w:val="24"/>
          <w:szCs w:val="24"/>
        </w:rPr>
        <w:t>，并根据基金管理人代买卖情况与投资者交收退补款</w:t>
      </w:r>
      <w:r w:rsidRPr="00856256">
        <w:rPr>
          <w:rFonts w:ascii="Times New Roman" w:eastAsia="宋体" w:hAnsi="Times New Roman" w:cs="Times New Roman"/>
          <w:sz w:val="24"/>
          <w:szCs w:val="24"/>
        </w:rPr>
        <w:t>。</w:t>
      </w:r>
    </w:p>
    <w:p w:rsidR="00156D79" w:rsidRPr="00856256" w:rsidRDefault="00D920D2" w:rsidP="003739D4">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具体更新内容详见上交所的相关说明，</w:t>
      </w:r>
      <w:r w:rsidR="00156D79" w:rsidRPr="00856256">
        <w:rPr>
          <w:rFonts w:ascii="Times New Roman" w:eastAsia="宋体" w:hAnsi="Times New Roman" w:cs="Times New Roman"/>
          <w:sz w:val="24"/>
          <w:szCs w:val="24"/>
        </w:rPr>
        <w:t>申购赎回清单的格式可根据</w:t>
      </w:r>
      <w:r w:rsidRPr="00856256">
        <w:rPr>
          <w:rFonts w:ascii="Times New Roman" w:eastAsia="宋体" w:hAnsi="Times New Roman" w:cs="Times New Roman"/>
          <w:sz w:val="24"/>
          <w:szCs w:val="24"/>
        </w:rPr>
        <w:t>上交</w:t>
      </w:r>
      <w:r w:rsidR="00156D79" w:rsidRPr="00856256">
        <w:rPr>
          <w:rFonts w:ascii="Times New Roman" w:eastAsia="宋体" w:hAnsi="Times New Roman" w:cs="Times New Roman"/>
          <w:sz w:val="24"/>
          <w:szCs w:val="24"/>
        </w:rPr>
        <w:t>所的实际情况相应调整，具体内容以届时</w:t>
      </w:r>
      <w:r w:rsidR="00BD263B" w:rsidRPr="00856256">
        <w:rPr>
          <w:rFonts w:ascii="Times New Roman" w:eastAsia="宋体" w:hAnsi="Times New Roman" w:cs="Times New Roman"/>
          <w:sz w:val="24"/>
          <w:szCs w:val="24"/>
        </w:rPr>
        <w:t>上交所实际公布的</w:t>
      </w:r>
      <w:r w:rsidR="00156D79" w:rsidRPr="00856256">
        <w:rPr>
          <w:rFonts w:ascii="Times New Roman" w:eastAsia="宋体" w:hAnsi="Times New Roman" w:cs="Times New Roman"/>
          <w:sz w:val="24"/>
          <w:szCs w:val="24"/>
        </w:rPr>
        <w:t>内容为准。</w:t>
      </w:r>
    </w:p>
    <w:p w:rsidR="00F90670" w:rsidRPr="00856256" w:rsidRDefault="003739D4" w:rsidP="003739D4">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自</w:t>
      </w:r>
      <w:r w:rsidRPr="00856256">
        <w:rPr>
          <w:rFonts w:ascii="Times New Roman" w:eastAsia="宋体" w:hAnsi="Times New Roman" w:cs="Times New Roman"/>
          <w:sz w:val="24"/>
          <w:szCs w:val="24"/>
        </w:rPr>
        <w:t>2025</w:t>
      </w:r>
      <w:r w:rsidRPr="00856256">
        <w:rPr>
          <w:rFonts w:ascii="Times New Roman" w:eastAsia="宋体" w:hAnsi="Times New Roman" w:cs="Times New Roman"/>
          <w:sz w:val="24"/>
          <w:szCs w:val="24"/>
        </w:rPr>
        <w:t>年</w:t>
      </w:r>
      <w:r w:rsidRPr="00856256">
        <w:rPr>
          <w:rFonts w:ascii="Times New Roman" w:eastAsia="宋体" w:hAnsi="Times New Roman" w:cs="Times New Roman"/>
          <w:sz w:val="24"/>
          <w:szCs w:val="24"/>
        </w:rPr>
        <w:t>11</w:t>
      </w:r>
      <w:r w:rsidRPr="00856256">
        <w:rPr>
          <w:rFonts w:ascii="Times New Roman" w:eastAsia="宋体" w:hAnsi="Times New Roman" w:cs="Times New Roman"/>
          <w:sz w:val="24"/>
          <w:szCs w:val="24"/>
        </w:rPr>
        <w:t>月</w:t>
      </w:r>
      <w:r w:rsidR="00DD2D5A">
        <w:rPr>
          <w:rFonts w:ascii="Times New Roman" w:eastAsia="宋体" w:hAnsi="Times New Roman" w:cs="Times New Roman"/>
          <w:sz w:val="24"/>
          <w:szCs w:val="24"/>
        </w:rPr>
        <w:t>24</w:t>
      </w:r>
      <w:r w:rsidR="00F73B4F" w:rsidRPr="00856256">
        <w:rPr>
          <w:rFonts w:ascii="Times New Roman" w:eastAsia="宋体" w:hAnsi="Times New Roman" w:cs="Times New Roman"/>
          <w:sz w:val="24"/>
          <w:szCs w:val="24"/>
        </w:rPr>
        <w:t>日起，本基金管理人</w:t>
      </w:r>
      <w:r w:rsidRPr="00856256">
        <w:rPr>
          <w:rFonts w:ascii="Times New Roman" w:eastAsia="宋体" w:hAnsi="Times New Roman" w:cs="Times New Roman"/>
          <w:sz w:val="24"/>
          <w:szCs w:val="24"/>
        </w:rPr>
        <w:t>旗下上述上交所</w:t>
      </w:r>
      <w:r w:rsidRPr="00856256">
        <w:rPr>
          <w:rFonts w:ascii="Times New Roman" w:eastAsia="宋体" w:hAnsi="Times New Roman" w:cs="Times New Roman"/>
          <w:sz w:val="24"/>
          <w:szCs w:val="24"/>
        </w:rPr>
        <w:t>ETF</w:t>
      </w:r>
      <w:r w:rsidRPr="00856256">
        <w:rPr>
          <w:rFonts w:ascii="Times New Roman" w:eastAsia="宋体" w:hAnsi="Times New Roman" w:cs="Times New Roman"/>
          <w:sz w:val="24"/>
          <w:szCs w:val="24"/>
        </w:rPr>
        <w:t>将采用新版申购赎回清</w:t>
      </w:r>
      <w:r w:rsidR="00F73B4F" w:rsidRPr="00856256">
        <w:rPr>
          <w:rFonts w:ascii="Times New Roman" w:eastAsia="宋体" w:hAnsi="Times New Roman" w:cs="Times New Roman"/>
          <w:sz w:val="24"/>
          <w:szCs w:val="24"/>
        </w:rPr>
        <w:t>单。基金招募说明书中相关内容将根据实际情况进行相应</w:t>
      </w:r>
      <w:r w:rsidRPr="00856256">
        <w:rPr>
          <w:rFonts w:ascii="Times New Roman" w:eastAsia="宋体" w:hAnsi="Times New Roman" w:cs="Times New Roman"/>
          <w:sz w:val="24"/>
          <w:szCs w:val="24"/>
        </w:rPr>
        <w:t>修改。</w:t>
      </w:r>
    </w:p>
    <w:p w:rsidR="008346F6" w:rsidRPr="00856256" w:rsidRDefault="008346F6" w:rsidP="008346F6">
      <w:pPr>
        <w:spacing w:line="360" w:lineRule="auto"/>
        <w:rPr>
          <w:rFonts w:ascii="Times New Roman" w:eastAsia="宋体" w:hAnsi="Times New Roman" w:cs="Times New Roman"/>
          <w:sz w:val="24"/>
          <w:szCs w:val="24"/>
        </w:rPr>
      </w:pPr>
    </w:p>
    <w:p w:rsidR="008346F6" w:rsidRPr="00856256" w:rsidRDefault="008346F6" w:rsidP="008346F6">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三、重要提示</w:t>
      </w:r>
    </w:p>
    <w:p w:rsidR="008346F6" w:rsidRPr="00856256" w:rsidRDefault="008346F6" w:rsidP="008346F6">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1</w:t>
      </w:r>
      <w:r w:rsidRPr="00856256">
        <w:rPr>
          <w:rFonts w:ascii="Times New Roman" w:eastAsia="宋体" w:hAnsi="Times New Roman" w:cs="Times New Roman"/>
          <w:sz w:val="24"/>
          <w:szCs w:val="24"/>
        </w:rPr>
        <w:t>）上述调整符合有关法律法规规定和基金合同的约定，对基金份额持有人利益无实质性不利影响，无需召开基金份额持有人大会。</w:t>
      </w:r>
    </w:p>
    <w:p w:rsidR="00E3290A" w:rsidRPr="00856256" w:rsidRDefault="008346F6" w:rsidP="00277FE5">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w:t>
      </w:r>
      <w:r w:rsidRPr="00856256">
        <w:rPr>
          <w:rFonts w:ascii="Times New Roman" w:eastAsia="宋体" w:hAnsi="Times New Roman" w:cs="Times New Roman"/>
          <w:sz w:val="24"/>
          <w:szCs w:val="24"/>
        </w:rPr>
        <w:t>2</w:t>
      </w:r>
      <w:r w:rsidRPr="00856256">
        <w:rPr>
          <w:rFonts w:ascii="Times New Roman" w:eastAsia="宋体" w:hAnsi="Times New Roman" w:cs="Times New Roman"/>
          <w:sz w:val="24"/>
          <w:szCs w:val="24"/>
        </w:rPr>
        <w:t>）本公告仅对</w:t>
      </w:r>
      <w:r w:rsidR="00AC344F" w:rsidRPr="00856256">
        <w:rPr>
          <w:rFonts w:ascii="Times New Roman" w:eastAsia="宋体" w:hAnsi="Times New Roman" w:cs="Times New Roman"/>
          <w:sz w:val="24"/>
          <w:szCs w:val="24"/>
        </w:rPr>
        <w:t>本基金管理人旗下部分上交所</w:t>
      </w:r>
      <w:r w:rsidR="00AC344F" w:rsidRPr="00856256">
        <w:rPr>
          <w:rFonts w:ascii="Times New Roman" w:eastAsia="宋体" w:hAnsi="Times New Roman" w:cs="Times New Roman"/>
          <w:sz w:val="24"/>
          <w:szCs w:val="24"/>
        </w:rPr>
        <w:t>ETF</w:t>
      </w:r>
      <w:r w:rsidR="00AC344F" w:rsidRPr="00856256">
        <w:rPr>
          <w:rFonts w:ascii="Times New Roman" w:eastAsia="宋体" w:hAnsi="Times New Roman" w:cs="Times New Roman"/>
          <w:sz w:val="24"/>
          <w:szCs w:val="24"/>
        </w:rPr>
        <w:t>申购赎回清单版本更新的</w:t>
      </w:r>
      <w:r w:rsidR="00D91486" w:rsidRPr="00856256">
        <w:rPr>
          <w:rFonts w:ascii="Times New Roman" w:eastAsia="宋体" w:hAnsi="Times New Roman" w:cs="Times New Roman"/>
          <w:sz w:val="24"/>
          <w:szCs w:val="24"/>
        </w:rPr>
        <w:t>有关</w:t>
      </w:r>
      <w:r w:rsidRPr="00856256">
        <w:rPr>
          <w:rFonts w:ascii="Times New Roman" w:eastAsia="宋体" w:hAnsi="Times New Roman" w:cs="Times New Roman"/>
          <w:sz w:val="24"/>
          <w:szCs w:val="24"/>
        </w:rPr>
        <w:t>事项予以说明</w:t>
      </w:r>
      <w:r w:rsidR="004140FB" w:rsidRPr="00856256">
        <w:rPr>
          <w:rFonts w:ascii="Times New Roman" w:eastAsia="宋体" w:hAnsi="Times New Roman" w:cs="Times New Roman"/>
          <w:sz w:val="24"/>
          <w:szCs w:val="24"/>
        </w:rPr>
        <w:t>。</w:t>
      </w:r>
      <w:r w:rsidR="00E3290A" w:rsidRPr="00856256">
        <w:rPr>
          <w:rFonts w:ascii="Times New Roman" w:eastAsia="宋体" w:hAnsi="Times New Roman" w:cs="Times New Roman"/>
          <w:sz w:val="24"/>
          <w:szCs w:val="24"/>
        </w:rPr>
        <w:t>本基金管理人旗下</w:t>
      </w:r>
      <w:r w:rsidR="00E3290A" w:rsidRPr="00856256">
        <w:rPr>
          <w:rFonts w:ascii="Times New Roman" w:eastAsia="宋体" w:hAnsi="Times New Roman" w:cs="Times New Roman"/>
          <w:sz w:val="24"/>
          <w:szCs w:val="24"/>
        </w:rPr>
        <w:t>ETF</w:t>
      </w:r>
      <w:r w:rsidR="00E3290A" w:rsidRPr="00856256">
        <w:rPr>
          <w:rFonts w:ascii="Times New Roman" w:eastAsia="宋体" w:hAnsi="Times New Roman" w:cs="Times New Roman"/>
          <w:sz w:val="24"/>
          <w:szCs w:val="24"/>
        </w:rPr>
        <w:t>申购赎回清单以证券交易所实际</w:t>
      </w:r>
      <w:r w:rsidR="00E3290A" w:rsidRPr="00856256">
        <w:rPr>
          <w:rFonts w:ascii="Times New Roman" w:eastAsia="宋体" w:hAnsi="Times New Roman" w:cs="Times New Roman"/>
          <w:sz w:val="24"/>
          <w:szCs w:val="24"/>
        </w:rPr>
        <w:lastRenderedPageBreak/>
        <w:t>公布的为准，投资者可登陆本基金管理人网站进行查询。</w:t>
      </w:r>
    </w:p>
    <w:p w:rsidR="008346F6" w:rsidRPr="00856256" w:rsidRDefault="008346F6" w:rsidP="009A7199">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投资人欲了解详细情况，请仔细阅读本基金的招募说明书及其更新文件，以及相关业务公告。投资人可访问本基金管理人网站（</w:t>
      </w:r>
      <w:r w:rsidRPr="00856256">
        <w:rPr>
          <w:rFonts w:ascii="Times New Roman" w:eastAsia="宋体" w:hAnsi="Times New Roman" w:cs="Times New Roman"/>
          <w:sz w:val="24"/>
          <w:szCs w:val="24"/>
        </w:rPr>
        <w:t>www.gtfund.com</w:t>
      </w:r>
      <w:r w:rsidRPr="00856256">
        <w:rPr>
          <w:rFonts w:ascii="Times New Roman" w:eastAsia="宋体" w:hAnsi="Times New Roman" w:cs="Times New Roman"/>
          <w:sz w:val="24"/>
          <w:szCs w:val="24"/>
        </w:rPr>
        <w:t>）或拨打全国免长途话费的客户服务电话（</w:t>
      </w:r>
      <w:r w:rsidRPr="00856256">
        <w:rPr>
          <w:rFonts w:ascii="Times New Roman" w:eastAsia="宋体" w:hAnsi="Times New Roman" w:cs="Times New Roman"/>
          <w:sz w:val="24"/>
          <w:szCs w:val="24"/>
        </w:rPr>
        <w:t>400-888-8688</w:t>
      </w:r>
      <w:r w:rsidRPr="00856256">
        <w:rPr>
          <w:rFonts w:ascii="Times New Roman" w:eastAsia="宋体" w:hAnsi="Times New Roman" w:cs="Times New Roman"/>
          <w:sz w:val="24"/>
          <w:szCs w:val="24"/>
        </w:rPr>
        <w:t>）咨询相关情况。</w:t>
      </w:r>
    </w:p>
    <w:p w:rsidR="008346F6" w:rsidRPr="00856256" w:rsidRDefault="008346F6" w:rsidP="008346F6">
      <w:pPr>
        <w:spacing w:line="360" w:lineRule="auto"/>
        <w:ind w:firstLineChars="200" w:firstLine="480"/>
        <w:rPr>
          <w:rFonts w:ascii="Times New Roman" w:eastAsia="宋体" w:hAnsi="Times New Roman" w:cs="Times New Roman"/>
          <w:sz w:val="24"/>
          <w:szCs w:val="24"/>
        </w:rPr>
      </w:pPr>
    </w:p>
    <w:p w:rsidR="009A7199" w:rsidRPr="00856256" w:rsidRDefault="008346F6" w:rsidP="009A7199">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风险提示：本基金管理人承诺以诚实信用、勤勉尽责的原则管理和运用基金资产，但不保证基金一定盈利，也不保证最低收益。投资者投资于本基金管理人管理的基金时应认真阅读基金相关法律文件，了解基金产品的详细情况，选择与自己风险识别能力和风险承受能力相匹配的基金，并注意投资风险。</w:t>
      </w:r>
    </w:p>
    <w:p w:rsidR="008346F6" w:rsidRPr="00856256" w:rsidRDefault="008346F6" w:rsidP="009A7199">
      <w:pPr>
        <w:spacing w:line="360" w:lineRule="auto"/>
        <w:ind w:firstLineChars="200" w:firstLine="480"/>
        <w:rPr>
          <w:rFonts w:ascii="Times New Roman" w:eastAsia="宋体" w:hAnsi="Times New Roman" w:cs="Times New Roman"/>
          <w:sz w:val="24"/>
          <w:szCs w:val="24"/>
        </w:rPr>
      </w:pPr>
      <w:r w:rsidRPr="00856256">
        <w:rPr>
          <w:rFonts w:ascii="Times New Roman" w:eastAsia="宋体" w:hAnsi="Times New Roman" w:cs="Times New Roman"/>
          <w:sz w:val="24"/>
          <w:szCs w:val="24"/>
        </w:rPr>
        <w:t>特此公告。</w:t>
      </w:r>
    </w:p>
    <w:p w:rsidR="008346F6" w:rsidRPr="00856256" w:rsidRDefault="008346F6" w:rsidP="008346F6">
      <w:pPr>
        <w:spacing w:line="360" w:lineRule="auto"/>
        <w:ind w:firstLineChars="200" w:firstLine="480"/>
        <w:rPr>
          <w:rFonts w:ascii="Times New Roman" w:eastAsia="宋体" w:hAnsi="Times New Roman" w:cs="Times New Roman"/>
          <w:sz w:val="24"/>
          <w:szCs w:val="24"/>
        </w:rPr>
      </w:pPr>
    </w:p>
    <w:p w:rsidR="008346F6" w:rsidRPr="00856256" w:rsidRDefault="008346F6" w:rsidP="008346F6">
      <w:pPr>
        <w:spacing w:line="360" w:lineRule="auto"/>
        <w:ind w:firstLineChars="200" w:firstLine="480"/>
        <w:jc w:val="right"/>
        <w:rPr>
          <w:rFonts w:ascii="Times New Roman" w:eastAsia="宋体" w:hAnsi="Times New Roman" w:cs="Times New Roman"/>
          <w:sz w:val="24"/>
          <w:szCs w:val="24"/>
        </w:rPr>
      </w:pPr>
      <w:r w:rsidRPr="00856256">
        <w:rPr>
          <w:rFonts w:ascii="Times New Roman" w:eastAsia="宋体" w:hAnsi="Times New Roman" w:cs="Times New Roman"/>
          <w:sz w:val="24"/>
          <w:szCs w:val="24"/>
        </w:rPr>
        <w:t>国泰基金管理有限公司</w:t>
      </w:r>
    </w:p>
    <w:p w:rsidR="008346F6" w:rsidRPr="00856256" w:rsidRDefault="008346F6" w:rsidP="008346F6">
      <w:pPr>
        <w:spacing w:line="360" w:lineRule="auto"/>
        <w:ind w:firstLineChars="200" w:firstLine="480"/>
        <w:jc w:val="right"/>
        <w:rPr>
          <w:rFonts w:ascii="Times New Roman" w:eastAsia="宋体" w:hAnsi="Times New Roman" w:cs="Times New Roman"/>
          <w:sz w:val="24"/>
          <w:szCs w:val="24"/>
        </w:rPr>
      </w:pPr>
      <w:r w:rsidRPr="00856256">
        <w:rPr>
          <w:rFonts w:ascii="Times New Roman" w:eastAsia="宋体" w:hAnsi="Times New Roman" w:cs="Times New Roman"/>
          <w:sz w:val="24"/>
          <w:szCs w:val="24"/>
        </w:rPr>
        <w:t>2025</w:t>
      </w:r>
      <w:r w:rsidRPr="00856256">
        <w:rPr>
          <w:rFonts w:ascii="Times New Roman" w:eastAsia="宋体" w:hAnsi="Times New Roman" w:cs="Times New Roman"/>
          <w:sz w:val="24"/>
          <w:szCs w:val="24"/>
        </w:rPr>
        <w:t>年</w:t>
      </w:r>
      <w:r w:rsidR="00201BBE" w:rsidRPr="00856256">
        <w:rPr>
          <w:rFonts w:ascii="Times New Roman" w:eastAsia="宋体" w:hAnsi="Times New Roman" w:cs="Times New Roman"/>
          <w:sz w:val="24"/>
          <w:szCs w:val="24"/>
        </w:rPr>
        <w:t>11</w:t>
      </w:r>
      <w:r w:rsidRPr="00856256">
        <w:rPr>
          <w:rFonts w:ascii="Times New Roman" w:eastAsia="宋体" w:hAnsi="Times New Roman" w:cs="Times New Roman"/>
          <w:sz w:val="24"/>
          <w:szCs w:val="24"/>
        </w:rPr>
        <w:t>月</w:t>
      </w:r>
      <w:r w:rsidR="00DD2D5A">
        <w:rPr>
          <w:rFonts w:ascii="Times New Roman" w:eastAsia="宋体" w:hAnsi="Times New Roman" w:cs="Times New Roman"/>
          <w:sz w:val="24"/>
          <w:szCs w:val="24"/>
        </w:rPr>
        <w:t>24</w:t>
      </w:r>
      <w:bookmarkStart w:id="0" w:name="_GoBack"/>
      <w:bookmarkEnd w:id="0"/>
      <w:r w:rsidRPr="00856256">
        <w:rPr>
          <w:rFonts w:ascii="Times New Roman" w:eastAsia="宋体" w:hAnsi="Times New Roman" w:cs="Times New Roman"/>
          <w:sz w:val="24"/>
          <w:szCs w:val="24"/>
        </w:rPr>
        <w:t>日</w:t>
      </w:r>
    </w:p>
    <w:p w:rsidR="008346F6" w:rsidRPr="00856256" w:rsidRDefault="008346F6" w:rsidP="003739D4">
      <w:pPr>
        <w:spacing w:line="360" w:lineRule="auto"/>
        <w:ind w:firstLineChars="200" w:firstLine="420"/>
        <w:rPr>
          <w:rFonts w:ascii="Times New Roman" w:eastAsia="宋体" w:hAnsi="Times New Roman" w:cs="Times New Roman"/>
          <w:szCs w:val="21"/>
        </w:rPr>
      </w:pPr>
    </w:p>
    <w:sectPr w:rsidR="008346F6" w:rsidRPr="00856256" w:rsidSect="000153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9FF" w:rsidRDefault="006549FF" w:rsidP="00F90670">
      <w:r>
        <w:separator/>
      </w:r>
    </w:p>
  </w:endnote>
  <w:endnote w:type="continuationSeparator" w:id="0">
    <w:p w:rsidR="006549FF" w:rsidRDefault="006549FF" w:rsidP="00F906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9FF" w:rsidRDefault="006549FF" w:rsidP="00F90670">
      <w:r>
        <w:separator/>
      </w:r>
    </w:p>
  </w:footnote>
  <w:footnote w:type="continuationSeparator" w:id="0">
    <w:p w:rsidR="006549FF" w:rsidRDefault="006549FF" w:rsidP="00F906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90C17"/>
    <w:multiLevelType w:val="hybridMultilevel"/>
    <w:tmpl w:val="D84EDB6E"/>
    <w:lvl w:ilvl="0" w:tplc="9696839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3640"/>
    <w:rsid w:val="000153EE"/>
    <w:rsid w:val="000235FC"/>
    <w:rsid w:val="000C6FA0"/>
    <w:rsid w:val="00156D79"/>
    <w:rsid w:val="001A7C39"/>
    <w:rsid w:val="00201BBE"/>
    <w:rsid w:val="00277FE5"/>
    <w:rsid w:val="0030546E"/>
    <w:rsid w:val="00313830"/>
    <w:rsid w:val="00372DDE"/>
    <w:rsid w:val="003739D4"/>
    <w:rsid w:val="004036B7"/>
    <w:rsid w:val="004140FB"/>
    <w:rsid w:val="00526985"/>
    <w:rsid w:val="00573640"/>
    <w:rsid w:val="005C25E2"/>
    <w:rsid w:val="005E3DB7"/>
    <w:rsid w:val="006549FF"/>
    <w:rsid w:val="00680327"/>
    <w:rsid w:val="006C496E"/>
    <w:rsid w:val="006D4A5B"/>
    <w:rsid w:val="007577E8"/>
    <w:rsid w:val="0079155C"/>
    <w:rsid w:val="007F2817"/>
    <w:rsid w:val="00810D03"/>
    <w:rsid w:val="008346F6"/>
    <w:rsid w:val="00856256"/>
    <w:rsid w:val="009A7199"/>
    <w:rsid w:val="00A52FFE"/>
    <w:rsid w:val="00AC344F"/>
    <w:rsid w:val="00B23BFF"/>
    <w:rsid w:val="00BD263B"/>
    <w:rsid w:val="00C529DD"/>
    <w:rsid w:val="00C67CC0"/>
    <w:rsid w:val="00D67AF2"/>
    <w:rsid w:val="00D91486"/>
    <w:rsid w:val="00D920D2"/>
    <w:rsid w:val="00DD2D5A"/>
    <w:rsid w:val="00DD5840"/>
    <w:rsid w:val="00E3290A"/>
    <w:rsid w:val="00F40C2C"/>
    <w:rsid w:val="00F73B4F"/>
    <w:rsid w:val="00F90670"/>
    <w:rsid w:val="00FB25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3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06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0670"/>
    <w:rPr>
      <w:sz w:val="18"/>
      <w:szCs w:val="18"/>
    </w:rPr>
  </w:style>
  <w:style w:type="paragraph" w:styleId="a4">
    <w:name w:val="footer"/>
    <w:basedOn w:val="a"/>
    <w:link w:val="Char0"/>
    <w:uiPriority w:val="99"/>
    <w:unhideWhenUsed/>
    <w:rsid w:val="00F90670"/>
    <w:pPr>
      <w:tabs>
        <w:tab w:val="center" w:pos="4153"/>
        <w:tab w:val="right" w:pos="8306"/>
      </w:tabs>
      <w:snapToGrid w:val="0"/>
      <w:jc w:val="left"/>
    </w:pPr>
    <w:rPr>
      <w:sz w:val="18"/>
      <w:szCs w:val="18"/>
    </w:rPr>
  </w:style>
  <w:style w:type="character" w:customStyle="1" w:styleId="Char0">
    <w:name w:val="页脚 Char"/>
    <w:basedOn w:val="a0"/>
    <w:link w:val="a4"/>
    <w:uiPriority w:val="99"/>
    <w:rsid w:val="00F90670"/>
    <w:rPr>
      <w:sz w:val="18"/>
      <w:szCs w:val="18"/>
    </w:rPr>
  </w:style>
  <w:style w:type="paragraph" w:styleId="a5">
    <w:name w:val="List Paragraph"/>
    <w:basedOn w:val="a"/>
    <w:uiPriority w:val="34"/>
    <w:qFormat/>
    <w:rsid w:val="00DD5840"/>
    <w:pPr>
      <w:ind w:firstLineChars="200" w:firstLine="420"/>
    </w:pPr>
  </w:style>
  <w:style w:type="table" w:styleId="a6">
    <w:name w:val="Table Grid"/>
    <w:basedOn w:val="a1"/>
    <w:uiPriority w:val="39"/>
    <w:rsid w:val="00DD58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67CC0"/>
    <w:rPr>
      <w:sz w:val="18"/>
      <w:szCs w:val="18"/>
    </w:rPr>
  </w:style>
  <w:style w:type="character" w:customStyle="1" w:styleId="Char1">
    <w:name w:val="批注框文本 Char"/>
    <w:basedOn w:val="a0"/>
    <w:link w:val="a7"/>
    <w:uiPriority w:val="99"/>
    <w:semiHidden/>
    <w:rsid w:val="00C67CC0"/>
    <w:rPr>
      <w:sz w:val="18"/>
      <w:szCs w:val="18"/>
    </w:rPr>
  </w:style>
  <w:style w:type="paragraph" w:styleId="a8">
    <w:name w:val="Revision"/>
    <w:hidden/>
    <w:uiPriority w:val="99"/>
    <w:semiHidden/>
    <w:rsid w:val="001A7C3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1659</Characters>
  <Application>Microsoft Office Word</Application>
  <DocSecurity>4</DocSecurity>
  <Lines>13</Lines>
  <Paragraphs>3</Paragraphs>
  <ScaleCrop>false</ScaleCrop>
  <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张笑语</dc:creator>
  <cp:keywords/>
  <dc:description/>
  <cp:lastModifiedBy>ZHONGM</cp:lastModifiedBy>
  <cp:revision>2</cp:revision>
  <dcterms:created xsi:type="dcterms:W3CDTF">2025-11-23T16:00:00Z</dcterms:created>
  <dcterms:modified xsi:type="dcterms:W3CDTF">2025-11-23T16:00:00Z</dcterms:modified>
</cp:coreProperties>
</file>