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155" w:rsidRDefault="0071757F">
      <w:pPr>
        <w:spacing w:line="360" w:lineRule="auto"/>
        <w:jc w:val="center"/>
        <w:rPr>
          <w:rFonts w:ascii="宋体" w:eastAsia="宋体" w:hAnsi="宋体"/>
          <w:b/>
          <w:sz w:val="28"/>
        </w:rPr>
      </w:pPr>
      <w:r>
        <w:rPr>
          <w:rFonts w:ascii="宋体" w:eastAsia="宋体" w:hAnsi="宋体" w:hint="eastAsia"/>
          <w:b/>
          <w:sz w:val="28"/>
        </w:rPr>
        <w:t>关于渤海汇金低碳经济一年持有期混合型发起式证券投资基金可能触发基金合同终止情形的第</w:t>
      </w:r>
      <w:r>
        <w:rPr>
          <w:rFonts w:ascii="宋体" w:eastAsia="宋体" w:hAnsi="宋体" w:hint="eastAsia"/>
          <w:b/>
          <w:sz w:val="28"/>
        </w:rPr>
        <w:t>三</w:t>
      </w:r>
      <w:r>
        <w:rPr>
          <w:rFonts w:ascii="宋体" w:eastAsia="宋体" w:hAnsi="宋体" w:hint="eastAsia"/>
          <w:b/>
          <w:sz w:val="28"/>
        </w:rPr>
        <w:t>次提示性公告</w:t>
      </w:r>
    </w:p>
    <w:p w:rsidR="00CD5155" w:rsidRDefault="00CD5155">
      <w:pPr>
        <w:spacing w:line="360" w:lineRule="auto"/>
        <w:jc w:val="center"/>
        <w:rPr>
          <w:rFonts w:ascii="宋体" w:eastAsia="宋体" w:hAnsi="宋体"/>
          <w:b/>
          <w:sz w:val="28"/>
        </w:rPr>
      </w:pPr>
    </w:p>
    <w:p w:rsidR="00CD5155" w:rsidRDefault="0071757F">
      <w:pPr>
        <w:spacing w:line="360" w:lineRule="auto"/>
        <w:ind w:firstLineChars="200" w:firstLine="420"/>
        <w:rPr>
          <w:rFonts w:ascii="宋体" w:eastAsia="宋体" w:hAnsi="宋体"/>
          <w:szCs w:val="21"/>
        </w:rPr>
      </w:pPr>
      <w:r>
        <w:rPr>
          <w:rFonts w:ascii="宋体" w:eastAsia="宋体" w:hAnsi="宋体" w:hint="eastAsia"/>
          <w:szCs w:val="21"/>
        </w:rPr>
        <w:t>根据《中华人民共和国证券投资基金法》、《公开募集证券投资基金运作管理办法》、《渤海汇金低碳经济一年持有期混合型发起式证券投资基金基金合同》（以下简称“《基金合同》”）的有关规定，渤海汇金低碳经济一年持有期混合型发起式证券投资基金（基金代码：</w:t>
      </w:r>
      <w:r>
        <w:rPr>
          <w:rFonts w:ascii="宋体" w:eastAsia="宋体" w:hAnsi="宋体"/>
          <w:szCs w:val="21"/>
        </w:rPr>
        <w:t>0</w:t>
      </w:r>
      <w:r>
        <w:rPr>
          <w:rFonts w:ascii="宋体" w:eastAsia="宋体" w:hAnsi="宋体" w:hint="eastAsia"/>
          <w:szCs w:val="21"/>
        </w:rPr>
        <w:t>16700</w:t>
      </w:r>
      <w:r>
        <w:rPr>
          <w:rFonts w:ascii="宋体" w:eastAsia="宋体" w:hAnsi="宋体"/>
          <w:szCs w:val="21"/>
        </w:rPr>
        <w:t>，以下简称</w:t>
      </w:r>
      <w:r>
        <w:rPr>
          <w:rFonts w:ascii="宋体" w:eastAsia="宋体" w:hAnsi="宋体"/>
          <w:szCs w:val="21"/>
        </w:rPr>
        <w:t>“</w:t>
      </w:r>
      <w:r>
        <w:rPr>
          <w:rFonts w:ascii="宋体" w:eastAsia="宋体" w:hAnsi="宋体"/>
          <w:szCs w:val="21"/>
        </w:rPr>
        <w:t>本基金</w:t>
      </w:r>
      <w:r>
        <w:rPr>
          <w:rFonts w:ascii="宋体" w:eastAsia="宋体" w:hAnsi="宋体"/>
          <w:szCs w:val="21"/>
        </w:rPr>
        <w:t>”</w:t>
      </w:r>
      <w:r>
        <w:rPr>
          <w:rFonts w:ascii="宋体" w:eastAsia="宋体" w:hAnsi="宋体"/>
          <w:szCs w:val="21"/>
        </w:rPr>
        <w:t>）</w:t>
      </w:r>
      <w:r>
        <w:rPr>
          <w:rFonts w:ascii="宋体" w:eastAsia="宋体" w:hAnsi="宋体" w:hint="eastAsia"/>
          <w:szCs w:val="21"/>
        </w:rPr>
        <w:t>可能触发基金合同终止情形</w:t>
      </w:r>
      <w:r>
        <w:rPr>
          <w:rFonts w:ascii="宋体" w:eastAsia="宋体" w:hAnsi="宋体"/>
          <w:szCs w:val="21"/>
        </w:rPr>
        <w:t>，现将相关事项公告如下：</w:t>
      </w:r>
    </w:p>
    <w:p w:rsidR="00CD5155" w:rsidRDefault="00CD5155">
      <w:pPr>
        <w:spacing w:line="360" w:lineRule="auto"/>
        <w:ind w:firstLineChars="200" w:firstLine="420"/>
        <w:rPr>
          <w:rFonts w:ascii="宋体" w:eastAsia="宋体" w:hAnsi="宋体"/>
          <w:szCs w:val="21"/>
        </w:rPr>
      </w:pPr>
    </w:p>
    <w:p w:rsidR="00CD5155" w:rsidRDefault="0071757F">
      <w:pPr>
        <w:spacing w:line="360" w:lineRule="auto"/>
        <w:ind w:firstLineChars="200" w:firstLine="420"/>
        <w:rPr>
          <w:rFonts w:ascii="宋体" w:eastAsia="宋体" w:hAnsi="宋体"/>
          <w:szCs w:val="21"/>
        </w:rPr>
      </w:pPr>
      <w:r>
        <w:rPr>
          <w:rFonts w:ascii="宋体" w:eastAsia="宋体" w:hAnsi="宋体" w:hint="eastAsia"/>
          <w:szCs w:val="21"/>
        </w:rPr>
        <w:t>一、本基金基本信息</w:t>
      </w:r>
    </w:p>
    <w:p w:rsidR="00CD5155" w:rsidRDefault="0071757F">
      <w:pPr>
        <w:spacing w:line="360" w:lineRule="auto"/>
        <w:ind w:firstLineChars="200" w:firstLine="420"/>
        <w:rPr>
          <w:rFonts w:ascii="宋体" w:eastAsia="宋体" w:hAnsi="宋体"/>
          <w:szCs w:val="21"/>
        </w:rPr>
      </w:pPr>
      <w:r>
        <w:rPr>
          <w:rFonts w:ascii="宋体" w:eastAsia="宋体" w:hAnsi="宋体" w:hint="eastAsia"/>
          <w:szCs w:val="21"/>
        </w:rPr>
        <w:t>基金名称：渤海汇金低碳经济一年持有期混合型发起式证券投资基金</w:t>
      </w:r>
    </w:p>
    <w:p w:rsidR="00CD5155" w:rsidRDefault="0071757F">
      <w:pPr>
        <w:spacing w:line="360" w:lineRule="auto"/>
        <w:ind w:firstLineChars="200" w:firstLine="420"/>
        <w:rPr>
          <w:rFonts w:ascii="宋体" w:eastAsia="宋体" w:hAnsi="宋体"/>
          <w:szCs w:val="21"/>
        </w:rPr>
      </w:pPr>
      <w:r>
        <w:rPr>
          <w:rFonts w:ascii="宋体" w:eastAsia="宋体" w:hAnsi="宋体" w:hint="eastAsia"/>
          <w:szCs w:val="21"/>
        </w:rPr>
        <w:t>基金简称：渤海汇金低碳经济一年持有期混合发起</w:t>
      </w:r>
    </w:p>
    <w:p w:rsidR="00CD5155" w:rsidRDefault="0071757F">
      <w:pPr>
        <w:spacing w:line="360" w:lineRule="auto"/>
        <w:ind w:firstLineChars="200" w:firstLine="420"/>
        <w:rPr>
          <w:rFonts w:ascii="宋体" w:eastAsia="宋体" w:hAnsi="宋体"/>
          <w:szCs w:val="21"/>
        </w:rPr>
      </w:pPr>
      <w:r>
        <w:rPr>
          <w:rFonts w:ascii="宋体" w:eastAsia="宋体" w:hAnsi="宋体" w:hint="eastAsia"/>
          <w:szCs w:val="21"/>
        </w:rPr>
        <w:t>基金代码：</w:t>
      </w:r>
      <w:r>
        <w:rPr>
          <w:rFonts w:ascii="宋体" w:eastAsia="宋体" w:hAnsi="宋体" w:hint="eastAsia"/>
          <w:szCs w:val="21"/>
        </w:rPr>
        <w:t>016700</w:t>
      </w:r>
    </w:p>
    <w:p w:rsidR="00CD5155" w:rsidRDefault="0071757F">
      <w:pPr>
        <w:spacing w:line="360" w:lineRule="auto"/>
        <w:ind w:firstLineChars="200" w:firstLine="420"/>
        <w:rPr>
          <w:rFonts w:ascii="宋体" w:eastAsia="宋体" w:hAnsi="宋体"/>
          <w:szCs w:val="21"/>
        </w:rPr>
      </w:pPr>
      <w:r>
        <w:rPr>
          <w:rFonts w:ascii="宋体" w:eastAsia="宋体" w:hAnsi="宋体" w:hint="eastAsia"/>
          <w:szCs w:val="21"/>
        </w:rPr>
        <w:t>基金运作方式：契约型开放式</w:t>
      </w:r>
    </w:p>
    <w:p w:rsidR="00CD5155" w:rsidRDefault="0071757F">
      <w:pPr>
        <w:spacing w:line="360" w:lineRule="auto"/>
        <w:ind w:firstLineChars="200" w:firstLine="420"/>
        <w:rPr>
          <w:rFonts w:ascii="宋体" w:eastAsia="宋体" w:hAnsi="宋体"/>
          <w:szCs w:val="21"/>
        </w:rPr>
      </w:pPr>
      <w:r>
        <w:rPr>
          <w:rFonts w:ascii="宋体" w:eastAsia="宋体" w:hAnsi="宋体"/>
          <w:szCs w:val="21"/>
        </w:rPr>
        <w:t>本基金对每份基金份额设置一年的最短持有期，即自基金合同生效日（对认购份额而言，下同）或基金份额申购确认日（对申购份额而言，下同）或基金份额转换转入确认日（对转换转入份额而言，下同）一年后的年度对应日（不含）的期间内，投资者不能提出赎回申请或转换转出申请；该日一年后的年度对应日（即最短持有期限到期日）起（含当日）之后，投资者可以提出赎回申请或转换转出申请。</w:t>
      </w:r>
    </w:p>
    <w:p w:rsidR="00CD5155" w:rsidRDefault="0071757F">
      <w:pPr>
        <w:spacing w:line="360" w:lineRule="auto"/>
        <w:ind w:firstLineChars="200" w:firstLine="420"/>
        <w:rPr>
          <w:rFonts w:ascii="宋体" w:eastAsia="宋体" w:hAnsi="宋体"/>
          <w:szCs w:val="21"/>
        </w:rPr>
      </w:pPr>
      <w:r>
        <w:rPr>
          <w:rFonts w:ascii="宋体" w:eastAsia="宋体" w:hAnsi="宋体" w:hint="eastAsia"/>
          <w:szCs w:val="21"/>
        </w:rPr>
        <w:t>基金合同生效日：</w:t>
      </w:r>
      <w:r>
        <w:rPr>
          <w:rFonts w:ascii="宋体" w:eastAsia="宋体" w:hAnsi="宋体"/>
          <w:szCs w:val="21"/>
        </w:rPr>
        <w:t>202</w:t>
      </w:r>
      <w:r>
        <w:rPr>
          <w:rFonts w:ascii="宋体" w:eastAsia="宋体" w:hAnsi="宋体" w:hint="eastAsia"/>
          <w:szCs w:val="21"/>
        </w:rPr>
        <w:t>2</w:t>
      </w:r>
      <w:r>
        <w:rPr>
          <w:rFonts w:ascii="宋体" w:eastAsia="宋体" w:hAnsi="宋体"/>
          <w:szCs w:val="21"/>
        </w:rPr>
        <w:t>年</w:t>
      </w:r>
      <w:r>
        <w:rPr>
          <w:rFonts w:ascii="宋体" w:eastAsia="宋体" w:hAnsi="宋体" w:hint="eastAsia"/>
          <w:szCs w:val="21"/>
        </w:rPr>
        <w:t>11</w:t>
      </w:r>
      <w:r>
        <w:rPr>
          <w:rFonts w:ascii="宋体" w:eastAsia="宋体" w:hAnsi="宋体"/>
          <w:szCs w:val="21"/>
        </w:rPr>
        <w:t>月</w:t>
      </w:r>
      <w:r>
        <w:rPr>
          <w:rFonts w:ascii="宋体" w:eastAsia="宋体" w:hAnsi="宋体" w:hint="eastAsia"/>
          <w:szCs w:val="21"/>
        </w:rPr>
        <w:t>29</w:t>
      </w:r>
      <w:r>
        <w:rPr>
          <w:rFonts w:ascii="宋体" w:eastAsia="宋体" w:hAnsi="宋体"/>
          <w:szCs w:val="21"/>
        </w:rPr>
        <w:t>日</w:t>
      </w:r>
    </w:p>
    <w:p w:rsidR="00CD5155" w:rsidRDefault="0071757F">
      <w:pPr>
        <w:spacing w:line="360" w:lineRule="auto"/>
        <w:ind w:firstLineChars="200" w:firstLine="420"/>
        <w:rPr>
          <w:rFonts w:ascii="宋体" w:eastAsia="宋体" w:hAnsi="宋体"/>
          <w:szCs w:val="21"/>
        </w:rPr>
      </w:pPr>
      <w:r>
        <w:rPr>
          <w:rFonts w:ascii="宋体" w:eastAsia="宋体" w:hAnsi="宋体" w:hint="eastAsia"/>
          <w:szCs w:val="21"/>
        </w:rPr>
        <w:t>基金管理人名称：</w:t>
      </w:r>
      <w:r>
        <w:rPr>
          <w:rFonts w:ascii="宋体" w:eastAsia="宋体" w:hAnsi="宋体" w:hint="eastAsia"/>
          <w:szCs w:val="21"/>
        </w:rPr>
        <w:t>渤海汇金证券资产管理有限公司</w:t>
      </w:r>
    </w:p>
    <w:p w:rsidR="00CD5155" w:rsidRDefault="0071757F">
      <w:pPr>
        <w:spacing w:line="360" w:lineRule="auto"/>
        <w:ind w:firstLineChars="200" w:firstLine="420"/>
        <w:rPr>
          <w:rFonts w:ascii="宋体" w:eastAsia="宋体" w:hAnsi="宋体"/>
          <w:szCs w:val="21"/>
        </w:rPr>
      </w:pPr>
      <w:r>
        <w:rPr>
          <w:rFonts w:ascii="宋体" w:eastAsia="宋体" w:hAnsi="宋体" w:hint="eastAsia"/>
          <w:szCs w:val="21"/>
        </w:rPr>
        <w:t>基金托管人名称：招商证券</w:t>
      </w:r>
      <w:r>
        <w:rPr>
          <w:rFonts w:ascii="宋体" w:eastAsia="宋体" w:hAnsi="宋体"/>
          <w:szCs w:val="21"/>
        </w:rPr>
        <w:t>股份有限公司</w:t>
      </w:r>
    </w:p>
    <w:p w:rsidR="00CD5155" w:rsidRDefault="00CD5155">
      <w:pPr>
        <w:spacing w:line="360" w:lineRule="auto"/>
        <w:ind w:firstLineChars="200" w:firstLine="420"/>
        <w:rPr>
          <w:rFonts w:ascii="宋体" w:eastAsia="宋体" w:hAnsi="宋体"/>
          <w:szCs w:val="21"/>
        </w:rPr>
      </w:pPr>
    </w:p>
    <w:p w:rsidR="00CD5155" w:rsidRDefault="0071757F">
      <w:pPr>
        <w:spacing w:line="360" w:lineRule="auto"/>
        <w:ind w:firstLineChars="200" w:firstLine="420"/>
        <w:rPr>
          <w:rFonts w:ascii="宋体" w:eastAsia="宋体" w:hAnsi="宋体"/>
          <w:szCs w:val="21"/>
        </w:rPr>
      </w:pPr>
      <w:r>
        <w:rPr>
          <w:rFonts w:ascii="宋体" w:eastAsia="宋体" w:hAnsi="宋体" w:hint="eastAsia"/>
          <w:szCs w:val="21"/>
        </w:rPr>
        <w:t>二、可能触发基金合同终止的情形说明</w:t>
      </w:r>
    </w:p>
    <w:p w:rsidR="00CD5155" w:rsidRDefault="0071757F">
      <w:pPr>
        <w:spacing w:line="360" w:lineRule="auto"/>
        <w:ind w:firstLineChars="200" w:firstLine="420"/>
        <w:rPr>
          <w:rFonts w:ascii="宋体" w:eastAsia="宋体" w:hAnsi="宋体"/>
          <w:szCs w:val="21"/>
        </w:rPr>
      </w:pPr>
      <w:r>
        <w:rPr>
          <w:rFonts w:ascii="宋体" w:eastAsia="宋体" w:hAnsi="宋体" w:hint="eastAsia"/>
          <w:szCs w:val="21"/>
        </w:rPr>
        <w:t>根据《基金合同》的“第五部分</w:t>
      </w:r>
      <w:r>
        <w:rPr>
          <w:rFonts w:ascii="宋体" w:eastAsia="宋体" w:hAnsi="宋体"/>
          <w:szCs w:val="21"/>
        </w:rPr>
        <w:t xml:space="preserve"> </w:t>
      </w:r>
      <w:r>
        <w:rPr>
          <w:rFonts w:ascii="宋体" w:eastAsia="宋体" w:hAnsi="宋体"/>
          <w:szCs w:val="21"/>
        </w:rPr>
        <w:t>基金备案</w:t>
      </w:r>
      <w:r>
        <w:rPr>
          <w:rFonts w:ascii="宋体" w:eastAsia="宋体" w:hAnsi="宋体" w:hint="eastAsia"/>
          <w:szCs w:val="21"/>
        </w:rPr>
        <w:t>”</w:t>
      </w:r>
      <w:r>
        <w:rPr>
          <w:rFonts w:ascii="宋体" w:eastAsia="宋体" w:hAnsi="宋体"/>
          <w:szCs w:val="21"/>
        </w:rPr>
        <w:t>的约定：</w:t>
      </w:r>
      <w:r>
        <w:rPr>
          <w:rFonts w:ascii="宋体" w:eastAsia="宋体" w:hAnsi="宋体" w:hint="eastAsia"/>
          <w:szCs w:val="21"/>
        </w:rPr>
        <w:t>“</w:t>
      </w:r>
      <w:r>
        <w:rPr>
          <w:rFonts w:ascii="宋体" w:eastAsia="宋体" w:hAnsi="宋体"/>
          <w:szCs w:val="21"/>
        </w:rPr>
        <w:t>《基金合同》生效之日起三年后的对应日，若基金资产净值低于</w:t>
      </w:r>
      <w:r>
        <w:rPr>
          <w:rFonts w:ascii="宋体" w:eastAsia="宋体" w:hAnsi="宋体"/>
          <w:szCs w:val="21"/>
        </w:rPr>
        <w:t>2</w:t>
      </w:r>
      <w:r>
        <w:rPr>
          <w:rFonts w:ascii="宋体" w:eastAsia="宋体" w:hAnsi="宋体"/>
          <w:szCs w:val="21"/>
        </w:rPr>
        <w:t>亿元，基金合同自动终止，且不得通过召开基金份额持有人大会延续基金合同期限。若届时的法律法规或中国证监会规定发生变化，上述终止规定被取消、更改或补充，则本基金可以参照届时有效的法律法规或中国证监会规定执行。</w:t>
      </w:r>
      <w:r>
        <w:rPr>
          <w:rFonts w:ascii="宋体" w:eastAsia="宋体" w:hAnsi="宋体" w:hint="eastAsia"/>
          <w:szCs w:val="21"/>
        </w:rPr>
        <w:t>”</w:t>
      </w:r>
    </w:p>
    <w:p w:rsidR="00CD5155" w:rsidRDefault="0071757F">
      <w:pPr>
        <w:spacing w:line="360" w:lineRule="auto"/>
        <w:ind w:firstLineChars="200" w:firstLine="420"/>
        <w:rPr>
          <w:rFonts w:ascii="宋体" w:eastAsia="宋体" w:hAnsi="宋体"/>
          <w:szCs w:val="21"/>
        </w:rPr>
      </w:pPr>
      <w:r>
        <w:rPr>
          <w:rFonts w:ascii="宋体" w:eastAsia="宋体" w:hAnsi="宋体"/>
          <w:szCs w:val="21"/>
        </w:rPr>
        <w:t>本基金《基金合同》生效日为</w:t>
      </w:r>
      <w:r>
        <w:rPr>
          <w:rFonts w:ascii="宋体" w:eastAsia="宋体" w:hAnsi="宋体"/>
          <w:szCs w:val="21"/>
        </w:rPr>
        <w:t>202</w:t>
      </w:r>
      <w:r>
        <w:rPr>
          <w:rFonts w:ascii="宋体" w:eastAsia="宋体" w:hAnsi="宋体" w:hint="eastAsia"/>
          <w:szCs w:val="21"/>
        </w:rPr>
        <w:t>2</w:t>
      </w:r>
      <w:r>
        <w:rPr>
          <w:rFonts w:ascii="宋体" w:eastAsia="宋体" w:hAnsi="宋体"/>
          <w:szCs w:val="21"/>
        </w:rPr>
        <w:t>年</w:t>
      </w:r>
      <w:r>
        <w:rPr>
          <w:rFonts w:ascii="宋体" w:eastAsia="宋体" w:hAnsi="宋体" w:hint="eastAsia"/>
          <w:szCs w:val="21"/>
        </w:rPr>
        <w:t>11</w:t>
      </w:r>
      <w:r>
        <w:rPr>
          <w:rFonts w:ascii="宋体" w:eastAsia="宋体" w:hAnsi="宋体"/>
          <w:szCs w:val="21"/>
        </w:rPr>
        <w:t>月</w:t>
      </w:r>
      <w:r>
        <w:rPr>
          <w:rFonts w:ascii="宋体" w:eastAsia="宋体" w:hAnsi="宋体" w:hint="eastAsia"/>
          <w:szCs w:val="21"/>
        </w:rPr>
        <w:t>29</w:t>
      </w:r>
      <w:r>
        <w:rPr>
          <w:rFonts w:ascii="宋体" w:eastAsia="宋体" w:hAnsi="宋体"/>
          <w:szCs w:val="21"/>
        </w:rPr>
        <w:t>日，《基金合同》生效之日起三年后的对应日为</w:t>
      </w:r>
      <w:r>
        <w:rPr>
          <w:rFonts w:ascii="宋体" w:eastAsia="宋体" w:hAnsi="宋体"/>
          <w:szCs w:val="21"/>
        </w:rPr>
        <w:t>2</w:t>
      </w:r>
      <w:r>
        <w:rPr>
          <w:rFonts w:ascii="宋体" w:eastAsia="宋体" w:hAnsi="宋体"/>
          <w:szCs w:val="21"/>
        </w:rPr>
        <w:t>02</w:t>
      </w:r>
      <w:r>
        <w:rPr>
          <w:rFonts w:ascii="宋体" w:eastAsia="宋体" w:hAnsi="宋体" w:hint="eastAsia"/>
          <w:szCs w:val="21"/>
        </w:rPr>
        <w:t>5</w:t>
      </w:r>
      <w:r>
        <w:rPr>
          <w:rFonts w:ascii="宋体" w:eastAsia="宋体" w:hAnsi="宋体"/>
          <w:szCs w:val="21"/>
        </w:rPr>
        <w:t>年</w:t>
      </w:r>
      <w:r>
        <w:rPr>
          <w:rFonts w:ascii="宋体" w:eastAsia="宋体" w:hAnsi="宋体" w:hint="eastAsia"/>
          <w:szCs w:val="21"/>
        </w:rPr>
        <w:t>11</w:t>
      </w:r>
      <w:r>
        <w:rPr>
          <w:rFonts w:ascii="宋体" w:eastAsia="宋体" w:hAnsi="宋体"/>
          <w:szCs w:val="21"/>
        </w:rPr>
        <w:t>月</w:t>
      </w:r>
      <w:r>
        <w:rPr>
          <w:rFonts w:ascii="宋体" w:eastAsia="宋体" w:hAnsi="宋体" w:hint="eastAsia"/>
          <w:szCs w:val="21"/>
        </w:rPr>
        <w:t>29</w:t>
      </w:r>
      <w:r>
        <w:rPr>
          <w:rFonts w:ascii="宋体" w:eastAsia="宋体" w:hAnsi="宋体"/>
          <w:szCs w:val="21"/>
        </w:rPr>
        <w:t>日。若截至</w:t>
      </w:r>
      <w:r>
        <w:rPr>
          <w:rFonts w:ascii="宋体" w:eastAsia="宋体" w:hAnsi="宋体"/>
          <w:szCs w:val="21"/>
        </w:rPr>
        <w:t>202</w:t>
      </w:r>
      <w:r>
        <w:rPr>
          <w:rFonts w:ascii="宋体" w:eastAsia="宋体" w:hAnsi="宋体" w:hint="eastAsia"/>
          <w:szCs w:val="21"/>
        </w:rPr>
        <w:t>5</w:t>
      </w:r>
      <w:r>
        <w:rPr>
          <w:rFonts w:ascii="宋体" w:eastAsia="宋体" w:hAnsi="宋体"/>
          <w:szCs w:val="21"/>
        </w:rPr>
        <w:t>年</w:t>
      </w:r>
      <w:r>
        <w:rPr>
          <w:rFonts w:ascii="宋体" w:eastAsia="宋体" w:hAnsi="宋体" w:hint="eastAsia"/>
          <w:szCs w:val="21"/>
        </w:rPr>
        <w:t>11</w:t>
      </w:r>
      <w:r>
        <w:rPr>
          <w:rFonts w:ascii="宋体" w:eastAsia="宋体" w:hAnsi="宋体"/>
          <w:szCs w:val="21"/>
        </w:rPr>
        <w:t>月</w:t>
      </w:r>
      <w:r>
        <w:rPr>
          <w:rFonts w:ascii="宋体" w:eastAsia="宋体" w:hAnsi="宋体" w:hint="eastAsia"/>
          <w:szCs w:val="21"/>
        </w:rPr>
        <w:t>29</w:t>
      </w:r>
      <w:r>
        <w:rPr>
          <w:rFonts w:ascii="宋体" w:eastAsia="宋体" w:hAnsi="宋体"/>
          <w:szCs w:val="21"/>
        </w:rPr>
        <w:t>日，本基金</w:t>
      </w:r>
      <w:r>
        <w:rPr>
          <w:rFonts w:ascii="宋体" w:eastAsia="宋体" w:hAnsi="宋体" w:hint="eastAsia"/>
          <w:szCs w:val="21"/>
        </w:rPr>
        <w:t>的</w:t>
      </w:r>
      <w:r>
        <w:rPr>
          <w:rFonts w:ascii="宋体" w:eastAsia="宋体" w:hAnsi="宋体"/>
          <w:szCs w:val="21"/>
        </w:rPr>
        <w:t>基金资产净值低于</w:t>
      </w:r>
      <w:r>
        <w:rPr>
          <w:rFonts w:ascii="宋体" w:eastAsia="宋体" w:hAnsi="宋体"/>
          <w:szCs w:val="21"/>
        </w:rPr>
        <w:t>2</w:t>
      </w:r>
      <w:r>
        <w:rPr>
          <w:rFonts w:ascii="宋体" w:eastAsia="宋体" w:hAnsi="宋体"/>
          <w:szCs w:val="21"/>
        </w:rPr>
        <w:lastRenderedPageBreak/>
        <w:t>亿元</w:t>
      </w:r>
      <w:r>
        <w:rPr>
          <w:rFonts w:ascii="宋体" w:eastAsia="宋体" w:hAnsi="宋体" w:hint="eastAsia"/>
          <w:szCs w:val="21"/>
        </w:rPr>
        <w:t>，则</w:t>
      </w:r>
      <w:r>
        <w:rPr>
          <w:rFonts w:ascii="宋体" w:eastAsia="宋体" w:hAnsi="宋体"/>
          <w:szCs w:val="21"/>
        </w:rPr>
        <w:t>触发</w:t>
      </w:r>
      <w:r>
        <w:rPr>
          <w:rFonts w:ascii="宋体" w:eastAsia="宋体" w:hAnsi="宋体" w:hint="eastAsia"/>
          <w:szCs w:val="21"/>
        </w:rPr>
        <w:t>上述</w:t>
      </w:r>
      <w:r>
        <w:rPr>
          <w:rFonts w:ascii="宋体" w:eastAsia="宋体" w:hAnsi="宋体"/>
          <w:szCs w:val="21"/>
        </w:rPr>
        <w:t>《基金合同》</w:t>
      </w:r>
      <w:r>
        <w:rPr>
          <w:rFonts w:ascii="宋体" w:eastAsia="宋体" w:hAnsi="宋体" w:hint="eastAsia"/>
          <w:szCs w:val="21"/>
        </w:rPr>
        <w:t>约定的</w:t>
      </w:r>
      <w:r>
        <w:rPr>
          <w:rFonts w:ascii="宋体" w:eastAsia="宋体" w:hAnsi="宋体"/>
          <w:szCs w:val="21"/>
        </w:rPr>
        <w:t>终止情形，《基金合同》</w:t>
      </w:r>
      <w:r>
        <w:rPr>
          <w:rFonts w:ascii="宋体" w:eastAsia="宋体" w:hAnsi="宋体" w:hint="eastAsia"/>
          <w:szCs w:val="21"/>
        </w:rPr>
        <w:t>自动终止，</w:t>
      </w:r>
      <w:r>
        <w:rPr>
          <w:rFonts w:ascii="宋体" w:eastAsia="宋体" w:hAnsi="宋体"/>
          <w:szCs w:val="21"/>
        </w:rPr>
        <w:t>基金管理人将</w:t>
      </w:r>
      <w:r>
        <w:rPr>
          <w:rFonts w:ascii="宋体" w:eastAsia="宋体" w:hAnsi="宋体" w:hint="eastAsia"/>
          <w:szCs w:val="21"/>
        </w:rPr>
        <w:t>根据相关法律法规、《</w:t>
      </w:r>
      <w:r>
        <w:rPr>
          <w:rFonts w:ascii="宋体" w:eastAsia="宋体" w:hAnsi="宋体"/>
          <w:szCs w:val="21"/>
        </w:rPr>
        <w:t>基金合同</w:t>
      </w:r>
      <w:r>
        <w:rPr>
          <w:rFonts w:ascii="宋体" w:eastAsia="宋体" w:hAnsi="宋体" w:hint="eastAsia"/>
          <w:szCs w:val="21"/>
        </w:rPr>
        <w:t>》等规定对本</w:t>
      </w:r>
      <w:r>
        <w:rPr>
          <w:rFonts w:ascii="宋体" w:eastAsia="宋体" w:hAnsi="宋体"/>
          <w:szCs w:val="21"/>
        </w:rPr>
        <w:t>基金</w:t>
      </w:r>
      <w:r>
        <w:rPr>
          <w:rFonts w:ascii="宋体" w:eastAsia="宋体" w:hAnsi="宋体" w:hint="eastAsia"/>
          <w:szCs w:val="21"/>
        </w:rPr>
        <w:t>进行清算</w:t>
      </w:r>
      <w:r>
        <w:rPr>
          <w:rFonts w:ascii="宋体" w:eastAsia="宋体" w:hAnsi="宋体"/>
          <w:szCs w:val="21"/>
        </w:rPr>
        <w:t>，无</w:t>
      </w:r>
      <w:r>
        <w:rPr>
          <w:rFonts w:ascii="宋体" w:eastAsia="宋体" w:hAnsi="宋体" w:hint="eastAsia"/>
          <w:szCs w:val="21"/>
        </w:rPr>
        <w:t>需</w:t>
      </w:r>
      <w:r>
        <w:rPr>
          <w:rFonts w:ascii="宋体" w:eastAsia="宋体" w:hAnsi="宋体"/>
          <w:szCs w:val="21"/>
        </w:rPr>
        <w:t>召开基金份额持有人大会。</w:t>
      </w:r>
    </w:p>
    <w:p w:rsidR="00CD5155" w:rsidRDefault="00CD5155">
      <w:pPr>
        <w:spacing w:line="360" w:lineRule="auto"/>
        <w:ind w:firstLineChars="200" w:firstLine="420"/>
        <w:rPr>
          <w:rFonts w:ascii="宋体" w:eastAsia="宋体" w:hAnsi="宋体"/>
          <w:szCs w:val="21"/>
        </w:rPr>
      </w:pPr>
    </w:p>
    <w:p w:rsidR="00CD5155" w:rsidRDefault="0071757F">
      <w:pPr>
        <w:spacing w:line="360" w:lineRule="auto"/>
        <w:ind w:firstLineChars="200" w:firstLine="420"/>
        <w:rPr>
          <w:rFonts w:ascii="宋体" w:eastAsia="宋体" w:hAnsi="宋体"/>
          <w:szCs w:val="21"/>
        </w:rPr>
      </w:pPr>
      <w:r>
        <w:rPr>
          <w:rFonts w:ascii="宋体" w:eastAsia="宋体" w:hAnsi="宋体" w:hint="eastAsia"/>
          <w:szCs w:val="21"/>
        </w:rPr>
        <w:t>三、其他需要提示的事项</w:t>
      </w:r>
    </w:p>
    <w:p w:rsidR="00CD5155" w:rsidRDefault="0071757F">
      <w:pPr>
        <w:spacing w:line="360" w:lineRule="auto"/>
        <w:ind w:firstLineChars="200" w:firstLine="420"/>
        <w:rPr>
          <w:rFonts w:ascii="宋体" w:eastAsia="宋体" w:hAnsi="宋体"/>
          <w:szCs w:val="21"/>
        </w:rPr>
      </w:pPr>
      <w:r>
        <w:rPr>
          <w:rFonts w:ascii="宋体" w:eastAsia="宋体" w:hAnsi="宋体"/>
          <w:szCs w:val="21"/>
        </w:rPr>
        <w:t>1</w:t>
      </w:r>
      <w:r>
        <w:rPr>
          <w:rFonts w:ascii="宋体" w:eastAsia="宋体" w:hAnsi="宋体" w:hint="eastAsia"/>
          <w:szCs w:val="21"/>
        </w:rPr>
        <w:t>、根据</w:t>
      </w:r>
      <w:r>
        <w:rPr>
          <w:rFonts w:ascii="宋体" w:eastAsia="宋体" w:hAnsi="宋体"/>
          <w:szCs w:val="21"/>
        </w:rPr>
        <w:t>2025</w:t>
      </w:r>
      <w:r>
        <w:rPr>
          <w:rFonts w:ascii="宋体" w:eastAsia="宋体" w:hAnsi="宋体" w:hint="eastAsia"/>
          <w:szCs w:val="21"/>
        </w:rPr>
        <w:t>年</w:t>
      </w:r>
      <w:r>
        <w:rPr>
          <w:rFonts w:ascii="宋体" w:eastAsia="宋体" w:hAnsi="宋体" w:hint="eastAsia"/>
          <w:szCs w:val="21"/>
        </w:rPr>
        <w:t>1</w:t>
      </w:r>
      <w:r>
        <w:rPr>
          <w:rFonts w:ascii="宋体" w:eastAsia="宋体" w:hAnsi="宋体"/>
          <w:szCs w:val="21"/>
        </w:rPr>
        <w:t>0</w:t>
      </w:r>
      <w:r>
        <w:rPr>
          <w:rFonts w:ascii="宋体" w:eastAsia="宋体" w:hAnsi="宋体" w:hint="eastAsia"/>
          <w:szCs w:val="21"/>
        </w:rPr>
        <w:t>月</w:t>
      </w:r>
      <w:r>
        <w:rPr>
          <w:rFonts w:ascii="宋体" w:eastAsia="宋体" w:hAnsi="宋体"/>
          <w:szCs w:val="21"/>
        </w:rPr>
        <w:t>16</w:t>
      </w:r>
      <w:r>
        <w:rPr>
          <w:rFonts w:ascii="宋体" w:eastAsia="宋体" w:hAnsi="宋体" w:hint="eastAsia"/>
          <w:szCs w:val="21"/>
        </w:rPr>
        <w:t>日发布的《渤海汇金低碳经济一年持有期混合型发起式证券投资基金暂停申购（含定期定额投资）及转换转入业务的公告》，本基金自</w:t>
      </w:r>
      <w:r>
        <w:rPr>
          <w:rFonts w:ascii="宋体" w:eastAsia="宋体" w:hAnsi="宋体"/>
          <w:szCs w:val="21"/>
        </w:rPr>
        <w:t>2025</w:t>
      </w:r>
      <w:r>
        <w:rPr>
          <w:rFonts w:ascii="宋体" w:eastAsia="宋体" w:hAnsi="宋体" w:hint="eastAsia"/>
          <w:szCs w:val="21"/>
        </w:rPr>
        <w:t>年</w:t>
      </w:r>
      <w:r>
        <w:rPr>
          <w:rFonts w:ascii="宋体" w:eastAsia="宋体" w:hAnsi="宋体"/>
          <w:szCs w:val="21"/>
        </w:rPr>
        <w:t>10</w:t>
      </w:r>
      <w:r>
        <w:rPr>
          <w:rFonts w:ascii="宋体" w:eastAsia="宋体" w:hAnsi="宋体" w:hint="eastAsia"/>
          <w:szCs w:val="21"/>
        </w:rPr>
        <w:t>月</w:t>
      </w:r>
      <w:r>
        <w:rPr>
          <w:rFonts w:ascii="宋体" w:eastAsia="宋体" w:hAnsi="宋体"/>
          <w:szCs w:val="21"/>
        </w:rPr>
        <w:t>20</w:t>
      </w:r>
      <w:r>
        <w:rPr>
          <w:rFonts w:ascii="宋体" w:eastAsia="宋体" w:hAnsi="宋体" w:hint="eastAsia"/>
          <w:szCs w:val="21"/>
        </w:rPr>
        <w:t>日起暂停办理申购、转换转入、定期定额投资业务，赎回、</w:t>
      </w:r>
      <w:r>
        <w:rPr>
          <w:rFonts w:ascii="宋体" w:eastAsia="宋体" w:hAnsi="宋体"/>
          <w:szCs w:val="21"/>
        </w:rPr>
        <w:t>转换转出</w:t>
      </w:r>
      <w:r>
        <w:rPr>
          <w:rFonts w:ascii="宋体" w:eastAsia="宋体" w:hAnsi="宋体" w:hint="eastAsia"/>
          <w:szCs w:val="21"/>
        </w:rPr>
        <w:t>等业务正常办理。</w:t>
      </w:r>
    </w:p>
    <w:p w:rsidR="00CD5155" w:rsidRDefault="0071757F">
      <w:pPr>
        <w:spacing w:line="360" w:lineRule="auto"/>
        <w:ind w:firstLineChars="200" w:firstLine="420"/>
        <w:rPr>
          <w:rFonts w:ascii="宋体" w:eastAsia="宋体" w:hAnsi="宋体"/>
          <w:szCs w:val="21"/>
        </w:rPr>
      </w:pPr>
      <w:r>
        <w:rPr>
          <w:rFonts w:ascii="宋体" w:eastAsia="宋体" w:hAnsi="宋体"/>
          <w:szCs w:val="21"/>
        </w:rPr>
        <w:t>2</w:t>
      </w:r>
      <w:r>
        <w:rPr>
          <w:rFonts w:ascii="宋体" w:eastAsia="宋体" w:hAnsi="宋体" w:hint="eastAsia"/>
          <w:szCs w:val="21"/>
        </w:rPr>
        <w:t>、若发生上述《基金合同》约定的终止情形，</w:t>
      </w:r>
      <w:r>
        <w:rPr>
          <w:rFonts w:ascii="宋体" w:eastAsia="宋体" w:hAnsi="宋体"/>
          <w:szCs w:val="21"/>
        </w:rPr>
        <w:t>2025</w:t>
      </w:r>
      <w:r>
        <w:rPr>
          <w:rFonts w:ascii="宋体" w:eastAsia="宋体" w:hAnsi="宋体"/>
          <w:szCs w:val="21"/>
        </w:rPr>
        <w:t>年</w:t>
      </w:r>
      <w:r>
        <w:rPr>
          <w:rFonts w:ascii="宋体" w:eastAsia="宋体" w:hAnsi="宋体"/>
          <w:szCs w:val="21"/>
        </w:rPr>
        <w:t>11</w:t>
      </w:r>
      <w:r>
        <w:rPr>
          <w:rFonts w:ascii="宋体" w:eastAsia="宋体" w:hAnsi="宋体"/>
          <w:szCs w:val="21"/>
        </w:rPr>
        <w:t>月</w:t>
      </w:r>
      <w:r>
        <w:rPr>
          <w:rFonts w:ascii="宋体" w:eastAsia="宋体" w:hAnsi="宋体"/>
          <w:szCs w:val="21"/>
        </w:rPr>
        <w:t>29</w:t>
      </w:r>
      <w:r>
        <w:rPr>
          <w:rFonts w:ascii="宋体" w:eastAsia="宋体" w:hAnsi="宋体"/>
          <w:szCs w:val="21"/>
        </w:rPr>
        <w:t>日</w:t>
      </w:r>
      <w:r>
        <w:rPr>
          <w:rFonts w:ascii="宋体" w:eastAsia="宋体" w:hAnsi="宋体" w:hint="eastAsia"/>
          <w:szCs w:val="21"/>
        </w:rPr>
        <w:t>将为本基金最后运作日，本基金将自</w:t>
      </w:r>
      <w:r>
        <w:rPr>
          <w:rFonts w:ascii="宋体" w:eastAsia="宋体" w:hAnsi="宋体"/>
          <w:szCs w:val="21"/>
        </w:rPr>
        <w:t>2025</w:t>
      </w:r>
      <w:r>
        <w:rPr>
          <w:rFonts w:ascii="宋体" w:eastAsia="宋体" w:hAnsi="宋体"/>
          <w:szCs w:val="21"/>
        </w:rPr>
        <w:t>年</w:t>
      </w:r>
      <w:r>
        <w:rPr>
          <w:rFonts w:ascii="宋体" w:eastAsia="宋体" w:hAnsi="宋体"/>
          <w:szCs w:val="21"/>
        </w:rPr>
        <w:t>11</w:t>
      </w:r>
      <w:r>
        <w:rPr>
          <w:rFonts w:ascii="宋体" w:eastAsia="宋体" w:hAnsi="宋体"/>
          <w:szCs w:val="21"/>
        </w:rPr>
        <w:t>月</w:t>
      </w:r>
      <w:r>
        <w:rPr>
          <w:rFonts w:ascii="宋体" w:eastAsia="宋体" w:hAnsi="宋体"/>
          <w:szCs w:val="21"/>
        </w:rPr>
        <w:t>30</w:t>
      </w:r>
      <w:r>
        <w:rPr>
          <w:rFonts w:ascii="宋体" w:eastAsia="宋体" w:hAnsi="宋体"/>
          <w:szCs w:val="21"/>
        </w:rPr>
        <w:t>日</w:t>
      </w:r>
      <w:r>
        <w:rPr>
          <w:rFonts w:ascii="宋体" w:eastAsia="宋体" w:hAnsi="宋体" w:hint="eastAsia"/>
          <w:szCs w:val="21"/>
        </w:rPr>
        <w:t>起进入基金财产清算程序，不再办理赎回及</w:t>
      </w:r>
      <w:r>
        <w:rPr>
          <w:rFonts w:ascii="宋体" w:eastAsia="宋体" w:hAnsi="宋体"/>
          <w:szCs w:val="21"/>
        </w:rPr>
        <w:t>转换转出</w:t>
      </w:r>
      <w:r>
        <w:rPr>
          <w:rFonts w:ascii="宋体" w:eastAsia="宋体" w:hAnsi="宋体" w:hint="eastAsia"/>
          <w:szCs w:val="21"/>
        </w:rPr>
        <w:t>业务。即投资者在</w:t>
      </w:r>
      <w:r>
        <w:rPr>
          <w:rFonts w:ascii="宋体" w:eastAsia="宋体" w:hAnsi="宋体"/>
          <w:szCs w:val="21"/>
        </w:rPr>
        <w:t>2025</w:t>
      </w:r>
      <w:r>
        <w:rPr>
          <w:rFonts w:ascii="宋体" w:eastAsia="宋体" w:hAnsi="宋体"/>
          <w:szCs w:val="21"/>
        </w:rPr>
        <w:t>年</w:t>
      </w:r>
      <w:r>
        <w:rPr>
          <w:rFonts w:ascii="宋体" w:eastAsia="宋体" w:hAnsi="宋体"/>
          <w:szCs w:val="21"/>
        </w:rPr>
        <w:t>11</w:t>
      </w:r>
      <w:r>
        <w:rPr>
          <w:rFonts w:ascii="宋体" w:eastAsia="宋体" w:hAnsi="宋体"/>
          <w:szCs w:val="21"/>
        </w:rPr>
        <w:t>月</w:t>
      </w:r>
      <w:r>
        <w:rPr>
          <w:rFonts w:ascii="宋体" w:eastAsia="宋体" w:hAnsi="宋体"/>
          <w:szCs w:val="21"/>
        </w:rPr>
        <w:t>28</w:t>
      </w:r>
      <w:r>
        <w:rPr>
          <w:rFonts w:ascii="宋体" w:eastAsia="宋体" w:hAnsi="宋体"/>
          <w:szCs w:val="21"/>
        </w:rPr>
        <w:t>日</w:t>
      </w:r>
      <w:r>
        <w:rPr>
          <w:rFonts w:ascii="宋体" w:eastAsia="宋体" w:hAnsi="宋体"/>
          <w:szCs w:val="21"/>
        </w:rPr>
        <w:t>15:00</w:t>
      </w:r>
      <w:r>
        <w:rPr>
          <w:rFonts w:ascii="宋体" w:eastAsia="宋体" w:hAnsi="宋体"/>
          <w:szCs w:val="21"/>
        </w:rPr>
        <w:t>点后提交的赎回及转换转出业务申请将被确认失败。</w:t>
      </w:r>
      <w:r>
        <w:rPr>
          <w:rFonts w:ascii="宋体" w:eastAsia="宋体" w:hAnsi="宋体" w:hint="eastAsia"/>
          <w:szCs w:val="21"/>
        </w:rPr>
        <w:t>敬请投资者关注并合理进行投资安排。</w:t>
      </w:r>
    </w:p>
    <w:p w:rsidR="00CD5155" w:rsidRDefault="0071757F">
      <w:pPr>
        <w:spacing w:line="360" w:lineRule="auto"/>
        <w:ind w:firstLineChars="200" w:firstLine="420"/>
        <w:rPr>
          <w:rFonts w:ascii="宋体" w:eastAsia="宋体" w:hAnsi="宋体"/>
          <w:szCs w:val="21"/>
        </w:rPr>
      </w:pPr>
      <w:r>
        <w:rPr>
          <w:rFonts w:ascii="宋体" w:eastAsia="宋体" w:hAnsi="宋体" w:hint="eastAsia"/>
          <w:szCs w:val="21"/>
        </w:rPr>
        <w:t>3</w:t>
      </w:r>
      <w:r>
        <w:rPr>
          <w:rFonts w:ascii="宋体" w:eastAsia="宋体" w:hAnsi="宋体" w:hint="eastAsia"/>
          <w:szCs w:val="21"/>
        </w:rPr>
        <w:t>、若《基金合同》终止，基金管理人将根据相关法律法规、《基金合同》等规定成立基金财产清算小组，履行基金财产清算程序。本基金正式进入清算程序后，投资者将无法办理本基金的申购、赎回、定期定额投资和转换等业务。基金管理人承诺以</w:t>
      </w:r>
      <w:r>
        <w:rPr>
          <w:rFonts w:ascii="宋体" w:eastAsia="宋体" w:hAnsi="宋体" w:hint="eastAsia"/>
          <w:szCs w:val="21"/>
        </w:rPr>
        <w:t>诚实信用、勤勉尽责的原则管理和运用基金资产，并在履行必要手续后向投资者及时公告基金财产清算等后续安排，敬请投资者关注。</w:t>
      </w:r>
    </w:p>
    <w:p w:rsidR="00CD5155" w:rsidRDefault="0071757F">
      <w:pPr>
        <w:spacing w:line="360" w:lineRule="auto"/>
        <w:ind w:firstLineChars="200" w:firstLine="420"/>
        <w:rPr>
          <w:rFonts w:ascii="宋体" w:eastAsia="宋体" w:hAnsi="宋体"/>
          <w:szCs w:val="21"/>
        </w:rPr>
      </w:pPr>
      <w:r>
        <w:rPr>
          <w:rFonts w:ascii="宋体" w:eastAsia="宋体" w:hAnsi="宋体"/>
          <w:szCs w:val="21"/>
        </w:rPr>
        <w:t>4</w:t>
      </w:r>
      <w:r>
        <w:rPr>
          <w:rFonts w:ascii="宋体" w:eastAsia="宋体" w:hAnsi="宋体" w:hint="eastAsia"/>
          <w:szCs w:val="21"/>
        </w:rPr>
        <w:t>、投资者欲了解本基金的详细情况，请认真阅读本基金《基金合同》及《招募说明书》等法律文件。</w:t>
      </w:r>
    </w:p>
    <w:p w:rsidR="00CD5155" w:rsidRDefault="0071757F">
      <w:pPr>
        <w:spacing w:line="360" w:lineRule="auto"/>
        <w:ind w:firstLineChars="200" w:firstLine="420"/>
        <w:rPr>
          <w:rFonts w:ascii="宋体" w:eastAsia="宋体" w:hAnsi="宋体"/>
          <w:szCs w:val="21"/>
        </w:rPr>
      </w:pPr>
      <w:r>
        <w:rPr>
          <w:rFonts w:ascii="宋体" w:eastAsia="宋体" w:hAnsi="宋体"/>
          <w:szCs w:val="21"/>
        </w:rPr>
        <w:t>5</w:t>
      </w:r>
      <w:r>
        <w:rPr>
          <w:rFonts w:ascii="宋体" w:eastAsia="宋体" w:hAnsi="宋体" w:hint="eastAsia"/>
          <w:szCs w:val="21"/>
        </w:rPr>
        <w:t>、投资者可通过本基金管理人</w:t>
      </w:r>
      <w:r>
        <w:rPr>
          <w:rFonts w:ascii="宋体" w:eastAsia="宋体" w:hAnsi="宋体"/>
          <w:szCs w:val="21"/>
        </w:rPr>
        <w:t>客户服务电话</w:t>
      </w:r>
      <w:r>
        <w:rPr>
          <w:rFonts w:ascii="宋体" w:eastAsia="宋体" w:hAnsi="宋体"/>
          <w:szCs w:val="21"/>
        </w:rPr>
        <w:t>400-651-1717</w:t>
      </w:r>
      <w:r>
        <w:rPr>
          <w:rFonts w:ascii="宋体" w:eastAsia="宋体" w:hAnsi="宋体"/>
          <w:szCs w:val="21"/>
        </w:rPr>
        <w:t>咨询有关详情。</w:t>
      </w:r>
    </w:p>
    <w:p w:rsidR="00CD5155" w:rsidRDefault="00CD5155">
      <w:pPr>
        <w:spacing w:line="360" w:lineRule="auto"/>
        <w:ind w:firstLineChars="200" w:firstLine="420"/>
        <w:rPr>
          <w:rFonts w:ascii="宋体" w:eastAsia="宋体" w:hAnsi="宋体"/>
          <w:szCs w:val="21"/>
        </w:rPr>
      </w:pPr>
    </w:p>
    <w:p w:rsidR="00CD5155" w:rsidRDefault="0071757F">
      <w:pPr>
        <w:spacing w:line="360" w:lineRule="auto"/>
        <w:ind w:firstLineChars="200" w:firstLine="420"/>
        <w:rPr>
          <w:rFonts w:ascii="宋体" w:eastAsia="宋体" w:hAnsi="宋体"/>
          <w:szCs w:val="21"/>
        </w:rPr>
      </w:pPr>
      <w:r>
        <w:rPr>
          <w:rFonts w:ascii="宋体" w:eastAsia="宋体" w:hAnsi="宋体" w:hint="eastAsia"/>
          <w:szCs w:val="21"/>
        </w:rPr>
        <w:t>风险提示：本公司承诺以诚实信用、勤勉尽责的原则管理和运用基金资产，但不保证基金一定盈利，也不保证最低收益。投资者投资基金前应认真阅读基金的《基金合同》、《招募说明书》、《基金产品资料概要》等文件。敬请投资者留意投资风险</w:t>
      </w:r>
      <w:r>
        <w:rPr>
          <w:rFonts w:ascii="宋体" w:eastAsia="宋体" w:hAnsi="宋体" w:hint="eastAsia"/>
          <w:szCs w:val="21"/>
        </w:rPr>
        <w:t>。</w:t>
      </w:r>
      <w:bookmarkStart w:id="0" w:name="_GoBack"/>
      <w:bookmarkEnd w:id="0"/>
    </w:p>
    <w:p w:rsidR="00CD5155" w:rsidRDefault="00CD5155">
      <w:pPr>
        <w:spacing w:line="360" w:lineRule="auto"/>
        <w:ind w:firstLineChars="200" w:firstLine="420"/>
        <w:rPr>
          <w:rFonts w:ascii="宋体" w:eastAsia="宋体" w:hAnsi="宋体"/>
          <w:szCs w:val="21"/>
        </w:rPr>
      </w:pPr>
    </w:p>
    <w:p w:rsidR="00CD5155" w:rsidRDefault="0071757F">
      <w:pPr>
        <w:spacing w:line="360" w:lineRule="auto"/>
        <w:ind w:firstLineChars="200" w:firstLine="420"/>
        <w:rPr>
          <w:rFonts w:ascii="宋体" w:eastAsia="宋体" w:hAnsi="宋体"/>
          <w:szCs w:val="21"/>
        </w:rPr>
      </w:pPr>
      <w:r>
        <w:rPr>
          <w:rFonts w:ascii="宋体" w:eastAsia="宋体" w:hAnsi="宋体" w:hint="eastAsia"/>
          <w:szCs w:val="21"/>
        </w:rPr>
        <w:t>特此公告。</w:t>
      </w:r>
    </w:p>
    <w:p w:rsidR="00CD5155" w:rsidRDefault="00CD5155">
      <w:pPr>
        <w:spacing w:line="360" w:lineRule="auto"/>
        <w:ind w:firstLineChars="200" w:firstLine="420"/>
        <w:rPr>
          <w:rFonts w:ascii="宋体" w:eastAsia="宋体" w:hAnsi="宋体"/>
          <w:szCs w:val="21"/>
        </w:rPr>
      </w:pPr>
    </w:p>
    <w:p w:rsidR="00CD5155" w:rsidRDefault="00CD5155">
      <w:pPr>
        <w:spacing w:line="360" w:lineRule="auto"/>
        <w:ind w:firstLineChars="200" w:firstLine="420"/>
        <w:rPr>
          <w:rFonts w:ascii="宋体" w:eastAsia="宋体" w:hAnsi="宋体"/>
          <w:szCs w:val="21"/>
        </w:rPr>
      </w:pPr>
    </w:p>
    <w:p w:rsidR="00CD5155" w:rsidRDefault="0071757F">
      <w:pPr>
        <w:spacing w:line="360" w:lineRule="auto"/>
        <w:ind w:firstLineChars="200" w:firstLine="420"/>
        <w:jc w:val="right"/>
        <w:rPr>
          <w:rFonts w:ascii="宋体" w:eastAsia="宋体" w:hAnsi="宋体"/>
          <w:szCs w:val="21"/>
        </w:rPr>
      </w:pPr>
      <w:r>
        <w:rPr>
          <w:rFonts w:ascii="宋体" w:eastAsia="宋体" w:hAnsi="宋体" w:hint="eastAsia"/>
          <w:szCs w:val="21"/>
        </w:rPr>
        <w:t>渤海汇金证券资产管理有限公司</w:t>
      </w:r>
    </w:p>
    <w:p w:rsidR="00CD5155" w:rsidRDefault="0071757F">
      <w:pPr>
        <w:spacing w:line="360" w:lineRule="auto"/>
        <w:ind w:firstLineChars="200" w:firstLine="420"/>
        <w:jc w:val="right"/>
        <w:rPr>
          <w:rFonts w:ascii="宋体" w:eastAsia="宋体" w:hAnsi="宋体"/>
          <w:szCs w:val="21"/>
        </w:rPr>
      </w:pPr>
      <w:r>
        <w:rPr>
          <w:rFonts w:ascii="宋体" w:eastAsia="宋体" w:hAnsi="宋体" w:hint="eastAsia"/>
          <w:szCs w:val="21"/>
        </w:rPr>
        <w:t>2</w:t>
      </w:r>
      <w:r>
        <w:rPr>
          <w:rFonts w:ascii="宋体" w:eastAsia="宋体" w:hAnsi="宋体"/>
          <w:szCs w:val="21"/>
        </w:rPr>
        <w:t>025</w:t>
      </w:r>
      <w:r>
        <w:rPr>
          <w:rFonts w:ascii="宋体" w:eastAsia="宋体" w:hAnsi="宋体" w:hint="eastAsia"/>
          <w:szCs w:val="21"/>
        </w:rPr>
        <w:t>年</w:t>
      </w:r>
      <w:r>
        <w:rPr>
          <w:rFonts w:ascii="宋体" w:eastAsia="宋体" w:hAnsi="宋体" w:hint="eastAsia"/>
          <w:szCs w:val="21"/>
        </w:rPr>
        <w:t>11</w:t>
      </w:r>
      <w:r>
        <w:rPr>
          <w:rFonts w:ascii="宋体" w:eastAsia="宋体" w:hAnsi="宋体" w:hint="eastAsia"/>
          <w:szCs w:val="21"/>
        </w:rPr>
        <w:t>月</w:t>
      </w:r>
      <w:r>
        <w:rPr>
          <w:rFonts w:ascii="宋体" w:eastAsia="宋体" w:hAnsi="宋体" w:hint="eastAsia"/>
          <w:szCs w:val="21"/>
        </w:rPr>
        <w:t>24</w:t>
      </w:r>
      <w:r>
        <w:rPr>
          <w:rFonts w:ascii="宋体" w:eastAsia="宋体" w:hAnsi="宋体" w:hint="eastAsia"/>
          <w:szCs w:val="21"/>
        </w:rPr>
        <w:t>日</w:t>
      </w:r>
    </w:p>
    <w:sectPr w:rsidR="00CD5155" w:rsidSect="00CD515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charset w:val="86"/>
    <w:family w:val="auto"/>
    <w:pitch w:val="default"/>
    <w:sig w:usb0="A00002BF" w:usb1="38CF7CFA" w:usb2="00000016" w:usb3="00000000" w:csb0="0004000F" w:csb1="00000000"/>
  </w:font>
  <w:font w:name="仿宋">
    <w:charset w:val="86"/>
    <w:family w:val="modern"/>
    <w:pitch w:val="default"/>
    <w:sig w:usb0="800002BF" w:usb1="38CF7CFA"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1A13A4"/>
    <w:rsid w:val="00064E33"/>
    <w:rsid w:val="00076744"/>
    <w:rsid w:val="00182D83"/>
    <w:rsid w:val="001A13A4"/>
    <w:rsid w:val="001B2697"/>
    <w:rsid w:val="002C311F"/>
    <w:rsid w:val="00343AAD"/>
    <w:rsid w:val="003508D2"/>
    <w:rsid w:val="00385092"/>
    <w:rsid w:val="003B74BE"/>
    <w:rsid w:val="00437A85"/>
    <w:rsid w:val="00447D05"/>
    <w:rsid w:val="00490E39"/>
    <w:rsid w:val="00532DEB"/>
    <w:rsid w:val="006213FB"/>
    <w:rsid w:val="0071757F"/>
    <w:rsid w:val="0077556A"/>
    <w:rsid w:val="00800ECB"/>
    <w:rsid w:val="008262B0"/>
    <w:rsid w:val="00846579"/>
    <w:rsid w:val="008642CF"/>
    <w:rsid w:val="008A2488"/>
    <w:rsid w:val="008D242E"/>
    <w:rsid w:val="009F0403"/>
    <w:rsid w:val="00A96221"/>
    <w:rsid w:val="00BE6566"/>
    <w:rsid w:val="00C21ADA"/>
    <w:rsid w:val="00CD5155"/>
    <w:rsid w:val="00D014CB"/>
    <w:rsid w:val="00DC09D5"/>
    <w:rsid w:val="00E27F09"/>
    <w:rsid w:val="00E972B8"/>
    <w:rsid w:val="00FA1F4D"/>
    <w:rsid w:val="00FA45D2"/>
    <w:rsid w:val="00FE1E2D"/>
    <w:rsid w:val="24AE7DF0"/>
    <w:rsid w:val="2B874FC4"/>
    <w:rsid w:val="2C226803"/>
    <w:rsid w:val="46BF344F"/>
    <w:rsid w:val="7C8C6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1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D515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D5155"/>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CD5155"/>
    <w:pPr>
      <w:ind w:firstLineChars="200" w:firstLine="420"/>
    </w:pPr>
  </w:style>
  <w:style w:type="paragraph" w:customStyle="1" w:styleId="Default">
    <w:name w:val="Default"/>
    <w:qFormat/>
    <w:rsid w:val="00CD5155"/>
    <w:pPr>
      <w:widowControl w:val="0"/>
      <w:autoSpaceDE w:val="0"/>
      <w:autoSpaceDN w:val="0"/>
      <w:adjustRightInd w:val="0"/>
    </w:pPr>
    <w:rPr>
      <w:rFonts w:ascii="仿宋" w:eastAsiaTheme="minorEastAsia" w:hAnsi="仿宋" w:cs="仿宋"/>
      <w:color w:val="000000"/>
      <w:sz w:val="24"/>
      <w:szCs w:val="24"/>
    </w:rPr>
  </w:style>
  <w:style w:type="character" w:customStyle="1" w:styleId="Char0">
    <w:name w:val="页眉 Char"/>
    <w:basedOn w:val="a0"/>
    <w:link w:val="a4"/>
    <w:uiPriority w:val="99"/>
    <w:qFormat/>
    <w:rsid w:val="00CD5155"/>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sid w:val="00CD515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1338</Characters>
  <Application>Microsoft Office Word</Application>
  <DocSecurity>4</DocSecurity>
  <Lines>11</Lines>
  <Paragraphs>3</Paragraphs>
  <ScaleCrop>false</ScaleCrop>
  <Company>Hewlett-Packard Company</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ZHONGM</cp:lastModifiedBy>
  <cp:revision>2</cp:revision>
  <dcterms:created xsi:type="dcterms:W3CDTF">2025-11-23T16:00:00Z</dcterms:created>
  <dcterms:modified xsi:type="dcterms:W3CDTF">2025-11-23T16:00:00Z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eyJoZGlkIjoiMTJkZjViNzliYzZlZTRiNDI4ZTdjOGQwNDBhMzU4OWEiLCJ1c2VySWQiOiIxMzIxOTI4NjcwIn0=</vt:lpwstr>
  </property>
  <property fmtid="{D5CDD505-2E9C-101B-9397-08002B2CF9AE}" pid="3" name="KSOProductBuildVer">
    <vt:lpwstr>2052-12.1.0.23125</vt:lpwstr>
  </property>
  <property fmtid="{D5CDD505-2E9C-101B-9397-08002B2CF9AE}" pid="4" name="ICV">
    <vt:lpwstr>34F37CE3DD31479AB1A1A9303E2D1BBA_12</vt:lpwstr>
  </property>
</Properties>
</file>