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B0" w:rsidRDefault="00A948B0" w:rsidP="00A948B0">
      <w:pPr>
        <w:adjustRightInd w:val="0"/>
        <w:snapToGrid w:val="0"/>
        <w:spacing w:line="50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Times New Roman" w:hint="eastAsia"/>
          <w:b/>
          <w:sz w:val="30"/>
          <w:szCs w:val="30"/>
        </w:rPr>
        <w:t>天弘基金管理有限公司关于旗下基金关联交易事项的公告</w:t>
      </w:r>
    </w:p>
    <w:p w:rsidR="00A948B0" w:rsidRDefault="00A948B0" w:rsidP="00A948B0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</w:p>
    <w:p w:rsidR="00A948B0" w:rsidRDefault="00A948B0" w:rsidP="00A948B0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根据《中华人民共和国证券投资基金法》、《公开募集证券投资基金运作管理办法》、《公开募集证券投资基金信息披露管理办法》等有关规定及基金合同相关约定，天弘基金管理有限公司（以下简称“本公司”）将旗下</w:t>
      </w:r>
      <w:r w:rsidR="00BD7FD8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天弘永利债券型证券投资基金</w:t>
      </w:r>
      <w:r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（</w:t>
      </w:r>
      <w:r w:rsidR="0082002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基金</w:t>
      </w:r>
      <w:r w:rsidR="00052B52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主</w:t>
      </w:r>
      <w:r w:rsidR="0082002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代码：</w:t>
      </w:r>
      <w:r w:rsidR="00BD7FD8">
        <w:rPr>
          <w:rFonts w:ascii="仿宋_GB2312" w:eastAsia="仿宋_GB2312" w:hAnsiTheme="minorEastAsia" w:cs="Times New Roman"/>
          <w:kern w:val="0"/>
          <w:sz w:val="24"/>
          <w:szCs w:val="24"/>
        </w:rPr>
        <w:t>420002</w:t>
      </w:r>
      <w:r w:rsidR="00820021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，</w:t>
      </w:r>
      <w:r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以下简称“本基金”）关联交易情况公告如下：</w:t>
      </w:r>
    </w:p>
    <w:p w:rsidR="00A948B0" w:rsidRDefault="00A948B0" w:rsidP="00A948B0">
      <w:pPr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本基金在二级市场</w:t>
      </w:r>
      <w:r w:rsidR="00BD7FD8"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卖出本基金基金托管人兴业银行股份有限公司发行的“兴业转债”债券</w:t>
      </w:r>
      <w:r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。交易详情如下：</w:t>
      </w:r>
    </w:p>
    <w:tbl>
      <w:tblPr>
        <w:tblStyle w:val="a5"/>
        <w:tblW w:w="5123" w:type="pct"/>
        <w:jc w:val="center"/>
        <w:tblLook w:val="04A0"/>
      </w:tblPr>
      <w:tblGrid>
        <w:gridCol w:w="1751"/>
        <w:gridCol w:w="1751"/>
        <w:gridCol w:w="1306"/>
        <w:gridCol w:w="2017"/>
        <w:gridCol w:w="1907"/>
      </w:tblGrid>
      <w:tr w:rsidR="00A948B0" w:rsidTr="00A948B0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8B0" w:rsidRDefault="00A948B0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bookmarkStart w:id="1" w:name="PO_related_trade_table"/>
            <w:r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交易日期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8B0" w:rsidRDefault="00A948B0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证券代码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8B0" w:rsidRDefault="00A948B0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证券名称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8B0" w:rsidRDefault="00A948B0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交易数量（</w:t>
            </w:r>
            <w:r w:rsidR="00BD7FD8"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张</w:t>
            </w:r>
            <w:r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）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8B0" w:rsidRDefault="00A948B0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交易金额(元)</w:t>
            </w:r>
          </w:p>
        </w:tc>
      </w:tr>
      <w:tr w:rsidR="00A948B0" w:rsidTr="00A948B0">
        <w:trPr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B0" w:rsidRDefault="00BD7FD8" w:rsidP="009E1CB6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/>
                <w:sz w:val="24"/>
                <w:szCs w:val="28"/>
              </w:rPr>
              <w:t>2025-11-21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B0" w:rsidRDefault="00BD7FD8" w:rsidP="009E1CB6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/>
                <w:sz w:val="24"/>
                <w:szCs w:val="28"/>
              </w:rPr>
              <w:t>113052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B0" w:rsidRDefault="00BD7FD8" w:rsidP="009E1CB6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4"/>
                <w:szCs w:val="28"/>
              </w:rPr>
              <w:t>兴业转债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B0" w:rsidRDefault="00BD7FD8" w:rsidP="009E1CB6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/>
                <w:sz w:val="24"/>
                <w:szCs w:val="28"/>
              </w:rPr>
              <w:t>165800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B0" w:rsidRDefault="00BD7FD8" w:rsidP="009E1CB6">
            <w:pPr>
              <w:jc w:val="center"/>
              <w:rPr>
                <w:rFonts w:ascii="仿宋_GB2312" w:eastAsia="仿宋_GB2312" w:hAnsiTheme="minorEastAsia" w:cs="Times New Roman"/>
                <w:sz w:val="24"/>
                <w:szCs w:val="28"/>
              </w:rPr>
            </w:pPr>
            <w:r>
              <w:rPr>
                <w:rFonts w:ascii="仿宋_GB2312" w:eastAsia="仿宋_GB2312" w:hAnsiTheme="minorEastAsia" w:cs="Times New Roman"/>
                <w:sz w:val="24"/>
                <w:szCs w:val="28"/>
              </w:rPr>
              <w:t>20478540.79</w:t>
            </w:r>
          </w:p>
        </w:tc>
      </w:tr>
      <w:bookmarkEnd w:id="1"/>
    </w:tbl>
    <w:p w:rsidR="00A948B0" w:rsidRDefault="00A948B0" w:rsidP="00A948B0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</w:p>
    <w:p w:rsidR="00A948B0" w:rsidRDefault="00A948B0" w:rsidP="00A948B0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以上交易符合本基金的投资目标和投资策略，交易价格公允。本基金管理人严格按照法律法规的要求和本基金基金合同的约定，履行相关程序。</w:t>
      </w:r>
    </w:p>
    <w:p w:rsidR="00A948B0" w:rsidRDefault="00A948B0" w:rsidP="00A948B0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投资者可登录我公司官方网站（www.thfund.com.cn）或拨打我公司客户服务热线（95046）了解本基金的相关事宜。</w:t>
      </w:r>
    </w:p>
    <w:p w:rsidR="00A948B0" w:rsidRDefault="00A948B0" w:rsidP="00A948B0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</w:p>
    <w:p w:rsidR="00A948B0" w:rsidRDefault="00A948B0" w:rsidP="00A948B0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风险提示</w:t>
      </w:r>
    </w:p>
    <w:p w:rsidR="00A948B0" w:rsidRDefault="00A948B0" w:rsidP="00A948B0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基金管理人承诺以诚实信用、勤勉尽责的原则管理和运用基金资产，但不保证基金一定盈利，也不保证最低收益。投资者投资于本基金时应认真阅读本基金的《基金合同》和《招募说明书》等相关法律文件。</w:t>
      </w:r>
    </w:p>
    <w:p w:rsidR="00A948B0" w:rsidRDefault="00A948B0" w:rsidP="00A948B0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</w:p>
    <w:p w:rsidR="00A948B0" w:rsidRDefault="00A948B0" w:rsidP="00A948B0">
      <w:pPr>
        <w:spacing w:line="360" w:lineRule="auto"/>
        <w:ind w:firstLineChars="200" w:firstLine="480"/>
        <w:rPr>
          <w:rFonts w:ascii="仿宋_GB2312" w:eastAsia="仿宋_GB2312" w:hAnsiTheme="minorEastAsia" w:cs="Times New Roman"/>
          <w:kern w:val="0"/>
          <w:sz w:val="24"/>
          <w:szCs w:val="24"/>
        </w:rPr>
      </w:pPr>
      <w:r>
        <w:rPr>
          <w:rFonts w:ascii="仿宋_GB2312" w:eastAsia="仿宋_GB2312" w:hAnsiTheme="minorEastAsia" w:cs="Times New Roman" w:hint="eastAsia"/>
          <w:kern w:val="0"/>
          <w:sz w:val="24"/>
          <w:szCs w:val="24"/>
        </w:rPr>
        <w:t>特此公告。</w:t>
      </w:r>
    </w:p>
    <w:p w:rsidR="00A948B0" w:rsidRDefault="00A948B0" w:rsidP="00A948B0">
      <w:pPr>
        <w:ind w:left="420"/>
        <w:rPr>
          <w:rFonts w:ascii="仿宋_GB2312" w:eastAsia="仿宋_GB2312" w:hAnsiTheme="minorEastAsia" w:cs="Times New Roman"/>
          <w:kern w:val="0"/>
          <w:sz w:val="24"/>
          <w:szCs w:val="24"/>
        </w:rPr>
      </w:pPr>
    </w:p>
    <w:p w:rsidR="00A948B0" w:rsidRDefault="00A948B0" w:rsidP="00A948B0">
      <w:pPr>
        <w:ind w:left="420"/>
        <w:rPr>
          <w:rFonts w:ascii="仿宋_GB2312" w:eastAsia="仿宋_GB2312" w:hAnsiTheme="minorEastAsia" w:cs="Times New Roman"/>
          <w:kern w:val="0"/>
          <w:sz w:val="24"/>
          <w:szCs w:val="24"/>
        </w:rPr>
      </w:pPr>
    </w:p>
    <w:p w:rsidR="00A948B0" w:rsidRDefault="00A948B0" w:rsidP="00A948B0">
      <w:pPr>
        <w:spacing w:line="500" w:lineRule="exact"/>
        <w:jc w:val="right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Times New Roman" w:hint="eastAsia"/>
          <w:sz w:val="24"/>
          <w:szCs w:val="24"/>
        </w:rPr>
        <w:t xml:space="preserve">  天弘基金管理有限公司</w:t>
      </w:r>
    </w:p>
    <w:p w:rsidR="00A948B0" w:rsidRDefault="00BD7FD8" w:rsidP="00A948B0">
      <w:pPr>
        <w:wordWrap w:val="0"/>
        <w:spacing w:line="500" w:lineRule="exact"/>
        <w:jc w:val="right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Times New Roman" w:hint="eastAsia"/>
          <w:sz w:val="24"/>
          <w:szCs w:val="24"/>
        </w:rPr>
        <w:t>二〇二五年十一月二十二日</w:t>
      </w:r>
    </w:p>
    <w:p w:rsidR="00A948B0" w:rsidRDefault="00A948B0" w:rsidP="00A948B0"/>
    <w:p w:rsidR="00AA7734" w:rsidRPr="00A948B0" w:rsidRDefault="00AA7734" w:rsidP="00A948B0"/>
    <w:sectPr w:rsidR="00AA7734" w:rsidRPr="00A948B0" w:rsidSect="00F27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38F" w:rsidRDefault="002A738F" w:rsidP="001A1214">
      <w:r>
        <w:separator/>
      </w:r>
    </w:p>
  </w:endnote>
  <w:endnote w:type="continuationSeparator" w:id="0">
    <w:p w:rsidR="002A738F" w:rsidRDefault="002A738F" w:rsidP="001A1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38F" w:rsidRDefault="002A738F" w:rsidP="001A1214">
      <w:r>
        <w:separator/>
      </w:r>
    </w:p>
  </w:footnote>
  <w:footnote w:type="continuationSeparator" w:id="0">
    <w:p w:rsidR="002A738F" w:rsidRDefault="002A738F" w:rsidP="001A1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2DE"/>
    <w:rsid w:val="00052B52"/>
    <w:rsid w:val="001A1214"/>
    <w:rsid w:val="002A738F"/>
    <w:rsid w:val="00775BBC"/>
    <w:rsid w:val="00817837"/>
    <w:rsid w:val="00820021"/>
    <w:rsid w:val="009C527B"/>
    <w:rsid w:val="009E1CB6"/>
    <w:rsid w:val="009F736A"/>
    <w:rsid w:val="00A32AE9"/>
    <w:rsid w:val="00A52E0A"/>
    <w:rsid w:val="00A948B0"/>
    <w:rsid w:val="00AA7734"/>
    <w:rsid w:val="00BD7FD8"/>
    <w:rsid w:val="00D802DE"/>
    <w:rsid w:val="00F27BE5"/>
    <w:rsid w:val="00FB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2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1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214"/>
    <w:rPr>
      <w:sz w:val="18"/>
      <w:szCs w:val="18"/>
    </w:rPr>
  </w:style>
  <w:style w:type="table" w:styleId="a5">
    <w:name w:val="Table Grid"/>
    <w:basedOn w:val="a1"/>
    <w:uiPriority w:val="39"/>
    <w:rsid w:val="001A1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1A1214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1A1214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1A1214"/>
  </w:style>
  <w:style w:type="paragraph" w:styleId="a8">
    <w:name w:val="Balloon Text"/>
    <w:basedOn w:val="a"/>
    <w:link w:val="Char2"/>
    <w:uiPriority w:val="99"/>
    <w:semiHidden/>
    <w:unhideWhenUsed/>
    <w:rsid w:val="001A121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A12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4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2025-11-21T16:02:00Z</dcterms:created>
  <dcterms:modified xsi:type="dcterms:W3CDTF">2025-11-21T16:02:00Z</dcterms:modified>
</cp:coreProperties>
</file>