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E38E2" w:rsidRDefault="00DA2739" w:rsidP="009C54C9">
      <w:pPr>
        <w:pStyle w:val="a6"/>
        <w:jc w:val="center"/>
        <w:rPr>
          <w:sz w:val="30"/>
          <w:szCs w:val="30"/>
        </w:rPr>
      </w:pPr>
      <w:r>
        <w:rPr>
          <w:rFonts w:hint="eastAsia"/>
          <w:b/>
          <w:sz w:val="30"/>
          <w:szCs w:val="30"/>
        </w:rPr>
        <w:t>国泰海通中证</w:t>
      </w:r>
      <w:r>
        <w:rPr>
          <w:rFonts w:hint="eastAsia"/>
          <w:b/>
          <w:sz w:val="30"/>
          <w:szCs w:val="30"/>
        </w:rPr>
        <w:t>1000</w:t>
      </w:r>
      <w:r>
        <w:rPr>
          <w:rFonts w:hint="eastAsia"/>
          <w:b/>
          <w:sz w:val="30"/>
          <w:szCs w:val="30"/>
        </w:rPr>
        <w:t>优选股票型发起式证券投资基金</w:t>
      </w:r>
      <w:r>
        <w:rPr>
          <w:b/>
          <w:sz w:val="30"/>
          <w:szCs w:val="30"/>
        </w:rPr>
        <w:t>分红公告</w:t>
      </w:r>
    </w:p>
    <w:p w:rsidR="00FE38E2" w:rsidRDefault="00DA2739">
      <w:pPr>
        <w:pStyle w:val="a6"/>
        <w:jc w:val="center"/>
      </w:pPr>
    </w:p>
    <w:p w:rsidR="00FE38E2" w:rsidRDefault="00DA2739">
      <w:pPr>
        <w:pStyle w:val="a6"/>
        <w:jc w:val="center"/>
        <w:rPr>
          <w:rFonts w:hint="eastAsia"/>
        </w:rPr>
      </w:pPr>
      <w:r>
        <w:rPr>
          <w:rFonts w:hint="eastAsia"/>
        </w:rPr>
        <w:t>公告</w:t>
      </w:r>
      <w:r>
        <w:t>送出日期</w:t>
      </w:r>
      <w:r w:rsidRPr="007775DA">
        <w:rPr>
          <w:rFonts w:hint="eastAsia"/>
        </w:rPr>
        <w:t>：</w:t>
      </w:r>
      <w:r>
        <w:t>2025</w:t>
      </w:r>
      <w:r>
        <w:t>年</w:t>
      </w:r>
      <w:r>
        <w:rPr>
          <w:rFonts w:hint="eastAsia"/>
        </w:rPr>
        <w:t>11</w:t>
      </w:r>
      <w:r>
        <w:t>月</w:t>
      </w:r>
      <w:r>
        <w:rPr>
          <w:rFonts w:hint="eastAsia"/>
        </w:rPr>
        <w:t>22</w:t>
      </w:r>
      <w:r>
        <w:t>日</w:t>
      </w:r>
    </w:p>
    <w:p w:rsidR="00FE38E2" w:rsidRDefault="00DA2739">
      <w:pPr>
        <w:pStyle w:val="dazhangjie"/>
      </w:pPr>
      <w:r>
        <w:rPr>
          <w:rFonts w:hAnsi="Calibri" w:cs="宋体" w:hint="eastAsia"/>
          <w:b/>
          <w:color w:val="000000"/>
        </w:rPr>
        <w:t xml:space="preserve">1 </w:t>
      </w:r>
      <w:r>
        <w:rPr>
          <w:rFonts w:hAnsi="Calibri" w:cs="宋体" w:hint="eastAsia"/>
          <w:b/>
          <w:color w:val="000000"/>
        </w:rPr>
        <w:t>公告基本信息</w:t>
      </w:r>
    </w:p>
    <w:p w:rsidR="00FE38E2" w:rsidRDefault="00DA2739">
      <w:pPr>
        <w:widowControl/>
        <w:jc w:val="left"/>
      </w:pPr>
    </w:p>
    <w:tbl>
      <w:tblPr>
        <w:tblW w:w="0" w:type="auto"/>
        <w:tblInd w:w="108" w:type="dxa"/>
        <w:tblLayout w:type="fixed"/>
        <w:tblLook w:val="0000"/>
      </w:tblPr>
      <w:tblGrid>
        <w:gridCol w:w="1136"/>
        <w:gridCol w:w="2167"/>
        <w:gridCol w:w="2226"/>
        <w:gridCol w:w="2720"/>
      </w:tblGrid>
      <w:tr w:rsidR="00FE38E2">
        <w:tc>
          <w:tcPr>
            <w:tcW w:w="3303" w:type="dxa"/>
            <w:gridSpan w:val="2"/>
            <w:tcBorders>
              <w:top w:val="single" w:sz="8" w:space="0" w:color="000000"/>
              <w:left w:val="single" w:sz="8" w:space="0" w:color="000000"/>
              <w:bottom w:val="single" w:sz="6" w:space="0" w:color="000000"/>
              <w:right w:val="single" w:sz="8" w:space="0" w:color="000000"/>
            </w:tcBorders>
            <w:vAlign w:val="center"/>
          </w:tcPr>
          <w:p w:rsidR="00FE38E2" w:rsidRDefault="00DA2739">
            <w:pPr>
              <w:pStyle w:val="a6"/>
              <w:wordWrap w:val="0"/>
            </w:pPr>
            <w:r>
              <w:t>基金名称</w:t>
            </w:r>
          </w:p>
        </w:tc>
        <w:tc>
          <w:tcPr>
            <w:tcW w:w="4946" w:type="dxa"/>
            <w:gridSpan w:val="2"/>
            <w:tcBorders>
              <w:top w:val="single" w:sz="8" w:space="0" w:color="000000"/>
              <w:left w:val="single" w:sz="8" w:space="0" w:color="000000"/>
              <w:bottom w:val="single" w:sz="6" w:space="0" w:color="000000"/>
              <w:right w:val="single" w:sz="8" w:space="0" w:color="000000"/>
            </w:tcBorders>
            <w:vAlign w:val="center"/>
          </w:tcPr>
          <w:p w:rsidR="00FE38E2" w:rsidRDefault="00DA2739">
            <w:pPr>
              <w:pStyle w:val="a6"/>
              <w:wordWrap w:val="0"/>
            </w:pPr>
            <w:r>
              <w:rPr>
                <w:rFonts w:hint="eastAsia"/>
              </w:rPr>
              <w:t>国泰海通中证</w:t>
            </w:r>
            <w:r>
              <w:rPr>
                <w:rFonts w:hint="eastAsia"/>
              </w:rPr>
              <w:t>1000</w:t>
            </w:r>
            <w:r>
              <w:rPr>
                <w:rFonts w:hint="eastAsia"/>
              </w:rPr>
              <w:t>优选股票型发起式证券投资基金</w:t>
            </w:r>
          </w:p>
        </w:tc>
      </w:tr>
      <w:tr w:rsidR="00FE38E2">
        <w:tc>
          <w:tcPr>
            <w:tcW w:w="3303" w:type="dxa"/>
            <w:gridSpan w:val="2"/>
            <w:tcBorders>
              <w:top w:val="single" w:sz="8" w:space="0" w:color="000000"/>
              <w:left w:val="single" w:sz="8" w:space="0" w:color="000000"/>
              <w:bottom w:val="single" w:sz="6" w:space="0" w:color="000000"/>
              <w:right w:val="single" w:sz="8" w:space="0" w:color="000000"/>
            </w:tcBorders>
            <w:vAlign w:val="center"/>
          </w:tcPr>
          <w:p w:rsidR="00FE38E2" w:rsidRDefault="00DA2739">
            <w:pPr>
              <w:pStyle w:val="a6"/>
              <w:wordWrap w:val="0"/>
            </w:pPr>
            <w:r>
              <w:t>基金简称</w:t>
            </w:r>
          </w:p>
        </w:tc>
        <w:tc>
          <w:tcPr>
            <w:tcW w:w="4946" w:type="dxa"/>
            <w:gridSpan w:val="2"/>
            <w:tcBorders>
              <w:top w:val="single" w:sz="8" w:space="0" w:color="000000"/>
              <w:left w:val="single" w:sz="8" w:space="0" w:color="000000"/>
              <w:bottom w:val="single" w:sz="6" w:space="0" w:color="000000"/>
              <w:right w:val="single" w:sz="8" w:space="0" w:color="000000"/>
            </w:tcBorders>
            <w:vAlign w:val="center"/>
          </w:tcPr>
          <w:p w:rsidR="00FE38E2" w:rsidRDefault="00DA2739">
            <w:pPr>
              <w:pStyle w:val="a6"/>
              <w:wordWrap w:val="0"/>
              <w:rPr>
                <w:rFonts w:hint="eastAsia"/>
              </w:rPr>
            </w:pPr>
            <w:r>
              <w:rPr>
                <w:rFonts w:hint="eastAsia"/>
              </w:rPr>
              <w:t>国泰海通中证</w:t>
            </w:r>
            <w:r>
              <w:rPr>
                <w:rFonts w:hint="eastAsia"/>
              </w:rPr>
              <w:t>1000</w:t>
            </w:r>
            <w:r>
              <w:rPr>
                <w:rFonts w:hint="eastAsia"/>
              </w:rPr>
              <w:t>优选股票发起</w:t>
            </w:r>
          </w:p>
        </w:tc>
      </w:tr>
      <w:tr w:rsidR="00FE38E2">
        <w:tc>
          <w:tcPr>
            <w:tcW w:w="3303" w:type="dxa"/>
            <w:gridSpan w:val="2"/>
            <w:tcBorders>
              <w:top w:val="single" w:sz="8" w:space="0" w:color="000000"/>
              <w:left w:val="single" w:sz="8" w:space="0" w:color="000000"/>
              <w:bottom w:val="single" w:sz="6" w:space="0" w:color="000000"/>
              <w:right w:val="single" w:sz="8" w:space="0" w:color="000000"/>
            </w:tcBorders>
            <w:vAlign w:val="center"/>
          </w:tcPr>
          <w:p w:rsidR="00FE38E2" w:rsidRDefault="00DA2739">
            <w:pPr>
              <w:pStyle w:val="a6"/>
              <w:wordWrap w:val="0"/>
            </w:pPr>
            <w:r>
              <w:t>基金主代码</w:t>
            </w:r>
          </w:p>
        </w:tc>
        <w:tc>
          <w:tcPr>
            <w:tcW w:w="4946" w:type="dxa"/>
            <w:gridSpan w:val="2"/>
            <w:tcBorders>
              <w:top w:val="single" w:sz="8" w:space="0" w:color="000000"/>
              <w:left w:val="single" w:sz="8" w:space="0" w:color="000000"/>
              <w:bottom w:val="single" w:sz="6" w:space="0" w:color="000000"/>
              <w:right w:val="single" w:sz="8" w:space="0" w:color="000000"/>
            </w:tcBorders>
            <w:vAlign w:val="center"/>
          </w:tcPr>
          <w:p w:rsidR="00FE38E2" w:rsidRDefault="00DA2739">
            <w:pPr>
              <w:pStyle w:val="a6"/>
              <w:wordWrap w:val="0"/>
            </w:pPr>
            <w:r w:rsidRPr="001967DC">
              <w:t>019505</w:t>
            </w:r>
          </w:p>
        </w:tc>
      </w:tr>
      <w:tr w:rsidR="00FE38E2">
        <w:tc>
          <w:tcPr>
            <w:tcW w:w="3303" w:type="dxa"/>
            <w:gridSpan w:val="2"/>
            <w:tcBorders>
              <w:top w:val="single" w:sz="8" w:space="0" w:color="000000"/>
              <w:left w:val="single" w:sz="8" w:space="0" w:color="000000"/>
              <w:bottom w:val="single" w:sz="6" w:space="0" w:color="000000"/>
              <w:right w:val="single" w:sz="8" w:space="0" w:color="000000"/>
            </w:tcBorders>
            <w:vAlign w:val="center"/>
          </w:tcPr>
          <w:p w:rsidR="00FE38E2" w:rsidRDefault="00DA2739">
            <w:pPr>
              <w:pStyle w:val="a6"/>
              <w:wordWrap w:val="0"/>
            </w:pPr>
            <w:r>
              <w:t>基金合同生效日</w:t>
            </w:r>
          </w:p>
        </w:tc>
        <w:tc>
          <w:tcPr>
            <w:tcW w:w="4946" w:type="dxa"/>
            <w:gridSpan w:val="2"/>
            <w:tcBorders>
              <w:top w:val="single" w:sz="8" w:space="0" w:color="000000"/>
              <w:left w:val="single" w:sz="8" w:space="0" w:color="000000"/>
              <w:bottom w:val="single" w:sz="6" w:space="0" w:color="000000"/>
              <w:right w:val="single" w:sz="8" w:space="0" w:color="000000"/>
            </w:tcBorders>
            <w:vAlign w:val="center"/>
          </w:tcPr>
          <w:p w:rsidR="00FE38E2" w:rsidRDefault="00DA2739">
            <w:pPr>
              <w:pStyle w:val="a6"/>
              <w:wordWrap w:val="0"/>
            </w:pPr>
            <w:r w:rsidRPr="001967DC">
              <w:rPr>
                <w:rFonts w:hint="eastAsia"/>
              </w:rPr>
              <w:t>2025</w:t>
            </w:r>
            <w:r w:rsidRPr="001967DC">
              <w:rPr>
                <w:rFonts w:hint="eastAsia"/>
              </w:rPr>
              <w:t>年</w:t>
            </w:r>
            <w:r w:rsidRPr="001967DC">
              <w:rPr>
                <w:rFonts w:hint="eastAsia"/>
              </w:rPr>
              <w:t>09</w:t>
            </w:r>
            <w:r w:rsidRPr="001967DC">
              <w:rPr>
                <w:rFonts w:hint="eastAsia"/>
              </w:rPr>
              <w:t>月</w:t>
            </w:r>
            <w:r w:rsidRPr="001967DC">
              <w:rPr>
                <w:rFonts w:hint="eastAsia"/>
              </w:rPr>
              <w:t>29</w:t>
            </w:r>
            <w:r w:rsidRPr="001967DC">
              <w:rPr>
                <w:rFonts w:hint="eastAsia"/>
              </w:rPr>
              <w:t>日</w:t>
            </w:r>
          </w:p>
        </w:tc>
      </w:tr>
      <w:tr w:rsidR="00FE38E2">
        <w:tc>
          <w:tcPr>
            <w:tcW w:w="3303" w:type="dxa"/>
            <w:gridSpan w:val="2"/>
            <w:tcBorders>
              <w:top w:val="single" w:sz="8" w:space="0" w:color="000000"/>
              <w:left w:val="single" w:sz="8" w:space="0" w:color="000000"/>
              <w:bottom w:val="single" w:sz="6" w:space="0" w:color="000000"/>
              <w:right w:val="single" w:sz="8" w:space="0" w:color="000000"/>
            </w:tcBorders>
            <w:vAlign w:val="center"/>
          </w:tcPr>
          <w:p w:rsidR="00FE38E2" w:rsidRDefault="00DA2739">
            <w:pPr>
              <w:pStyle w:val="a6"/>
              <w:wordWrap w:val="0"/>
            </w:pPr>
            <w:r>
              <w:t>基金管理人名称</w:t>
            </w:r>
          </w:p>
        </w:tc>
        <w:tc>
          <w:tcPr>
            <w:tcW w:w="4946" w:type="dxa"/>
            <w:gridSpan w:val="2"/>
            <w:tcBorders>
              <w:top w:val="single" w:sz="8" w:space="0" w:color="000000"/>
              <w:left w:val="single" w:sz="8" w:space="0" w:color="000000"/>
              <w:bottom w:val="single" w:sz="6" w:space="0" w:color="000000"/>
              <w:right w:val="single" w:sz="8" w:space="0" w:color="000000"/>
            </w:tcBorders>
            <w:vAlign w:val="center"/>
          </w:tcPr>
          <w:p w:rsidR="00FE38E2" w:rsidRDefault="00DA2739">
            <w:pPr>
              <w:pStyle w:val="a6"/>
              <w:wordWrap w:val="0"/>
            </w:pPr>
            <w:r>
              <w:t>上海国泰海通证券资产管理有限公司</w:t>
            </w:r>
          </w:p>
        </w:tc>
      </w:tr>
      <w:tr w:rsidR="00FE38E2">
        <w:tc>
          <w:tcPr>
            <w:tcW w:w="3303" w:type="dxa"/>
            <w:gridSpan w:val="2"/>
            <w:tcBorders>
              <w:top w:val="single" w:sz="8" w:space="0" w:color="000000"/>
              <w:left w:val="single" w:sz="8" w:space="0" w:color="000000"/>
              <w:bottom w:val="single" w:sz="6" w:space="0" w:color="000000"/>
              <w:right w:val="single" w:sz="8" w:space="0" w:color="000000"/>
            </w:tcBorders>
            <w:vAlign w:val="center"/>
          </w:tcPr>
          <w:p w:rsidR="00FE38E2" w:rsidRDefault="00DA2739">
            <w:pPr>
              <w:pStyle w:val="a6"/>
              <w:wordWrap w:val="0"/>
            </w:pPr>
            <w:r>
              <w:t>基金托管人名称</w:t>
            </w:r>
          </w:p>
        </w:tc>
        <w:tc>
          <w:tcPr>
            <w:tcW w:w="4946" w:type="dxa"/>
            <w:gridSpan w:val="2"/>
            <w:tcBorders>
              <w:top w:val="single" w:sz="8" w:space="0" w:color="000000"/>
              <w:left w:val="single" w:sz="8" w:space="0" w:color="000000"/>
              <w:bottom w:val="single" w:sz="6" w:space="0" w:color="000000"/>
              <w:right w:val="single" w:sz="8" w:space="0" w:color="000000"/>
            </w:tcBorders>
            <w:vAlign w:val="center"/>
          </w:tcPr>
          <w:p w:rsidR="00FE38E2" w:rsidRDefault="00DA2739">
            <w:pPr>
              <w:pStyle w:val="a6"/>
              <w:wordWrap w:val="0"/>
            </w:pPr>
            <w:r w:rsidRPr="001967DC">
              <w:rPr>
                <w:rFonts w:hint="eastAsia"/>
              </w:rPr>
              <w:t>中国工商银行股份有限公司</w:t>
            </w:r>
          </w:p>
        </w:tc>
      </w:tr>
      <w:tr w:rsidR="00FE38E2">
        <w:tc>
          <w:tcPr>
            <w:tcW w:w="3303" w:type="dxa"/>
            <w:gridSpan w:val="2"/>
            <w:tcBorders>
              <w:top w:val="single" w:sz="8" w:space="0" w:color="000000"/>
              <w:left w:val="single" w:sz="8" w:space="0" w:color="000000"/>
              <w:bottom w:val="single" w:sz="6" w:space="0" w:color="000000"/>
              <w:right w:val="single" w:sz="8" w:space="0" w:color="000000"/>
            </w:tcBorders>
            <w:vAlign w:val="center"/>
          </w:tcPr>
          <w:p w:rsidR="00FE38E2" w:rsidRDefault="00DA2739">
            <w:pPr>
              <w:pStyle w:val="a6"/>
              <w:wordWrap w:val="0"/>
            </w:pPr>
            <w:r>
              <w:t>公告依据</w:t>
            </w:r>
          </w:p>
        </w:tc>
        <w:tc>
          <w:tcPr>
            <w:tcW w:w="4946" w:type="dxa"/>
            <w:gridSpan w:val="2"/>
            <w:tcBorders>
              <w:top w:val="single" w:sz="8" w:space="0" w:color="000000"/>
              <w:left w:val="single" w:sz="8" w:space="0" w:color="000000"/>
              <w:bottom w:val="single" w:sz="6" w:space="0" w:color="000000"/>
              <w:right w:val="single" w:sz="8" w:space="0" w:color="000000"/>
            </w:tcBorders>
            <w:vAlign w:val="center"/>
          </w:tcPr>
          <w:p w:rsidR="00FE38E2" w:rsidRDefault="00DA2739">
            <w:pPr>
              <w:pStyle w:val="a6"/>
              <w:wordWrap w:val="0"/>
            </w:pPr>
            <w:r>
              <w:t>《公开募集证券投资基金信息披露管理办法》《</w:t>
            </w:r>
            <w:r>
              <w:rPr>
                <w:rFonts w:hint="eastAsia"/>
              </w:rPr>
              <w:t>国泰海通中证</w:t>
            </w:r>
            <w:r>
              <w:rPr>
                <w:rFonts w:hint="eastAsia"/>
              </w:rPr>
              <w:t>1000</w:t>
            </w:r>
            <w:r>
              <w:rPr>
                <w:rFonts w:hint="eastAsia"/>
              </w:rPr>
              <w:t>优选股票型发起式证券投资基金</w:t>
            </w:r>
            <w:r>
              <w:rPr>
                <w:rFonts w:hint="eastAsia"/>
              </w:rPr>
              <w:t>基金</w:t>
            </w:r>
            <w:r>
              <w:t>合同》《</w:t>
            </w:r>
            <w:r>
              <w:rPr>
                <w:rFonts w:hint="eastAsia"/>
              </w:rPr>
              <w:t>国泰海通</w:t>
            </w:r>
            <w:r>
              <w:rPr>
                <w:rFonts w:hint="eastAsia"/>
              </w:rPr>
              <w:t>中证</w:t>
            </w:r>
            <w:r>
              <w:rPr>
                <w:rFonts w:hint="eastAsia"/>
              </w:rPr>
              <w:t>1000</w:t>
            </w:r>
            <w:r>
              <w:rPr>
                <w:rFonts w:hint="eastAsia"/>
              </w:rPr>
              <w:t>优选股票型发起式证券投资基金</w:t>
            </w:r>
            <w:r>
              <w:t>招募说明书》</w:t>
            </w:r>
          </w:p>
        </w:tc>
      </w:tr>
      <w:tr w:rsidR="00FE38E2">
        <w:tc>
          <w:tcPr>
            <w:tcW w:w="3303" w:type="dxa"/>
            <w:gridSpan w:val="2"/>
            <w:tcBorders>
              <w:top w:val="single" w:sz="8" w:space="0" w:color="000000"/>
              <w:left w:val="single" w:sz="8" w:space="0" w:color="000000"/>
              <w:bottom w:val="single" w:sz="6" w:space="0" w:color="000000"/>
              <w:right w:val="single" w:sz="8" w:space="0" w:color="000000"/>
            </w:tcBorders>
            <w:vAlign w:val="center"/>
          </w:tcPr>
          <w:p w:rsidR="00FE38E2" w:rsidRDefault="00DA2739">
            <w:pPr>
              <w:pStyle w:val="a6"/>
              <w:wordWrap w:val="0"/>
            </w:pPr>
            <w:r>
              <w:t>收益分配基准日</w:t>
            </w:r>
          </w:p>
        </w:tc>
        <w:tc>
          <w:tcPr>
            <w:tcW w:w="4946" w:type="dxa"/>
            <w:gridSpan w:val="2"/>
            <w:tcBorders>
              <w:top w:val="single" w:sz="8" w:space="0" w:color="000000"/>
              <w:left w:val="single" w:sz="8" w:space="0" w:color="000000"/>
              <w:bottom w:val="single" w:sz="6" w:space="0" w:color="000000"/>
              <w:right w:val="single" w:sz="8" w:space="0" w:color="000000"/>
            </w:tcBorders>
            <w:vAlign w:val="center"/>
          </w:tcPr>
          <w:p w:rsidR="00FE38E2" w:rsidRDefault="00DA2739">
            <w:pPr>
              <w:pStyle w:val="a6"/>
              <w:wordWrap w:val="0"/>
              <w:rPr>
                <w:rFonts w:hint="eastAsia"/>
              </w:rPr>
            </w:pPr>
            <w:r>
              <w:t>2025</w:t>
            </w:r>
            <w:r>
              <w:t>年</w:t>
            </w:r>
            <w:r>
              <w:rPr>
                <w:rFonts w:hint="eastAsia"/>
              </w:rPr>
              <w:t>11</w:t>
            </w:r>
            <w:r>
              <w:t>月</w:t>
            </w:r>
            <w:r>
              <w:t>18</w:t>
            </w:r>
            <w:r>
              <w:t>日</w:t>
            </w:r>
          </w:p>
        </w:tc>
      </w:tr>
      <w:tr w:rsidR="00FE38E2">
        <w:tc>
          <w:tcPr>
            <w:tcW w:w="3303" w:type="dxa"/>
            <w:gridSpan w:val="2"/>
            <w:tcBorders>
              <w:top w:val="single" w:sz="8" w:space="0" w:color="000000"/>
              <w:left w:val="single" w:sz="8" w:space="0" w:color="000000"/>
              <w:bottom w:val="single" w:sz="6" w:space="0" w:color="000000"/>
              <w:right w:val="single" w:sz="8" w:space="0" w:color="000000"/>
            </w:tcBorders>
            <w:vAlign w:val="center"/>
          </w:tcPr>
          <w:p w:rsidR="00FE38E2" w:rsidRDefault="00DA2739">
            <w:pPr>
              <w:pStyle w:val="a6"/>
              <w:wordWrap w:val="0"/>
            </w:pPr>
            <w:r>
              <w:t>有关年度分红次数的说明</w:t>
            </w:r>
          </w:p>
        </w:tc>
        <w:tc>
          <w:tcPr>
            <w:tcW w:w="4946" w:type="dxa"/>
            <w:gridSpan w:val="2"/>
            <w:tcBorders>
              <w:top w:val="single" w:sz="8" w:space="0" w:color="000000"/>
              <w:left w:val="single" w:sz="8" w:space="0" w:color="000000"/>
              <w:bottom w:val="single" w:sz="6" w:space="0" w:color="000000"/>
              <w:right w:val="single" w:sz="8" w:space="0" w:color="000000"/>
            </w:tcBorders>
            <w:vAlign w:val="center"/>
          </w:tcPr>
          <w:p w:rsidR="00FE38E2" w:rsidRDefault="00DA2739">
            <w:pPr>
              <w:pStyle w:val="a6"/>
              <w:wordWrap w:val="0"/>
            </w:pPr>
            <w:r>
              <w:t>202</w:t>
            </w:r>
            <w:r>
              <w:rPr>
                <w:rFonts w:hint="eastAsia"/>
              </w:rPr>
              <w:t>5</w:t>
            </w:r>
            <w:r>
              <w:t>年第</w:t>
            </w:r>
            <w:r>
              <w:rPr>
                <w:rFonts w:hint="eastAsia"/>
              </w:rPr>
              <w:t>一</w:t>
            </w:r>
            <w:r>
              <w:t>次分红</w:t>
            </w:r>
          </w:p>
        </w:tc>
      </w:tr>
      <w:tr w:rsidR="001967DC" w:rsidRPr="001C3143" w:rsidTr="00625C01">
        <w:tc>
          <w:tcPr>
            <w:tcW w:w="3303" w:type="dxa"/>
            <w:gridSpan w:val="2"/>
            <w:tcBorders>
              <w:top w:val="single" w:sz="8" w:space="0" w:color="000000"/>
              <w:left w:val="single" w:sz="8" w:space="0" w:color="000000"/>
              <w:bottom w:val="single" w:sz="6" w:space="0" w:color="000000"/>
              <w:right w:val="single" w:sz="8" w:space="0" w:color="000000"/>
            </w:tcBorders>
            <w:vAlign w:val="center"/>
          </w:tcPr>
          <w:p w:rsidR="001967DC" w:rsidRDefault="00DA2739">
            <w:pPr>
              <w:pStyle w:val="a6"/>
              <w:wordWrap w:val="0"/>
            </w:pPr>
            <w:r>
              <w:t>下属分级基金的基金简称</w:t>
            </w:r>
          </w:p>
        </w:tc>
        <w:tc>
          <w:tcPr>
            <w:tcW w:w="2226" w:type="dxa"/>
            <w:tcBorders>
              <w:top w:val="single" w:sz="8" w:space="0" w:color="000000"/>
              <w:left w:val="single" w:sz="8" w:space="0" w:color="000000"/>
              <w:bottom w:val="single" w:sz="6" w:space="0" w:color="000000"/>
              <w:right w:val="single" w:sz="8" w:space="0" w:color="000000"/>
            </w:tcBorders>
            <w:vAlign w:val="center"/>
          </w:tcPr>
          <w:p w:rsidR="001967DC" w:rsidRPr="001C3143" w:rsidRDefault="00DA2739">
            <w:pPr>
              <w:pStyle w:val="a6"/>
              <w:wordWrap w:val="0"/>
            </w:pPr>
            <w:r w:rsidRPr="00625C01">
              <w:rPr>
                <w:rFonts w:hint="eastAsia"/>
              </w:rPr>
              <w:t>国泰海通中证</w:t>
            </w:r>
            <w:r w:rsidRPr="00625C01">
              <w:rPr>
                <w:rFonts w:hint="eastAsia"/>
              </w:rPr>
              <w:t>1000</w:t>
            </w:r>
            <w:r w:rsidRPr="00625C01">
              <w:rPr>
                <w:rFonts w:hint="eastAsia"/>
              </w:rPr>
              <w:t>优选股票发起</w:t>
            </w:r>
            <w:r w:rsidRPr="001C3143">
              <w:t>A</w:t>
            </w:r>
          </w:p>
        </w:tc>
        <w:tc>
          <w:tcPr>
            <w:tcW w:w="2720" w:type="dxa"/>
            <w:tcBorders>
              <w:top w:val="single" w:sz="8" w:space="0" w:color="000000"/>
              <w:left w:val="single" w:sz="8" w:space="0" w:color="000000"/>
              <w:bottom w:val="single" w:sz="6" w:space="0" w:color="000000"/>
              <w:right w:val="single" w:sz="8" w:space="0" w:color="000000"/>
            </w:tcBorders>
            <w:vAlign w:val="center"/>
          </w:tcPr>
          <w:p w:rsidR="001967DC" w:rsidRPr="001C3143" w:rsidRDefault="00DA2739" w:rsidP="001967DC">
            <w:pPr>
              <w:pStyle w:val="a6"/>
              <w:wordWrap w:val="0"/>
            </w:pPr>
            <w:r w:rsidRPr="00625C01">
              <w:rPr>
                <w:rFonts w:hint="eastAsia"/>
              </w:rPr>
              <w:t>国泰海通中证</w:t>
            </w:r>
            <w:r w:rsidRPr="00625C01">
              <w:rPr>
                <w:rFonts w:hint="eastAsia"/>
              </w:rPr>
              <w:t>1000</w:t>
            </w:r>
            <w:r w:rsidRPr="00625C01">
              <w:rPr>
                <w:rFonts w:hint="eastAsia"/>
              </w:rPr>
              <w:t>优选股票发起</w:t>
            </w:r>
            <w:r w:rsidRPr="001C3143">
              <w:rPr>
                <w:rFonts w:hint="eastAsia"/>
              </w:rPr>
              <w:t>C</w:t>
            </w:r>
          </w:p>
        </w:tc>
      </w:tr>
      <w:tr w:rsidR="001967DC" w:rsidRPr="00625C01" w:rsidTr="00625C01">
        <w:tc>
          <w:tcPr>
            <w:tcW w:w="3303" w:type="dxa"/>
            <w:gridSpan w:val="2"/>
            <w:tcBorders>
              <w:top w:val="single" w:sz="8" w:space="0" w:color="000000"/>
              <w:left w:val="single" w:sz="8" w:space="0" w:color="000000"/>
              <w:bottom w:val="single" w:sz="6" w:space="0" w:color="000000"/>
              <w:right w:val="single" w:sz="8" w:space="0" w:color="000000"/>
            </w:tcBorders>
            <w:vAlign w:val="center"/>
          </w:tcPr>
          <w:p w:rsidR="001967DC" w:rsidRDefault="00DA2739">
            <w:pPr>
              <w:pStyle w:val="a6"/>
              <w:wordWrap w:val="0"/>
            </w:pPr>
            <w:r>
              <w:t>下属分级基金的交易代码</w:t>
            </w:r>
          </w:p>
        </w:tc>
        <w:tc>
          <w:tcPr>
            <w:tcW w:w="2226" w:type="dxa"/>
            <w:tcBorders>
              <w:top w:val="single" w:sz="8" w:space="0" w:color="000000"/>
              <w:left w:val="single" w:sz="8" w:space="0" w:color="000000"/>
              <w:bottom w:val="single" w:sz="6" w:space="0" w:color="000000"/>
              <w:right w:val="single" w:sz="8" w:space="0" w:color="000000"/>
            </w:tcBorders>
            <w:vAlign w:val="center"/>
          </w:tcPr>
          <w:p w:rsidR="001967DC" w:rsidRPr="00625C01" w:rsidRDefault="00DA2739">
            <w:pPr>
              <w:pStyle w:val="a6"/>
              <w:wordWrap w:val="0"/>
              <w:rPr>
                <w:rFonts w:hint="eastAsia"/>
                <w:highlight w:val="yellow"/>
              </w:rPr>
            </w:pPr>
            <w:r w:rsidRPr="001967DC">
              <w:t>019505</w:t>
            </w:r>
          </w:p>
        </w:tc>
        <w:tc>
          <w:tcPr>
            <w:tcW w:w="2720" w:type="dxa"/>
            <w:tcBorders>
              <w:top w:val="single" w:sz="8" w:space="0" w:color="000000"/>
              <w:left w:val="single" w:sz="8" w:space="0" w:color="000000"/>
              <w:bottom w:val="single" w:sz="6" w:space="0" w:color="000000"/>
              <w:right w:val="single" w:sz="8" w:space="0" w:color="000000"/>
            </w:tcBorders>
            <w:vAlign w:val="center"/>
          </w:tcPr>
          <w:p w:rsidR="001967DC" w:rsidRPr="00625C01" w:rsidRDefault="00DA2739" w:rsidP="001967DC">
            <w:pPr>
              <w:pStyle w:val="a6"/>
              <w:wordWrap w:val="0"/>
              <w:rPr>
                <w:rFonts w:hint="eastAsia"/>
                <w:highlight w:val="yellow"/>
              </w:rPr>
            </w:pPr>
            <w:r w:rsidRPr="001967DC">
              <w:t>019506</w:t>
            </w:r>
          </w:p>
        </w:tc>
      </w:tr>
      <w:tr w:rsidR="001967DC" w:rsidRPr="00F73DAE" w:rsidTr="00625C01">
        <w:trPr>
          <w:trHeight w:val="903"/>
        </w:trPr>
        <w:tc>
          <w:tcPr>
            <w:tcW w:w="1136" w:type="dxa"/>
            <w:vMerge w:val="restart"/>
            <w:tcBorders>
              <w:top w:val="single" w:sz="8" w:space="0" w:color="000000"/>
              <w:left w:val="single" w:sz="8" w:space="0" w:color="000000"/>
              <w:bottom w:val="single" w:sz="6" w:space="0" w:color="000000"/>
              <w:right w:val="single" w:sz="8" w:space="0" w:color="000000"/>
            </w:tcBorders>
            <w:vAlign w:val="center"/>
          </w:tcPr>
          <w:p w:rsidR="001967DC" w:rsidRDefault="00DA2739" w:rsidP="00172E7A">
            <w:pPr>
              <w:pStyle w:val="a6"/>
            </w:pPr>
            <w:r>
              <w:t>截止基准日下属分级基金的相关指标</w:t>
            </w:r>
          </w:p>
        </w:tc>
        <w:tc>
          <w:tcPr>
            <w:tcW w:w="2167" w:type="dxa"/>
            <w:tcBorders>
              <w:top w:val="single" w:sz="8" w:space="0" w:color="000000"/>
              <w:left w:val="single" w:sz="8" w:space="0" w:color="000000"/>
              <w:bottom w:val="single" w:sz="6" w:space="0" w:color="000000"/>
              <w:right w:val="single" w:sz="8" w:space="0" w:color="000000"/>
            </w:tcBorders>
            <w:vAlign w:val="center"/>
          </w:tcPr>
          <w:p w:rsidR="001967DC" w:rsidRPr="00F73DAE" w:rsidRDefault="00DA2739" w:rsidP="00172E7A">
            <w:pPr>
              <w:pStyle w:val="a6"/>
              <w:wordWrap w:val="0"/>
            </w:pPr>
            <w:r w:rsidRPr="00F73DAE">
              <w:t>基准日下属分级基金份额净值（单位</w:t>
            </w:r>
            <w:r w:rsidRPr="00F73DAE">
              <w:rPr>
                <w:rFonts w:hint="eastAsia"/>
              </w:rPr>
              <w:t>：</w:t>
            </w:r>
            <w:r w:rsidRPr="00F73DAE">
              <w:t>人民币元）</w:t>
            </w:r>
          </w:p>
        </w:tc>
        <w:tc>
          <w:tcPr>
            <w:tcW w:w="2226" w:type="dxa"/>
            <w:tcBorders>
              <w:top w:val="single" w:sz="8" w:space="0" w:color="000000"/>
              <w:left w:val="single" w:sz="8" w:space="0" w:color="000000"/>
              <w:bottom w:val="single" w:sz="6" w:space="0" w:color="000000"/>
              <w:right w:val="single" w:sz="8" w:space="0" w:color="000000"/>
            </w:tcBorders>
            <w:vAlign w:val="center"/>
          </w:tcPr>
          <w:p w:rsidR="001967DC" w:rsidRPr="00F73DAE" w:rsidRDefault="00DA2739" w:rsidP="00172E7A">
            <w:pPr>
              <w:pStyle w:val="a6"/>
              <w:wordWrap w:val="0"/>
              <w:rPr>
                <w:rFonts w:hint="eastAsia"/>
              </w:rPr>
            </w:pPr>
            <w:r w:rsidRPr="00F73DAE">
              <w:rPr>
                <w:rFonts w:hint="eastAsia"/>
              </w:rPr>
              <w:t>1.5882</w:t>
            </w:r>
          </w:p>
        </w:tc>
        <w:tc>
          <w:tcPr>
            <w:tcW w:w="2720" w:type="dxa"/>
            <w:tcBorders>
              <w:top w:val="single" w:sz="8" w:space="0" w:color="000000"/>
              <w:left w:val="single" w:sz="8" w:space="0" w:color="000000"/>
              <w:bottom w:val="single" w:sz="6" w:space="0" w:color="000000"/>
              <w:right w:val="single" w:sz="8" w:space="0" w:color="000000"/>
            </w:tcBorders>
            <w:vAlign w:val="center"/>
          </w:tcPr>
          <w:p w:rsidR="001967DC" w:rsidRPr="00F73DAE" w:rsidRDefault="00DA2739" w:rsidP="00172E7A">
            <w:pPr>
              <w:pStyle w:val="a6"/>
              <w:wordWrap w:val="0"/>
              <w:rPr>
                <w:rFonts w:hint="eastAsia"/>
              </w:rPr>
            </w:pPr>
            <w:r w:rsidRPr="00F73DAE">
              <w:rPr>
                <w:rFonts w:hint="eastAsia"/>
              </w:rPr>
              <w:t>1.5760</w:t>
            </w:r>
          </w:p>
        </w:tc>
      </w:tr>
      <w:tr w:rsidR="001967DC" w:rsidRPr="00F73DAE" w:rsidTr="00625C01">
        <w:tc>
          <w:tcPr>
            <w:tcW w:w="1136" w:type="dxa"/>
            <w:vMerge/>
            <w:tcBorders>
              <w:top w:val="single" w:sz="8" w:space="0" w:color="000000"/>
              <w:left w:val="single" w:sz="8" w:space="0" w:color="000000"/>
              <w:bottom w:val="single" w:sz="6" w:space="0" w:color="000000"/>
              <w:right w:val="single" w:sz="8" w:space="0" w:color="000000"/>
            </w:tcBorders>
            <w:vAlign w:val="center"/>
          </w:tcPr>
          <w:p w:rsidR="001967DC" w:rsidRDefault="00DA2739" w:rsidP="00172E7A">
            <w:pPr>
              <w:rPr>
                <w:rFonts w:ascii="宋体" w:hint="eastAsia"/>
                <w:sz w:val="24"/>
                <w:szCs w:val="24"/>
              </w:rPr>
            </w:pPr>
          </w:p>
        </w:tc>
        <w:tc>
          <w:tcPr>
            <w:tcW w:w="2167" w:type="dxa"/>
            <w:tcBorders>
              <w:top w:val="single" w:sz="8" w:space="0" w:color="000000"/>
              <w:left w:val="single" w:sz="8" w:space="0" w:color="000000"/>
              <w:bottom w:val="single" w:sz="6" w:space="0" w:color="000000"/>
              <w:right w:val="single" w:sz="8" w:space="0" w:color="000000"/>
            </w:tcBorders>
            <w:vAlign w:val="center"/>
          </w:tcPr>
          <w:p w:rsidR="001967DC" w:rsidRPr="00F73DAE" w:rsidRDefault="00DA2739" w:rsidP="00172E7A">
            <w:pPr>
              <w:pStyle w:val="a6"/>
              <w:wordWrap w:val="0"/>
            </w:pPr>
            <w:r w:rsidRPr="00F73DAE">
              <w:t>基准日下属分级基金可供分配利润（单位</w:t>
            </w:r>
            <w:r w:rsidRPr="00F73DAE">
              <w:rPr>
                <w:rFonts w:hint="eastAsia"/>
              </w:rPr>
              <w:t>：</w:t>
            </w:r>
            <w:r w:rsidRPr="00F73DAE">
              <w:t>人民币元）</w:t>
            </w:r>
          </w:p>
        </w:tc>
        <w:tc>
          <w:tcPr>
            <w:tcW w:w="2226" w:type="dxa"/>
            <w:tcBorders>
              <w:top w:val="single" w:sz="8" w:space="0" w:color="000000"/>
              <w:left w:val="single" w:sz="8" w:space="0" w:color="000000"/>
              <w:bottom w:val="single" w:sz="6" w:space="0" w:color="000000"/>
              <w:right w:val="single" w:sz="8" w:space="0" w:color="000000"/>
            </w:tcBorders>
            <w:vAlign w:val="center"/>
          </w:tcPr>
          <w:p w:rsidR="001967DC" w:rsidRPr="00F73DAE" w:rsidRDefault="00DA2739" w:rsidP="00172E7A">
            <w:pPr>
              <w:pStyle w:val="a6"/>
              <w:wordWrap w:val="0"/>
              <w:rPr>
                <w:rFonts w:hint="eastAsia"/>
              </w:rPr>
            </w:pPr>
            <w:bookmarkStart w:id="0" w:name="OLE_LINK1"/>
            <w:r w:rsidRPr="00F73DAE">
              <w:rPr>
                <w:rFonts w:hint="eastAsia"/>
              </w:rPr>
              <w:t>230,208,881.34</w:t>
            </w:r>
            <w:bookmarkEnd w:id="0"/>
          </w:p>
        </w:tc>
        <w:tc>
          <w:tcPr>
            <w:tcW w:w="2720" w:type="dxa"/>
            <w:tcBorders>
              <w:top w:val="single" w:sz="8" w:space="0" w:color="000000"/>
              <w:left w:val="single" w:sz="8" w:space="0" w:color="000000"/>
              <w:bottom w:val="single" w:sz="6" w:space="0" w:color="000000"/>
              <w:right w:val="single" w:sz="8" w:space="0" w:color="000000"/>
            </w:tcBorders>
            <w:vAlign w:val="center"/>
          </w:tcPr>
          <w:p w:rsidR="001967DC" w:rsidRPr="00F73DAE" w:rsidRDefault="00DA2739" w:rsidP="001967DC">
            <w:pPr>
              <w:pStyle w:val="a6"/>
              <w:wordWrap w:val="0"/>
              <w:rPr>
                <w:rFonts w:hint="eastAsia"/>
              </w:rPr>
            </w:pPr>
            <w:r w:rsidRPr="00F73DAE">
              <w:rPr>
                <w:rFonts w:hint="eastAsia"/>
              </w:rPr>
              <w:t>276,919,465</w:t>
            </w:r>
            <w:r w:rsidRPr="00F73DAE">
              <w:rPr>
                <w:rFonts w:hint="eastAsia"/>
              </w:rPr>
              <w:t>.77</w:t>
            </w:r>
          </w:p>
        </w:tc>
      </w:tr>
      <w:tr w:rsidR="001967DC" w:rsidRPr="00F73DAE" w:rsidTr="00625C01">
        <w:tc>
          <w:tcPr>
            <w:tcW w:w="1136" w:type="dxa"/>
            <w:vMerge/>
            <w:tcBorders>
              <w:top w:val="single" w:sz="8" w:space="0" w:color="000000"/>
              <w:left w:val="single" w:sz="8" w:space="0" w:color="000000"/>
              <w:bottom w:val="single" w:sz="6" w:space="0" w:color="000000"/>
              <w:right w:val="single" w:sz="8" w:space="0" w:color="000000"/>
            </w:tcBorders>
            <w:vAlign w:val="center"/>
          </w:tcPr>
          <w:p w:rsidR="001967DC" w:rsidRDefault="00DA2739" w:rsidP="007775DA">
            <w:pPr>
              <w:rPr>
                <w:rFonts w:ascii="宋体" w:hint="eastAsia"/>
                <w:sz w:val="24"/>
                <w:szCs w:val="24"/>
              </w:rPr>
            </w:pPr>
          </w:p>
        </w:tc>
        <w:tc>
          <w:tcPr>
            <w:tcW w:w="2167" w:type="dxa"/>
            <w:tcBorders>
              <w:top w:val="single" w:sz="8" w:space="0" w:color="000000"/>
              <w:left w:val="single" w:sz="8" w:space="0" w:color="000000"/>
              <w:bottom w:val="single" w:sz="6" w:space="0" w:color="000000"/>
              <w:right w:val="single" w:sz="8" w:space="0" w:color="000000"/>
            </w:tcBorders>
            <w:vAlign w:val="bottom"/>
          </w:tcPr>
          <w:p w:rsidR="001967DC" w:rsidRPr="00F73DAE" w:rsidRDefault="00DA2739" w:rsidP="007775DA">
            <w:pPr>
              <w:pStyle w:val="a6"/>
              <w:wordWrap w:val="0"/>
            </w:pPr>
            <w:r w:rsidRPr="00F73DAE">
              <w:rPr>
                <w:rFonts w:hint="eastAsia"/>
              </w:rPr>
              <w:t>截止基准日按照基金合同约定的分红比例计算的应分配金额（单位：人民币元）</w:t>
            </w:r>
          </w:p>
        </w:tc>
        <w:tc>
          <w:tcPr>
            <w:tcW w:w="2226" w:type="dxa"/>
            <w:tcBorders>
              <w:top w:val="single" w:sz="8" w:space="0" w:color="000000"/>
              <w:left w:val="single" w:sz="8" w:space="0" w:color="000000"/>
              <w:bottom w:val="single" w:sz="6" w:space="0" w:color="000000"/>
              <w:right w:val="single" w:sz="8" w:space="0" w:color="000000"/>
            </w:tcBorders>
            <w:vAlign w:val="center"/>
          </w:tcPr>
          <w:p w:rsidR="001967DC" w:rsidRPr="00F73DAE" w:rsidRDefault="00DA2739" w:rsidP="007775DA">
            <w:pPr>
              <w:pStyle w:val="a6"/>
              <w:wordWrap w:val="0"/>
              <w:rPr>
                <w:rFonts w:hint="eastAsia"/>
              </w:rPr>
            </w:pPr>
            <w:r w:rsidRPr="00F73DAE">
              <w:rPr>
                <w:rFonts w:hint="eastAsia"/>
              </w:rPr>
              <w:t>-</w:t>
            </w:r>
          </w:p>
        </w:tc>
        <w:tc>
          <w:tcPr>
            <w:tcW w:w="2720" w:type="dxa"/>
            <w:tcBorders>
              <w:top w:val="single" w:sz="8" w:space="0" w:color="000000"/>
              <w:left w:val="single" w:sz="8" w:space="0" w:color="000000"/>
              <w:bottom w:val="single" w:sz="6" w:space="0" w:color="000000"/>
              <w:right w:val="single" w:sz="8" w:space="0" w:color="000000"/>
            </w:tcBorders>
            <w:vAlign w:val="center"/>
          </w:tcPr>
          <w:p w:rsidR="001967DC" w:rsidRPr="00F73DAE" w:rsidRDefault="00DA2739" w:rsidP="001967DC">
            <w:pPr>
              <w:pStyle w:val="a6"/>
              <w:wordWrap w:val="0"/>
              <w:rPr>
                <w:rFonts w:hint="eastAsia"/>
              </w:rPr>
            </w:pPr>
            <w:r w:rsidRPr="00F73DAE">
              <w:rPr>
                <w:rFonts w:hint="eastAsia"/>
              </w:rPr>
              <w:t>-</w:t>
            </w:r>
          </w:p>
        </w:tc>
      </w:tr>
      <w:tr w:rsidR="001967DC" w:rsidRPr="00F73DAE">
        <w:tc>
          <w:tcPr>
            <w:tcW w:w="3303" w:type="dxa"/>
            <w:gridSpan w:val="2"/>
            <w:tcBorders>
              <w:top w:val="single" w:sz="8" w:space="0" w:color="000000"/>
              <w:left w:val="single" w:sz="8" w:space="0" w:color="000000"/>
              <w:bottom w:val="single" w:sz="6" w:space="0" w:color="000000"/>
              <w:right w:val="single" w:sz="8" w:space="0" w:color="000000"/>
            </w:tcBorders>
            <w:vAlign w:val="center"/>
          </w:tcPr>
          <w:p w:rsidR="001967DC" w:rsidRPr="00F73DAE" w:rsidRDefault="00DA2739" w:rsidP="00172E7A">
            <w:pPr>
              <w:pStyle w:val="a6"/>
              <w:wordWrap w:val="0"/>
            </w:pPr>
            <w:r w:rsidRPr="00F73DAE">
              <w:t>本次下属分级基金分红方案（单位</w:t>
            </w:r>
            <w:r w:rsidRPr="00F73DAE">
              <w:rPr>
                <w:rFonts w:hint="eastAsia"/>
              </w:rPr>
              <w:t>：</w:t>
            </w:r>
            <w:r w:rsidRPr="00F73DAE">
              <w:t>元</w:t>
            </w:r>
            <w:r w:rsidRPr="00F73DAE">
              <w:t>/10</w:t>
            </w:r>
            <w:r w:rsidRPr="00F73DAE">
              <w:t>份基金份额）</w:t>
            </w:r>
          </w:p>
        </w:tc>
        <w:tc>
          <w:tcPr>
            <w:tcW w:w="2226" w:type="dxa"/>
            <w:tcBorders>
              <w:top w:val="single" w:sz="8" w:space="0" w:color="000000"/>
              <w:left w:val="single" w:sz="8" w:space="0" w:color="000000"/>
              <w:bottom w:val="single" w:sz="6" w:space="0" w:color="000000"/>
              <w:right w:val="single" w:sz="8" w:space="0" w:color="000000"/>
            </w:tcBorders>
            <w:vAlign w:val="center"/>
          </w:tcPr>
          <w:p w:rsidR="001967DC" w:rsidRPr="00F73DAE" w:rsidRDefault="00DA2739" w:rsidP="00172E7A">
            <w:pPr>
              <w:pStyle w:val="a6"/>
              <w:wordWrap w:val="0"/>
              <w:rPr>
                <w:rFonts w:hint="eastAsia"/>
              </w:rPr>
            </w:pPr>
            <w:r>
              <w:rPr>
                <w:rFonts w:hint="eastAsia"/>
              </w:rPr>
              <w:t>3.176</w:t>
            </w:r>
          </w:p>
        </w:tc>
        <w:tc>
          <w:tcPr>
            <w:tcW w:w="2720" w:type="dxa"/>
            <w:tcBorders>
              <w:top w:val="single" w:sz="8" w:space="0" w:color="000000"/>
              <w:left w:val="single" w:sz="8" w:space="0" w:color="000000"/>
              <w:bottom w:val="single" w:sz="6" w:space="0" w:color="000000"/>
              <w:right w:val="single" w:sz="8" w:space="0" w:color="000000"/>
            </w:tcBorders>
            <w:vAlign w:val="center"/>
          </w:tcPr>
          <w:p w:rsidR="001967DC" w:rsidRPr="00F73DAE" w:rsidRDefault="00DA2739" w:rsidP="001967DC">
            <w:pPr>
              <w:pStyle w:val="a6"/>
              <w:wordWrap w:val="0"/>
              <w:rPr>
                <w:rFonts w:hint="eastAsia"/>
              </w:rPr>
            </w:pPr>
            <w:r w:rsidRPr="0033422F">
              <w:t>3.152</w:t>
            </w:r>
          </w:p>
        </w:tc>
      </w:tr>
    </w:tbl>
    <w:p w:rsidR="00FE38E2" w:rsidRDefault="00DA2739" w:rsidP="001C3143">
      <w:pPr>
        <w:pStyle w:val="a6"/>
        <w:snapToGrid w:val="0"/>
        <w:spacing w:after="0" w:afterAutospacing="0" w:line="360" w:lineRule="auto"/>
        <w:rPr>
          <w:rFonts w:hint="eastAsia"/>
        </w:rPr>
      </w:pPr>
      <w:r>
        <w:t>注：</w:t>
      </w:r>
      <w:r>
        <w:rPr>
          <w:rFonts w:hint="eastAsia"/>
        </w:rPr>
        <w:t>在符合有关基金分红条件的前提下，基金管理人可以根据实际情况进行收益分配，具体分配方案以公告为准，若《基金合同》生效不满</w:t>
      </w:r>
      <w:r>
        <w:rPr>
          <w:rFonts w:hint="eastAsia"/>
        </w:rPr>
        <w:t>3</w:t>
      </w:r>
      <w:r>
        <w:rPr>
          <w:rFonts w:hint="eastAsia"/>
        </w:rPr>
        <w:t>个月可不进行收益分配。</w:t>
      </w:r>
      <w:r>
        <w:rPr>
          <w:rFonts w:hint="eastAsia"/>
        </w:rPr>
        <w:cr/>
      </w:r>
    </w:p>
    <w:p w:rsidR="00FE38E2" w:rsidRDefault="00DA2739">
      <w:pPr>
        <w:pStyle w:val="a6"/>
      </w:pPr>
    </w:p>
    <w:p w:rsidR="00FE38E2" w:rsidRDefault="00DA2739">
      <w:pPr>
        <w:widowControl/>
        <w:jc w:val="left"/>
        <w:rPr>
          <w:rFonts w:hint="eastAsia"/>
        </w:rPr>
      </w:pPr>
    </w:p>
    <w:p w:rsidR="00FE38E2" w:rsidRDefault="00DA2739">
      <w:pPr>
        <w:pStyle w:val="dazhangjie"/>
      </w:pPr>
      <w:r>
        <w:rPr>
          <w:rFonts w:hAnsi="Calibri" w:cs="宋体" w:hint="eastAsia"/>
          <w:b/>
          <w:color w:val="000000"/>
        </w:rPr>
        <w:t xml:space="preserve">2 </w:t>
      </w:r>
      <w:r>
        <w:rPr>
          <w:rFonts w:hAnsi="Calibri" w:cs="宋体" w:hint="eastAsia"/>
          <w:b/>
          <w:color w:val="000000"/>
        </w:rPr>
        <w:t>与分红相关的其他信息</w:t>
      </w:r>
    </w:p>
    <w:p w:rsidR="00FE38E2" w:rsidRDefault="00DA2739">
      <w:pPr>
        <w:widowControl/>
        <w:jc w:val="left"/>
      </w:pPr>
    </w:p>
    <w:tbl>
      <w:tblPr>
        <w:tblW w:w="0" w:type="auto"/>
        <w:tblInd w:w="108" w:type="dxa"/>
        <w:tblLayout w:type="fixed"/>
        <w:tblLook w:val="0000"/>
      </w:tblPr>
      <w:tblGrid>
        <w:gridCol w:w="3300"/>
        <w:gridCol w:w="4949"/>
      </w:tblGrid>
      <w:tr w:rsidR="00FE38E2">
        <w:tc>
          <w:tcPr>
            <w:tcW w:w="3300" w:type="dxa"/>
            <w:tcBorders>
              <w:top w:val="single" w:sz="8" w:space="0" w:color="000000"/>
              <w:left w:val="single" w:sz="8" w:space="0" w:color="000000"/>
              <w:bottom w:val="single" w:sz="6" w:space="0" w:color="000000"/>
              <w:right w:val="single" w:sz="8" w:space="0" w:color="000000"/>
            </w:tcBorders>
            <w:vAlign w:val="center"/>
          </w:tcPr>
          <w:p w:rsidR="00FE38E2" w:rsidRDefault="00DA2739">
            <w:pPr>
              <w:pStyle w:val="a6"/>
              <w:wordWrap w:val="0"/>
            </w:pPr>
            <w:r>
              <w:t>权益登记日</w:t>
            </w:r>
          </w:p>
        </w:tc>
        <w:tc>
          <w:tcPr>
            <w:tcW w:w="4949" w:type="dxa"/>
            <w:tcBorders>
              <w:top w:val="single" w:sz="8" w:space="0" w:color="000000"/>
              <w:left w:val="single" w:sz="8" w:space="0" w:color="000000"/>
              <w:bottom w:val="single" w:sz="6" w:space="0" w:color="000000"/>
              <w:right w:val="single" w:sz="8" w:space="0" w:color="000000"/>
            </w:tcBorders>
            <w:vAlign w:val="center"/>
          </w:tcPr>
          <w:p w:rsidR="00FE38E2" w:rsidRDefault="00DA2739">
            <w:pPr>
              <w:pStyle w:val="biaogeleft"/>
              <w:wordWrap w:val="0"/>
              <w:rPr>
                <w:rFonts w:hint="eastAsia"/>
              </w:rPr>
            </w:pPr>
            <w:r>
              <w:rPr>
                <w:rFonts w:hAnsi="Calibri" w:cs="宋体" w:hint="eastAsia"/>
                <w:color w:val="000000"/>
              </w:rPr>
              <w:t>2025</w:t>
            </w:r>
            <w:r>
              <w:rPr>
                <w:rFonts w:hAnsi="Calibri" w:cs="宋体" w:hint="eastAsia"/>
                <w:color w:val="000000"/>
              </w:rPr>
              <w:t>年</w:t>
            </w:r>
            <w:r>
              <w:rPr>
                <w:rFonts w:hAnsi="Calibri" w:cs="宋体" w:hint="eastAsia"/>
                <w:color w:val="000000"/>
              </w:rPr>
              <w:t>11</w:t>
            </w:r>
            <w:r>
              <w:rPr>
                <w:rFonts w:hAnsi="Calibri" w:cs="宋体" w:hint="eastAsia"/>
                <w:color w:val="000000"/>
              </w:rPr>
              <w:t>月</w:t>
            </w:r>
            <w:r>
              <w:rPr>
                <w:rFonts w:hAnsi="Calibri" w:cs="宋体" w:hint="eastAsia"/>
                <w:color w:val="000000"/>
              </w:rPr>
              <w:t>25</w:t>
            </w:r>
            <w:r>
              <w:rPr>
                <w:rFonts w:hAnsi="Calibri" w:cs="宋体" w:hint="eastAsia"/>
                <w:color w:val="000000"/>
              </w:rPr>
              <w:t>日</w:t>
            </w:r>
          </w:p>
        </w:tc>
      </w:tr>
      <w:tr w:rsidR="00FE38E2">
        <w:tc>
          <w:tcPr>
            <w:tcW w:w="3300" w:type="dxa"/>
            <w:tcBorders>
              <w:top w:val="single" w:sz="8" w:space="0" w:color="000000"/>
              <w:left w:val="single" w:sz="8" w:space="0" w:color="000000"/>
              <w:bottom w:val="single" w:sz="6" w:space="0" w:color="000000"/>
              <w:right w:val="single" w:sz="8" w:space="0" w:color="000000"/>
            </w:tcBorders>
            <w:vAlign w:val="center"/>
          </w:tcPr>
          <w:p w:rsidR="00FE38E2" w:rsidRDefault="00DA2739">
            <w:pPr>
              <w:pStyle w:val="a6"/>
              <w:wordWrap w:val="0"/>
            </w:pPr>
            <w:r>
              <w:t>除息日</w:t>
            </w:r>
          </w:p>
        </w:tc>
        <w:tc>
          <w:tcPr>
            <w:tcW w:w="4949" w:type="dxa"/>
            <w:tcBorders>
              <w:top w:val="single" w:sz="8" w:space="0" w:color="000000"/>
              <w:left w:val="single" w:sz="8" w:space="0" w:color="000000"/>
              <w:bottom w:val="single" w:sz="6" w:space="0" w:color="000000"/>
              <w:right w:val="single" w:sz="8" w:space="0" w:color="000000"/>
            </w:tcBorders>
            <w:vAlign w:val="center"/>
          </w:tcPr>
          <w:p w:rsidR="00FE38E2" w:rsidRDefault="00DA2739">
            <w:pPr>
              <w:pStyle w:val="biaogeleft"/>
              <w:wordWrap w:val="0"/>
              <w:rPr>
                <w:rFonts w:hint="eastAsia"/>
              </w:rPr>
            </w:pPr>
            <w:r>
              <w:rPr>
                <w:rFonts w:hAnsi="Calibri" w:cs="宋体" w:hint="eastAsia"/>
                <w:color w:val="000000"/>
              </w:rPr>
              <w:t>2025</w:t>
            </w:r>
            <w:r>
              <w:rPr>
                <w:rFonts w:hAnsi="Calibri" w:cs="宋体" w:hint="eastAsia"/>
                <w:color w:val="000000"/>
              </w:rPr>
              <w:t>年</w:t>
            </w:r>
            <w:r>
              <w:rPr>
                <w:rFonts w:hAnsi="Calibri" w:cs="宋体" w:hint="eastAsia"/>
                <w:color w:val="000000"/>
              </w:rPr>
              <w:t>11</w:t>
            </w:r>
            <w:r>
              <w:rPr>
                <w:rFonts w:hAnsi="Calibri" w:cs="宋体" w:hint="eastAsia"/>
                <w:color w:val="000000"/>
              </w:rPr>
              <w:t>月</w:t>
            </w:r>
            <w:r>
              <w:rPr>
                <w:rFonts w:hAnsi="Calibri" w:cs="宋体" w:hint="eastAsia"/>
                <w:color w:val="000000"/>
              </w:rPr>
              <w:t>25</w:t>
            </w:r>
            <w:r>
              <w:rPr>
                <w:rFonts w:hAnsi="Calibri" w:cs="宋体" w:hint="eastAsia"/>
                <w:color w:val="000000"/>
              </w:rPr>
              <w:t>日</w:t>
            </w:r>
          </w:p>
        </w:tc>
      </w:tr>
      <w:tr w:rsidR="00FE38E2">
        <w:tc>
          <w:tcPr>
            <w:tcW w:w="3300" w:type="dxa"/>
            <w:tcBorders>
              <w:top w:val="single" w:sz="8" w:space="0" w:color="000000"/>
              <w:left w:val="single" w:sz="8" w:space="0" w:color="000000"/>
              <w:bottom w:val="single" w:sz="6" w:space="0" w:color="000000"/>
              <w:right w:val="single" w:sz="8" w:space="0" w:color="000000"/>
            </w:tcBorders>
            <w:vAlign w:val="center"/>
          </w:tcPr>
          <w:p w:rsidR="00FE38E2" w:rsidRDefault="00DA2739">
            <w:pPr>
              <w:pStyle w:val="a6"/>
              <w:wordWrap w:val="0"/>
            </w:pPr>
            <w:r>
              <w:t>现金红利发放日</w:t>
            </w:r>
          </w:p>
        </w:tc>
        <w:tc>
          <w:tcPr>
            <w:tcW w:w="4949" w:type="dxa"/>
            <w:tcBorders>
              <w:top w:val="single" w:sz="8" w:space="0" w:color="000000"/>
              <w:left w:val="single" w:sz="8" w:space="0" w:color="000000"/>
              <w:bottom w:val="single" w:sz="6" w:space="0" w:color="000000"/>
              <w:right w:val="single" w:sz="8" w:space="0" w:color="000000"/>
            </w:tcBorders>
            <w:vAlign w:val="center"/>
          </w:tcPr>
          <w:p w:rsidR="00FE38E2" w:rsidRDefault="00DA2739">
            <w:pPr>
              <w:pStyle w:val="biaogeleft"/>
              <w:wordWrap w:val="0"/>
              <w:rPr>
                <w:rFonts w:hint="eastAsia"/>
              </w:rPr>
            </w:pPr>
            <w:r>
              <w:rPr>
                <w:rFonts w:hAnsi="Calibri" w:cs="宋体" w:hint="eastAsia"/>
                <w:color w:val="000000"/>
              </w:rPr>
              <w:t>2025</w:t>
            </w:r>
            <w:r>
              <w:rPr>
                <w:rFonts w:hAnsi="Calibri" w:cs="宋体" w:hint="eastAsia"/>
                <w:color w:val="000000"/>
              </w:rPr>
              <w:t>年</w:t>
            </w:r>
            <w:r>
              <w:rPr>
                <w:rFonts w:hAnsi="Calibri" w:cs="宋体" w:hint="eastAsia"/>
                <w:color w:val="000000"/>
              </w:rPr>
              <w:t>11</w:t>
            </w:r>
            <w:r>
              <w:rPr>
                <w:rFonts w:hAnsi="Calibri" w:cs="宋体" w:hint="eastAsia"/>
                <w:color w:val="000000"/>
              </w:rPr>
              <w:t>月</w:t>
            </w:r>
            <w:r>
              <w:rPr>
                <w:rFonts w:hAnsi="Calibri" w:cs="宋体" w:hint="eastAsia"/>
                <w:color w:val="000000"/>
              </w:rPr>
              <w:t>27</w:t>
            </w:r>
            <w:r>
              <w:rPr>
                <w:rFonts w:hAnsi="Calibri" w:cs="宋体" w:hint="eastAsia"/>
                <w:color w:val="000000"/>
              </w:rPr>
              <w:t>日</w:t>
            </w:r>
          </w:p>
        </w:tc>
      </w:tr>
      <w:tr w:rsidR="00FE38E2">
        <w:tc>
          <w:tcPr>
            <w:tcW w:w="3300" w:type="dxa"/>
            <w:tcBorders>
              <w:top w:val="single" w:sz="8" w:space="0" w:color="000000"/>
              <w:left w:val="single" w:sz="8" w:space="0" w:color="000000"/>
              <w:bottom w:val="single" w:sz="6" w:space="0" w:color="000000"/>
              <w:right w:val="single" w:sz="8" w:space="0" w:color="000000"/>
            </w:tcBorders>
            <w:vAlign w:val="center"/>
          </w:tcPr>
          <w:p w:rsidR="00FE38E2" w:rsidRDefault="00DA2739">
            <w:pPr>
              <w:pStyle w:val="a6"/>
              <w:wordWrap w:val="0"/>
            </w:pPr>
            <w:r>
              <w:t>分红对象</w:t>
            </w:r>
          </w:p>
        </w:tc>
        <w:tc>
          <w:tcPr>
            <w:tcW w:w="4949" w:type="dxa"/>
            <w:tcBorders>
              <w:top w:val="single" w:sz="8" w:space="0" w:color="000000"/>
              <w:left w:val="single" w:sz="8" w:space="0" w:color="000000"/>
              <w:bottom w:val="single" w:sz="6" w:space="0" w:color="000000"/>
              <w:right w:val="single" w:sz="8" w:space="0" w:color="000000"/>
            </w:tcBorders>
            <w:vAlign w:val="center"/>
          </w:tcPr>
          <w:p w:rsidR="00FE38E2" w:rsidRDefault="00DA2739">
            <w:pPr>
              <w:pStyle w:val="biaogeleft"/>
              <w:wordWrap w:val="0"/>
            </w:pPr>
            <w:r>
              <w:rPr>
                <w:rFonts w:hAnsi="Calibri" w:cs="宋体" w:hint="eastAsia"/>
                <w:color w:val="000000"/>
              </w:rPr>
              <w:t>权益登记日登记在册的本基金所有份</w:t>
            </w:r>
            <w:r>
              <w:rPr>
                <w:rFonts w:hAnsi="Calibri" w:cs="宋体" w:hint="eastAsia"/>
                <w:color w:val="000000"/>
              </w:rPr>
              <w:t>额持有人</w:t>
            </w:r>
          </w:p>
        </w:tc>
      </w:tr>
      <w:tr w:rsidR="00FE38E2">
        <w:tc>
          <w:tcPr>
            <w:tcW w:w="3300" w:type="dxa"/>
            <w:tcBorders>
              <w:top w:val="single" w:sz="8" w:space="0" w:color="000000"/>
              <w:left w:val="single" w:sz="8" w:space="0" w:color="000000"/>
              <w:bottom w:val="single" w:sz="6" w:space="0" w:color="000000"/>
              <w:right w:val="single" w:sz="8" w:space="0" w:color="000000"/>
            </w:tcBorders>
            <w:vAlign w:val="center"/>
          </w:tcPr>
          <w:p w:rsidR="00FE38E2" w:rsidRDefault="00DA2739">
            <w:pPr>
              <w:pStyle w:val="a6"/>
              <w:wordWrap w:val="0"/>
            </w:pPr>
            <w:r>
              <w:t>红利再投资相关事项的说明</w:t>
            </w:r>
          </w:p>
        </w:tc>
        <w:tc>
          <w:tcPr>
            <w:tcW w:w="4949" w:type="dxa"/>
            <w:tcBorders>
              <w:top w:val="single" w:sz="8" w:space="0" w:color="000000"/>
              <w:left w:val="single" w:sz="8" w:space="0" w:color="000000"/>
              <w:bottom w:val="single" w:sz="6" w:space="0" w:color="000000"/>
              <w:right w:val="single" w:sz="8" w:space="0" w:color="000000"/>
            </w:tcBorders>
            <w:vAlign w:val="center"/>
          </w:tcPr>
          <w:p w:rsidR="00FE38E2" w:rsidRDefault="00DA2739">
            <w:pPr>
              <w:pStyle w:val="biaogeleft"/>
              <w:wordWrap w:val="0"/>
            </w:pPr>
            <w:r>
              <w:rPr>
                <w:rFonts w:hAnsi="Calibri" w:cs="宋体" w:hint="eastAsia"/>
                <w:color w:val="000000"/>
              </w:rPr>
              <w:t>选择红利再投资方式的投资者所转换的基金份额将以</w:t>
            </w:r>
            <w:r>
              <w:rPr>
                <w:rFonts w:hAnsi="Calibri" w:cs="宋体" w:hint="eastAsia"/>
                <w:color w:val="000000"/>
              </w:rPr>
              <w:t>2025</w:t>
            </w:r>
            <w:r>
              <w:rPr>
                <w:rFonts w:hAnsi="Calibri" w:cs="宋体" w:hint="eastAsia"/>
                <w:color w:val="000000"/>
              </w:rPr>
              <w:t>年</w:t>
            </w:r>
            <w:r>
              <w:rPr>
                <w:rFonts w:hAnsi="Calibri" w:cs="宋体" w:hint="eastAsia"/>
                <w:color w:val="000000"/>
              </w:rPr>
              <w:t>11</w:t>
            </w:r>
            <w:r>
              <w:rPr>
                <w:rFonts w:hAnsi="Calibri" w:cs="宋体" w:hint="eastAsia"/>
                <w:color w:val="000000"/>
              </w:rPr>
              <w:t>月</w:t>
            </w:r>
            <w:r>
              <w:rPr>
                <w:rFonts w:hAnsi="Calibri" w:cs="宋体" w:hint="eastAsia"/>
                <w:color w:val="000000"/>
              </w:rPr>
              <w:t>25</w:t>
            </w:r>
            <w:r>
              <w:rPr>
                <w:rFonts w:hAnsi="Calibri" w:cs="宋体" w:hint="eastAsia"/>
                <w:color w:val="000000"/>
              </w:rPr>
              <w:t>日</w:t>
            </w:r>
            <w:r>
              <w:rPr>
                <w:rFonts w:hAnsi="Calibri" w:cs="宋体" w:hint="eastAsia"/>
                <w:color w:val="000000"/>
              </w:rPr>
              <w:t>基金份额净值为计算基准确定再投资份额，红利再投资所转换的基金份额将于</w:t>
            </w:r>
            <w:r>
              <w:rPr>
                <w:rFonts w:hAnsi="Calibri" w:cs="宋体" w:hint="eastAsia"/>
                <w:color w:val="000000"/>
              </w:rPr>
              <w:t>2025</w:t>
            </w:r>
            <w:r>
              <w:rPr>
                <w:rFonts w:hAnsi="Calibri" w:cs="宋体" w:hint="eastAsia"/>
                <w:color w:val="000000"/>
              </w:rPr>
              <w:t>年</w:t>
            </w:r>
            <w:r>
              <w:rPr>
                <w:rFonts w:hAnsi="Calibri" w:cs="宋体" w:hint="eastAsia"/>
                <w:color w:val="000000"/>
              </w:rPr>
              <w:t>11</w:t>
            </w:r>
            <w:r>
              <w:rPr>
                <w:rFonts w:hAnsi="Calibri" w:cs="宋体" w:hint="eastAsia"/>
                <w:color w:val="000000"/>
              </w:rPr>
              <w:t>月</w:t>
            </w:r>
            <w:r>
              <w:rPr>
                <w:rFonts w:hAnsi="Calibri" w:cs="宋体" w:hint="eastAsia"/>
                <w:color w:val="000000"/>
              </w:rPr>
              <w:t>26</w:t>
            </w:r>
            <w:r>
              <w:rPr>
                <w:rFonts w:hAnsi="Calibri" w:cs="宋体" w:hint="eastAsia"/>
                <w:color w:val="000000"/>
              </w:rPr>
              <w:t>日</w:t>
            </w:r>
            <w:r>
              <w:rPr>
                <w:rFonts w:hAnsi="Calibri" w:cs="宋体" w:hint="eastAsia"/>
                <w:color w:val="000000"/>
              </w:rPr>
              <w:t>直接划入其基金账户，</w:t>
            </w:r>
            <w:r>
              <w:rPr>
                <w:rFonts w:hAnsi="Calibri" w:cs="宋体" w:hint="eastAsia"/>
                <w:color w:val="000000"/>
              </w:rPr>
              <w:t>2025</w:t>
            </w:r>
            <w:r>
              <w:rPr>
                <w:rFonts w:hAnsi="Calibri" w:cs="宋体" w:hint="eastAsia"/>
                <w:color w:val="000000"/>
              </w:rPr>
              <w:t>年</w:t>
            </w:r>
            <w:r>
              <w:rPr>
                <w:rFonts w:hAnsi="Calibri" w:cs="宋体" w:hint="eastAsia"/>
                <w:color w:val="000000"/>
              </w:rPr>
              <w:t>11</w:t>
            </w:r>
            <w:r>
              <w:rPr>
                <w:rFonts w:hAnsi="Calibri" w:cs="宋体" w:hint="eastAsia"/>
                <w:color w:val="000000"/>
              </w:rPr>
              <w:t>月</w:t>
            </w:r>
            <w:r>
              <w:rPr>
                <w:rFonts w:hAnsi="Calibri" w:cs="宋体" w:hint="eastAsia"/>
                <w:color w:val="000000"/>
              </w:rPr>
              <w:t>27</w:t>
            </w:r>
            <w:r>
              <w:rPr>
                <w:rFonts w:hAnsi="Calibri" w:cs="宋体" w:hint="eastAsia"/>
                <w:color w:val="000000"/>
              </w:rPr>
              <w:t>日</w:t>
            </w:r>
            <w:r>
              <w:rPr>
                <w:rFonts w:hAnsi="Calibri" w:cs="宋体" w:hint="eastAsia"/>
                <w:color w:val="000000"/>
              </w:rPr>
              <w:t>起投资者可以查询。</w:t>
            </w:r>
          </w:p>
        </w:tc>
      </w:tr>
      <w:tr w:rsidR="00FE38E2">
        <w:tc>
          <w:tcPr>
            <w:tcW w:w="3300" w:type="dxa"/>
            <w:tcBorders>
              <w:top w:val="single" w:sz="8" w:space="0" w:color="000000"/>
              <w:left w:val="single" w:sz="8" w:space="0" w:color="000000"/>
              <w:bottom w:val="single" w:sz="6" w:space="0" w:color="000000"/>
              <w:right w:val="single" w:sz="8" w:space="0" w:color="000000"/>
            </w:tcBorders>
            <w:vAlign w:val="center"/>
          </w:tcPr>
          <w:p w:rsidR="00FE38E2" w:rsidRDefault="00DA2739">
            <w:pPr>
              <w:pStyle w:val="a6"/>
              <w:wordWrap w:val="0"/>
            </w:pPr>
            <w:r>
              <w:t>税收相关事项的说明</w:t>
            </w:r>
          </w:p>
        </w:tc>
        <w:tc>
          <w:tcPr>
            <w:tcW w:w="4949" w:type="dxa"/>
            <w:tcBorders>
              <w:top w:val="single" w:sz="8" w:space="0" w:color="000000"/>
              <w:left w:val="single" w:sz="8" w:space="0" w:color="000000"/>
              <w:bottom w:val="single" w:sz="6" w:space="0" w:color="000000"/>
              <w:right w:val="single" w:sz="8" w:space="0" w:color="000000"/>
            </w:tcBorders>
            <w:vAlign w:val="center"/>
          </w:tcPr>
          <w:p w:rsidR="00FE38E2" w:rsidRDefault="00DA2739">
            <w:pPr>
              <w:pStyle w:val="a6"/>
              <w:wordWrap w:val="0"/>
            </w:pPr>
            <w:r>
              <w:t>根据财政部、国家税务总局的财税字</w:t>
            </w:r>
            <w:r>
              <w:t>[2002]128</w:t>
            </w:r>
            <w:r>
              <w:t>号《财政部、国家税务总局关于开放式证券投资基金有关税收问题的通知》，基金向投资者分配的基金收益，暂免征收所得税。</w:t>
            </w:r>
          </w:p>
        </w:tc>
      </w:tr>
      <w:tr w:rsidR="00FE38E2">
        <w:tc>
          <w:tcPr>
            <w:tcW w:w="3300" w:type="dxa"/>
            <w:tcBorders>
              <w:top w:val="single" w:sz="8" w:space="0" w:color="000000"/>
              <w:left w:val="single" w:sz="8" w:space="0" w:color="000000"/>
              <w:bottom w:val="single" w:sz="6" w:space="0" w:color="000000"/>
              <w:right w:val="single" w:sz="8" w:space="0" w:color="000000"/>
            </w:tcBorders>
            <w:vAlign w:val="center"/>
          </w:tcPr>
          <w:p w:rsidR="00FE38E2" w:rsidRDefault="00DA2739">
            <w:pPr>
              <w:pStyle w:val="a6"/>
              <w:wordWrap w:val="0"/>
            </w:pPr>
            <w:r>
              <w:t>费用相关事项的说明</w:t>
            </w:r>
          </w:p>
        </w:tc>
        <w:tc>
          <w:tcPr>
            <w:tcW w:w="4949" w:type="dxa"/>
            <w:tcBorders>
              <w:top w:val="single" w:sz="8" w:space="0" w:color="000000"/>
              <w:left w:val="single" w:sz="8" w:space="0" w:color="000000"/>
              <w:bottom w:val="single" w:sz="6" w:space="0" w:color="000000"/>
              <w:right w:val="single" w:sz="8" w:space="0" w:color="000000"/>
            </w:tcBorders>
            <w:vAlign w:val="center"/>
          </w:tcPr>
          <w:p w:rsidR="00FE38E2" w:rsidRDefault="00DA2739">
            <w:pPr>
              <w:pStyle w:val="a6"/>
              <w:wordWrap w:val="0"/>
            </w:pPr>
            <w:r>
              <w:t>本</w:t>
            </w:r>
            <w:r>
              <w:rPr>
                <w:rFonts w:hint="eastAsia"/>
              </w:rPr>
              <w:t>基金</w:t>
            </w:r>
            <w:r>
              <w:t>本次分红免收分红手续费。选择红利再投资方</w:t>
            </w:r>
            <w:r>
              <w:t>式的投资者其红利所转换的基金份额免收申购费用。</w:t>
            </w:r>
          </w:p>
        </w:tc>
      </w:tr>
    </w:tbl>
    <w:p w:rsidR="00FE38E2" w:rsidRDefault="00DA2739" w:rsidP="00E343E1">
      <w:pPr>
        <w:pStyle w:val="a6"/>
        <w:snapToGrid w:val="0"/>
        <w:spacing w:after="0" w:afterAutospacing="0" w:line="360" w:lineRule="auto"/>
      </w:pPr>
      <w:r>
        <w:t>注：选择现金分红方式的投资者的现金红利款将于</w:t>
      </w:r>
      <w:r w:rsidRPr="00A36E8A">
        <w:rPr>
          <w:rFonts w:hint="eastAsia"/>
        </w:rPr>
        <w:t>2025</w:t>
      </w:r>
      <w:r w:rsidRPr="00A36E8A">
        <w:rPr>
          <w:rFonts w:hint="eastAsia"/>
        </w:rPr>
        <w:t>年</w:t>
      </w:r>
      <w:r>
        <w:rPr>
          <w:rFonts w:hint="eastAsia"/>
        </w:rPr>
        <w:t>11</w:t>
      </w:r>
      <w:r w:rsidRPr="00A36E8A">
        <w:rPr>
          <w:rFonts w:hint="eastAsia"/>
        </w:rPr>
        <w:t>月</w:t>
      </w:r>
      <w:r w:rsidRPr="00A36E8A">
        <w:rPr>
          <w:rFonts w:hint="eastAsia"/>
        </w:rPr>
        <w:t>2</w:t>
      </w:r>
      <w:r>
        <w:rPr>
          <w:rFonts w:hint="eastAsia"/>
        </w:rPr>
        <w:t>7</w:t>
      </w:r>
      <w:r w:rsidRPr="00A36E8A">
        <w:rPr>
          <w:rFonts w:hint="eastAsia"/>
        </w:rPr>
        <w:t>日</w:t>
      </w:r>
      <w:r>
        <w:t>自托管账户划出。</w:t>
      </w:r>
      <w:r>
        <w:br/>
      </w:r>
    </w:p>
    <w:p w:rsidR="00FE38E2" w:rsidRDefault="00DA2739">
      <w:pPr>
        <w:pStyle w:val="a6"/>
      </w:pPr>
      <w:r>
        <w:rPr>
          <w:b/>
        </w:rPr>
        <w:t xml:space="preserve">3 </w:t>
      </w:r>
      <w:r>
        <w:rPr>
          <w:b/>
        </w:rPr>
        <w:t>其他需要提示的事项</w:t>
      </w:r>
    </w:p>
    <w:p w:rsidR="00FE38E2" w:rsidRDefault="00DA2739" w:rsidP="006309F0">
      <w:pPr>
        <w:pStyle w:val="a6"/>
        <w:spacing w:before="0" w:beforeAutospacing="0" w:after="0" w:afterAutospacing="0" w:line="360" w:lineRule="auto"/>
        <w:ind w:firstLineChars="200" w:firstLine="480"/>
      </w:pPr>
      <w:r w:rsidRPr="009C54C9">
        <w:rPr>
          <w:rFonts w:cs="宋体" w:hint="eastAsia"/>
        </w:rPr>
        <w:t>1</w:t>
      </w:r>
      <w:r w:rsidRPr="009C54C9">
        <w:rPr>
          <w:rFonts w:cs="宋体" w:hint="eastAsia"/>
        </w:rPr>
        <w:t>、权益登记日当日申请申购本基金的基金份额不享有本次收益分配权益，权益登记日当日申请赎回本基金的基金份额享有本次收益分配权益。</w:t>
      </w:r>
      <w:r w:rsidRPr="009C54C9">
        <w:rPr>
          <w:rFonts w:cs="宋体" w:hint="eastAsia"/>
        </w:rPr>
        <w:br/>
      </w:r>
      <w:r>
        <w:t>  </w:t>
      </w:r>
      <w:r>
        <w:rPr>
          <w:rFonts w:hint="eastAsia"/>
        </w:rPr>
        <w:t>2</w:t>
      </w:r>
      <w:r>
        <w:t>、对于未选择具体分红方式的投资者，本基金默认的分红方式为现金方式。投资者可通过查询了解本基金目前的分红设置状态；投资者可以在基金开放日的交易时间内到本基金销售机构修改分红方式，本次分红确认的方式将按照投资者在权益登记日</w:t>
      </w:r>
      <w:r>
        <w:t>前最后一次</w:t>
      </w:r>
      <w:r>
        <w:rPr>
          <w:rFonts w:hint="eastAsia"/>
        </w:rPr>
        <w:t>生效</w:t>
      </w:r>
      <w:r>
        <w:t>的分红方式为准；分红方式修改只对单个交易账户有效，即如投资者在多家销售机构购买了本基金，其在任一家销售机构所做的基金份额的分红方式变更，只适用于投资者通过该销售机构指定交易账户下持有的基金份额。</w:t>
      </w:r>
      <w:r>
        <w:br/>
      </w:r>
      <w:r>
        <w:lastRenderedPageBreak/>
        <w:t>  </w:t>
      </w:r>
      <w:r>
        <w:rPr>
          <w:rFonts w:hint="eastAsia"/>
        </w:rPr>
        <w:t>3</w:t>
      </w:r>
      <w:r>
        <w:t>、投资者可登陆本公司官网查询本基金销售机构。请投资者到各销售机构或通过本公司确认分红方式是否正确，如不正确或希望修改分红方式的，请务必在规定时间前到相应的销售机构办理变更手续。</w:t>
      </w:r>
      <w:r>
        <w:br/>
        <w:t>  </w:t>
      </w:r>
      <w:r>
        <w:rPr>
          <w:rFonts w:hint="eastAsia"/>
        </w:rPr>
        <w:t>4</w:t>
      </w:r>
      <w:r>
        <w:t>、咨询方式</w:t>
      </w:r>
      <w:r>
        <w:br/>
        <w:t>  </w:t>
      </w:r>
      <w:r>
        <w:t>（</w:t>
      </w:r>
      <w:r>
        <w:t>1</w:t>
      </w:r>
      <w:r>
        <w:t>）登陆</w:t>
      </w:r>
      <w:r>
        <w:t>上海国泰海通证券资产管理有限公司</w:t>
      </w:r>
      <w:r>
        <w:t>网站：</w:t>
      </w:r>
      <w:r>
        <w:t>www.</w:t>
      </w:r>
      <w:r>
        <w:t>gt</w:t>
      </w:r>
      <w:r>
        <w:rPr>
          <w:rFonts w:hint="eastAsia"/>
        </w:rPr>
        <w:t>ht</w:t>
      </w:r>
      <w:r>
        <w:t>zg</w:t>
      </w:r>
      <w:r>
        <w:t>.com</w:t>
      </w:r>
      <w:r>
        <w:t>。</w:t>
      </w:r>
      <w:r>
        <w:br/>
        <w:t>  </w:t>
      </w:r>
      <w:r>
        <w:t>（</w:t>
      </w:r>
      <w:r>
        <w:t>2</w:t>
      </w:r>
      <w:r>
        <w:t>）拨打</w:t>
      </w:r>
      <w:r>
        <w:t>上</w:t>
      </w:r>
      <w:r>
        <w:t>海国泰海通证券资产管理有限公司</w:t>
      </w:r>
      <w:r>
        <w:t>客户服务热线：</w:t>
      </w:r>
      <w:r>
        <w:t>95521</w:t>
      </w:r>
      <w:r>
        <w:t>。</w:t>
      </w:r>
      <w:r>
        <w:br/>
        <w:t>  </w:t>
      </w:r>
      <w:r>
        <w:rPr>
          <w:rFonts w:hint="eastAsia"/>
        </w:rPr>
        <w:t>5</w:t>
      </w:r>
      <w:r>
        <w:t>、风险提示：本基金管理人承诺以诚实信用、勤勉尽责的原则管理和运用基金财产，但不保证</w:t>
      </w:r>
      <w:r>
        <w:rPr>
          <w:rFonts w:hint="eastAsia"/>
        </w:rPr>
        <w:t>基金</w:t>
      </w:r>
      <w:r>
        <w:t>一定盈利，也不保证最低收益。因</w:t>
      </w:r>
      <w:r>
        <w:rPr>
          <w:rFonts w:hint="eastAsia"/>
        </w:rPr>
        <w:t>基金</w:t>
      </w:r>
      <w:r>
        <w:t>分红导致基金份额净值变化，不会改变</w:t>
      </w:r>
      <w:r>
        <w:rPr>
          <w:rFonts w:hint="eastAsia"/>
        </w:rPr>
        <w:t>基金</w:t>
      </w:r>
      <w:r>
        <w:t>的风险收益特征，不会降低</w:t>
      </w:r>
      <w:r>
        <w:rPr>
          <w:rFonts w:hint="eastAsia"/>
        </w:rPr>
        <w:t>基金</w:t>
      </w:r>
      <w:r>
        <w:t>投资风险或提高基金投资收益。</w:t>
      </w:r>
      <w:r>
        <w:rPr>
          <w:rFonts w:hint="eastAsia"/>
        </w:rPr>
        <w:t>基金</w:t>
      </w:r>
      <w:r>
        <w:t>的过往业绩不代表未来表现，敬请投资者注意投资风险。</w:t>
      </w:r>
      <w:r>
        <w:br/>
        <w:t>  </w:t>
      </w:r>
      <w:r>
        <w:br/>
        <w:t>  </w:t>
      </w:r>
      <w:r>
        <w:t>特此公告。</w:t>
      </w:r>
    </w:p>
    <w:p w:rsidR="00FE38E2" w:rsidRDefault="00DA2739" w:rsidP="00E343E1">
      <w:pPr>
        <w:pStyle w:val="biaogeright"/>
        <w:snapToGrid w:val="0"/>
        <w:spacing w:before="0" w:line="360" w:lineRule="auto"/>
        <w:ind w:left="0"/>
      </w:pPr>
      <w:r>
        <w:rPr>
          <w:rFonts w:hAnsi="Calibri" w:cs="宋体" w:hint="eastAsia"/>
          <w:color w:val="000000"/>
        </w:rPr>
        <w:t>上海国泰海通证券资产管理有限公司</w:t>
      </w:r>
    </w:p>
    <w:p w:rsidR="00FF3EB0" w:rsidRDefault="00DA2739" w:rsidP="00E343E1">
      <w:pPr>
        <w:pStyle w:val="biaogeright"/>
        <w:snapToGrid w:val="0"/>
        <w:spacing w:before="0" w:line="360" w:lineRule="auto"/>
        <w:rPr>
          <w:rFonts w:hint="eastAsia"/>
        </w:rPr>
      </w:pPr>
      <w:r>
        <w:rPr>
          <w:rFonts w:hAnsi="Calibri" w:cs="宋体" w:hint="eastAsia"/>
          <w:color w:val="000000"/>
        </w:rPr>
        <w:t>2025</w:t>
      </w:r>
      <w:r>
        <w:rPr>
          <w:rFonts w:hAnsi="Calibri" w:cs="宋体" w:hint="eastAsia"/>
          <w:color w:val="000000"/>
        </w:rPr>
        <w:t>年</w:t>
      </w:r>
      <w:r>
        <w:rPr>
          <w:rFonts w:hAnsi="Calibri" w:cs="宋体" w:hint="eastAsia"/>
          <w:color w:val="000000"/>
        </w:rPr>
        <w:t>11</w:t>
      </w:r>
      <w:r>
        <w:rPr>
          <w:rFonts w:hAnsi="Calibri" w:cs="宋体" w:hint="eastAsia"/>
          <w:color w:val="000000"/>
        </w:rPr>
        <w:t>月</w:t>
      </w:r>
      <w:r>
        <w:rPr>
          <w:rFonts w:hAnsi="Calibri" w:cs="宋体" w:hint="eastAsia"/>
          <w:color w:val="000000"/>
        </w:rPr>
        <w:t>22</w:t>
      </w:r>
      <w:r>
        <w:rPr>
          <w:rFonts w:hAnsi="Calibri" w:cs="宋体" w:hint="eastAsia"/>
          <w:color w:val="000000"/>
        </w:rPr>
        <w:t>日</w:t>
      </w:r>
    </w:p>
    <w:sectPr w:rsidR="00FF3EB0">
      <w:headerReference w:type="even" r:id="rId7"/>
      <w:headerReference w:type="default" r:id="rId8"/>
      <w:headerReference w:type="first" r:id="rId9"/>
      <w:pgSz w:w="11926" w:h="15840"/>
      <w:pgMar w:top="1418" w:right="1418" w:bottom="853" w:left="1418" w:header="851"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DA2739">
      <w:r>
        <w:separator/>
      </w:r>
    </w:p>
  </w:endnote>
  <w:endnote w:type="continuationSeparator" w:id="0">
    <w:p w:rsidR="00000000" w:rsidRDefault="00DA27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DA2739">
      <w:r>
        <w:separator/>
      </w:r>
    </w:p>
  </w:footnote>
  <w:footnote w:type="continuationSeparator" w:id="0">
    <w:p w:rsidR="00000000" w:rsidRDefault="00DA27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A2739">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0;margin-top:0;width:375pt;height:450pt;z-index:251656704;mso-position-horizontal:center;mso-position-horizontal-relative:page;mso-position-vertical:center;mso-position-vertical-relative:page">
          <v:imagedata r:id="rId1" o:title=""/>
          <o:lock v:ext="edit" aspectratio="f"/>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A2739">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0;width:375pt;height:450pt;z-index:251657728;mso-position-horizontal:center;mso-position-horizontal-relative:page;mso-position-vertical:center;mso-position-vertical-relative:page">
          <v:imagedata r:id="rId1" o:title=""/>
          <o:lock v:ext="edit" aspectratio="f"/>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A2739">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0;width:375pt;height:450pt;z-index:251658752;mso-position-horizontal:center;mso-position-horizontal-relative:page;mso-position-vertical:center;mso-position-vertical-relative:page">
          <v:imagedata r:id="rId1" o:title=""/>
          <o:lock v:ext="edit" aspectratio="f"/>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doNotExpandShiftReturn/>
    <w:doNotBreakWrappedTables/>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OWI3MjcxNWE3NmI5ZGYzNDU5ZTgxNDM1NGYxMzg5ZmYifQ=="/>
  </w:docVars>
  <w:rsids>
    <w:rsidRoot w:val="00170C18"/>
    <w:rsid w:val="00DA2739"/>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qFormat/>
    <w:pPr>
      <w:widowControl/>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qFormat/>
    <w:pPr>
      <w:widowControl/>
      <w:spacing w:before="100" w:beforeAutospacing="1" w:after="100" w:afterAutospacing="1"/>
      <w:jc w:val="left"/>
      <w:outlineLvl w:val="1"/>
    </w:pPr>
    <w:rPr>
      <w:rFonts w:ascii="宋体" w:hAnsi="宋体" w:hint="eastAsia"/>
      <w:b/>
      <w:kern w:val="0"/>
      <w:sz w:val="36"/>
      <w:szCs w:val="36"/>
    </w:rPr>
  </w:style>
  <w:style w:type="paragraph" w:styleId="3">
    <w:name w:val="heading 3"/>
    <w:basedOn w:val="a"/>
    <w:next w:val="a"/>
    <w:qFormat/>
    <w:pPr>
      <w:widowControl/>
      <w:spacing w:before="100" w:beforeAutospacing="1" w:after="100" w:afterAutospacing="1"/>
      <w:jc w:val="left"/>
      <w:outlineLvl w:val="2"/>
    </w:pPr>
    <w:rPr>
      <w:rFonts w:ascii="宋体" w:hAnsi="宋体" w:hint="eastAsia"/>
      <w:b/>
      <w:kern w:val="0"/>
      <w:sz w:val="27"/>
      <w:szCs w:val="27"/>
    </w:rPr>
  </w:style>
  <w:style w:type="paragraph" w:styleId="4">
    <w:name w:val="heading 4"/>
    <w:basedOn w:val="a"/>
    <w:next w:val="a"/>
    <w:qFormat/>
    <w:pPr>
      <w:widowControl/>
      <w:spacing w:before="100" w:beforeAutospacing="1" w:after="100" w:afterAutospacing="1"/>
      <w:jc w:val="left"/>
      <w:outlineLvl w:val="3"/>
    </w:pPr>
    <w:rPr>
      <w:rFonts w:ascii="宋体" w:hAnsi="宋体" w:hint="eastAsia"/>
      <w:b/>
      <w:kern w:val="0"/>
      <w:sz w:val="24"/>
      <w:szCs w:val="24"/>
    </w:rPr>
  </w:style>
  <w:style w:type="paragraph" w:styleId="5">
    <w:name w:val="heading 5"/>
    <w:basedOn w:val="a"/>
    <w:next w:val="a"/>
    <w:qFormat/>
    <w:pPr>
      <w:widowControl/>
      <w:spacing w:before="100" w:beforeAutospacing="1" w:after="100" w:afterAutospacing="1"/>
      <w:jc w:val="left"/>
      <w:outlineLvl w:val="4"/>
    </w:pPr>
    <w:rPr>
      <w:rFonts w:ascii="宋体" w:hAnsi="宋体" w:hint="eastAsia"/>
      <w:b/>
      <w:kern w:val="0"/>
      <w:sz w:val="20"/>
      <w:szCs w:val="20"/>
    </w:rPr>
  </w:style>
  <w:style w:type="paragraph" w:styleId="6">
    <w:name w:val="heading 6"/>
    <w:basedOn w:val="a"/>
    <w:next w:val="a"/>
    <w:qFormat/>
    <w:pPr>
      <w:widowControl/>
      <w:spacing w:before="100" w:beforeAutospacing="1" w:after="100" w:afterAutospacing="1"/>
      <w:jc w:val="left"/>
      <w:outlineLvl w:val="5"/>
    </w:pPr>
    <w:rPr>
      <w:rFonts w:ascii="宋体" w:hAnsi="宋体" w:hint="eastAsia"/>
      <w:b/>
      <w:kern w:val="0"/>
      <w:sz w:val="15"/>
      <w:szCs w:val="15"/>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jc w:val="left"/>
    </w:pPr>
  </w:style>
  <w:style w:type="character" w:customStyle="1" w:styleId="Char">
    <w:name w:val="批注文字 Char"/>
    <w:link w:val="a3"/>
    <w:rPr>
      <w:rFonts w:cs="Times New Roman"/>
      <w:kern w:val="2"/>
      <w:sz w:val="21"/>
      <w:szCs w:val="22"/>
    </w:rPr>
  </w:style>
  <w:style w:type="paragraph" w:styleId="a4">
    <w:name w:val="footer"/>
    <w:basedOn w:val="a"/>
    <w:link w:val="Char0"/>
    <w:pPr>
      <w:tabs>
        <w:tab w:val="center" w:pos="4153"/>
        <w:tab w:val="right" w:pos="8306"/>
      </w:tabs>
      <w:snapToGrid w:val="0"/>
      <w:jc w:val="left"/>
    </w:pPr>
    <w:rPr>
      <w:rFonts w:ascii="Calibri" w:hAnsi="Calibri"/>
      <w:sz w:val="18"/>
      <w:szCs w:val="18"/>
    </w:rPr>
  </w:style>
  <w:style w:type="character" w:customStyle="1" w:styleId="Char0">
    <w:name w:val="页脚 Char"/>
    <w:link w:val="a4"/>
    <w:locked/>
    <w:rPr>
      <w:rFonts w:ascii="Times New Roman" w:hAnsi="Times New Roman" w:cs="Times New Roman" w:hint="default"/>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1">
    <w:name w:val="页眉 Char"/>
    <w:link w:val="a5"/>
    <w:locked/>
    <w:rPr>
      <w:rFonts w:ascii="Times New Roman" w:hAnsi="Times New Roman" w:cs="Times New Roman" w:hint="default"/>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6">
    <w:name w:val="Normal (Web)"/>
    <w:basedOn w:val="a"/>
    <w:pPr>
      <w:widowControl/>
      <w:spacing w:before="100" w:beforeAutospacing="1" w:after="100" w:afterAutospacing="1"/>
      <w:jc w:val="left"/>
    </w:pPr>
    <w:rPr>
      <w:rFonts w:ascii="宋体" w:hAnsi="宋体"/>
      <w:kern w:val="0"/>
      <w:sz w:val="24"/>
      <w:szCs w:val="24"/>
    </w:rPr>
  </w:style>
  <w:style w:type="paragraph" w:styleId="a7">
    <w:name w:val="annotation subject"/>
    <w:basedOn w:val="a3"/>
    <w:next w:val="a3"/>
    <w:link w:val="Char2"/>
    <w:rPr>
      <w:b/>
      <w:bCs/>
    </w:rPr>
  </w:style>
  <w:style w:type="character" w:customStyle="1" w:styleId="Char2">
    <w:name w:val="批注主题 Char"/>
    <w:link w:val="a7"/>
    <w:rPr>
      <w:rFonts w:cs="Times New Roman"/>
      <w:b/>
      <w:bCs/>
      <w:kern w:val="2"/>
      <w:sz w:val="21"/>
      <w:szCs w:val="22"/>
    </w:rPr>
  </w:style>
  <w:style w:type="character" w:styleId="a8">
    <w:name w:val="annotation reference"/>
    <w:rPr>
      <w:sz w:val="21"/>
      <w:szCs w:val="21"/>
    </w:rPr>
  </w:style>
  <w:style w:type="paragraph" w:customStyle="1" w:styleId="biaogeright1">
    <w:name w:val="biaoge_right1"/>
    <w:basedOn w:val="a"/>
    <w:pPr>
      <w:widowControl/>
      <w:autoSpaceDE w:val="0"/>
      <w:autoSpaceDN w:val="0"/>
      <w:adjustRightInd w:val="0"/>
      <w:spacing w:before="29" w:line="288" w:lineRule="auto"/>
      <w:ind w:left="15"/>
      <w:jc w:val="right"/>
    </w:pPr>
    <w:rPr>
      <w:rFonts w:ascii="宋体" w:hAnsi="宋体"/>
      <w:kern w:val="0"/>
      <w:sz w:val="24"/>
      <w:szCs w:val="24"/>
    </w:rPr>
  </w:style>
  <w:style w:type="paragraph" w:customStyle="1" w:styleId="msonormal1">
    <w:name w:val="msonormal1"/>
    <w:basedOn w:val="a"/>
    <w:rPr>
      <w:rFonts w:ascii="Calibri" w:hAnsi="Calibri"/>
    </w:rPr>
  </w:style>
  <w:style w:type="paragraph" w:customStyle="1" w:styleId="zhangjiep">
    <w:name w:val="zhangjie_p"/>
    <w:basedOn w:val="a"/>
    <w:pPr>
      <w:widowControl/>
      <w:autoSpaceDE w:val="0"/>
      <w:autoSpaceDN w:val="0"/>
      <w:adjustRightInd w:val="0"/>
      <w:spacing w:before="24" w:line="288" w:lineRule="auto"/>
      <w:ind w:left="15"/>
      <w:jc w:val="left"/>
      <w:outlineLvl w:val="1"/>
    </w:pPr>
    <w:rPr>
      <w:rFonts w:ascii="宋体" w:hAnsi="宋体"/>
      <w:kern w:val="0"/>
      <w:sz w:val="24"/>
      <w:szCs w:val="24"/>
    </w:rPr>
  </w:style>
  <w:style w:type="paragraph" w:customStyle="1" w:styleId="msonormalnone">
    <w:name w:val="msonormal_none"/>
    <w:basedOn w:val="a"/>
    <w:pPr>
      <w:jc w:val="left"/>
    </w:pPr>
    <w:rPr>
      <w:rFonts w:ascii="Calibri" w:hAnsi="Calibri"/>
    </w:rPr>
  </w:style>
  <w:style w:type="paragraph" w:customStyle="1" w:styleId="zhongyaotishi">
    <w:name w:val="zhongyaotishi"/>
    <w:basedOn w:val="a"/>
    <w:pPr>
      <w:widowControl/>
      <w:autoSpaceDE w:val="0"/>
      <w:autoSpaceDN w:val="0"/>
      <w:adjustRightInd w:val="0"/>
      <w:spacing w:before="30" w:line="288" w:lineRule="auto"/>
      <w:ind w:left="15" w:firstLine="482"/>
      <w:jc w:val="left"/>
    </w:pPr>
    <w:rPr>
      <w:rFonts w:ascii="宋体" w:hAnsi="宋体"/>
      <w:kern w:val="0"/>
      <w:sz w:val="24"/>
      <w:szCs w:val="24"/>
    </w:rPr>
  </w:style>
  <w:style w:type="paragraph" w:customStyle="1" w:styleId="biaogeright">
    <w:name w:val="biaoge_right"/>
    <w:basedOn w:val="a"/>
    <w:pPr>
      <w:widowControl/>
      <w:autoSpaceDE w:val="0"/>
      <w:autoSpaceDN w:val="0"/>
      <w:adjustRightInd w:val="0"/>
      <w:spacing w:before="29" w:line="288" w:lineRule="auto"/>
      <w:ind w:left="15"/>
      <w:jc w:val="right"/>
    </w:pPr>
    <w:rPr>
      <w:rFonts w:ascii="宋体" w:hAnsi="宋体"/>
      <w:kern w:val="0"/>
      <w:sz w:val="24"/>
      <w:szCs w:val="24"/>
    </w:rPr>
  </w:style>
  <w:style w:type="paragraph" w:customStyle="1" w:styleId="biaogeleft11">
    <w:name w:val="biaoge_left11"/>
    <w:basedOn w:val="a"/>
    <w:pPr>
      <w:widowControl/>
      <w:autoSpaceDE w:val="0"/>
      <w:autoSpaceDN w:val="0"/>
      <w:adjustRightInd w:val="0"/>
      <w:spacing w:before="29" w:line="288" w:lineRule="auto"/>
      <w:ind w:left="15"/>
      <w:jc w:val="left"/>
    </w:pPr>
    <w:rPr>
      <w:rFonts w:ascii="宋体" w:hAnsi="宋体"/>
      <w:kern w:val="0"/>
      <w:sz w:val="24"/>
      <w:szCs w:val="24"/>
    </w:rPr>
  </w:style>
  <w:style w:type="paragraph" w:customStyle="1" w:styleId="biaogecenter">
    <w:name w:val="biaoge_center"/>
    <w:basedOn w:val="a"/>
    <w:pPr>
      <w:widowControl/>
      <w:autoSpaceDE w:val="0"/>
      <w:autoSpaceDN w:val="0"/>
      <w:adjustRightInd w:val="0"/>
      <w:spacing w:before="29" w:line="288" w:lineRule="auto"/>
      <w:ind w:left="15"/>
      <w:jc w:val="center"/>
    </w:pPr>
    <w:rPr>
      <w:rFonts w:ascii="宋体" w:hAnsi="宋体"/>
      <w:kern w:val="0"/>
      <w:sz w:val="24"/>
      <w:szCs w:val="24"/>
    </w:rPr>
  </w:style>
  <w:style w:type="paragraph" w:customStyle="1" w:styleId="msonormalfy">
    <w:name w:val="msonormalfy"/>
    <w:basedOn w:val="a"/>
    <w:pPr>
      <w:jc w:val="center"/>
    </w:pPr>
    <w:rPr>
      <w:rFonts w:ascii="Calibri" w:hAnsi="Calibri"/>
      <w:sz w:val="33"/>
    </w:rPr>
  </w:style>
  <w:style w:type="paragraph" w:customStyle="1" w:styleId="hide">
    <w:name w:val="hide"/>
    <w:basedOn w:val="a"/>
    <w:pPr>
      <w:widowControl/>
      <w:jc w:val="left"/>
    </w:pPr>
    <w:rPr>
      <w:rFonts w:ascii="宋体" w:hAnsi="宋体"/>
      <w:vanish/>
      <w:kern w:val="0"/>
      <w:sz w:val="24"/>
      <w:szCs w:val="24"/>
    </w:rPr>
  </w:style>
  <w:style w:type="paragraph" w:customStyle="1" w:styleId="zhangjiep2">
    <w:name w:val="zhangjie_p2"/>
    <w:basedOn w:val="a"/>
    <w:pPr>
      <w:widowControl/>
      <w:autoSpaceDE w:val="0"/>
      <w:autoSpaceDN w:val="0"/>
      <w:adjustRightInd w:val="0"/>
      <w:spacing w:before="24" w:line="288" w:lineRule="auto"/>
      <w:ind w:left="15"/>
      <w:jc w:val="left"/>
    </w:pPr>
    <w:rPr>
      <w:rFonts w:ascii="宋体" w:hAnsi="宋体"/>
      <w:kern w:val="0"/>
      <w:sz w:val="24"/>
      <w:szCs w:val="24"/>
    </w:rPr>
  </w:style>
  <w:style w:type="paragraph" w:customStyle="1" w:styleId="show">
    <w:name w:val="show"/>
    <w:basedOn w:val="a"/>
    <w:pPr>
      <w:widowControl/>
      <w:jc w:val="left"/>
    </w:pPr>
    <w:rPr>
      <w:rFonts w:ascii="宋体" w:hAnsi="宋体"/>
      <w:kern w:val="0"/>
      <w:sz w:val="24"/>
      <w:szCs w:val="24"/>
    </w:rPr>
  </w:style>
  <w:style w:type="paragraph" w:customStyle="1" w:styleId="dazhangjie">
    <w:name w:val="dazhangjie"/>
    <w:basedOn w:val="a"/>
    <w:pPr>
      <w:widowControl/>
      <w:autoSpaceDE w:val="0"/>
      <w:autoSpaceDN w:val="0"/>
      <w:adjustRightInd w:val="0"/>
      <w:spacing w:before="30" w:line="288" w:lineRule="auto"/>
      <w:ind w:left="15"/>
      <w:jc w:val="left"/>
      <w:outlineLvl w:val="0"/>
    </w:pPr>
    <w:rPr>
      <w:rFonts w:ascii="宋体" w:hAnsi="宋体"/>
      <w:kern w:val="0"/>
      <w:sz w:val="24"/>
      <w:szCs w:val="24"/>
    </w:rPr>
  </w:style>
  <w:style w:type="paragraph" w:customStyle="1" w:styleId="neirong">
    <w:name w:val="neirong"/>
    <w:basedOn w:val="a"/>
    <w:pPr>
      <w:widowControl/>
      <w:autoSpaceDE w:val="0"/>
      <w:autoSpaceDN w:val="0"/>
      <w:adjustRightInd w:val="0"/>
      <w:spacing w:before="29" w:line="360" w:lineRule="auto"/>
      <w:ind w:left="15"/>
      <w:jc w:val="left"/>
    </w:pPr>
    <w:rPr>
      <w:rFonts w:ascii="宋体" w:hAnsi="宋体"/>
      <w:kern w:val="0"/>
      <w:sz w:val="24"/>
      <w:szCs w:val="24"/>
    </w:rPr>
  </w:style>
  <w:style w:type="paragraph" w:customStyle="1" w:styleId="biaogeleft">
    <w:name w:val="biaoge_left"/>
    <w:basedOn w:val="a"/>
    <w:pPr>
      <w:widowControl/>
      <w:autoSpaceDE w:val="0"/>
      <w:autoSpaceDN w:val="0"/>
      <w:adjustRightInd w:val="0"/>
      <w:spacing w:before="29" w:line="288" w:lineRule="auto"/>
      <w:ind w:left="15"/>
      <w:jc w:val="left"/>
    </w:pPr>
    <w:rPr>
      <w:rFonts w:ascii="宋体" w:hAnsi="宋体"/>
      <w:kern w:val="0"/>
      <w:sz w:val="24"/>
      <w:szCs w:val="24"/>
    </w:rPr>
  </w:style>
  <w:style w:type="paragraph" w:styleId="a9">
    <w:name w:val="Revision"/>
    <w:uiPriority w:val="99"/>
    <w:unhideWhenUsed/>
    <w:rPr>
      <w:kern w:val="2"/>
      <w:sz w:val="21"/>
      <w:szCs w:val="22"/>
    </w:rPr>
  </w:style>
  <w:style w:type="paragraph" w:customStyle="1" w:styleId="-">
    <w:name w:val="模板-正文"/>
    <w:basedOn w:val="a6"/>
    <w:qFormat/>
    <w:pPr>
      <w:shd w:val="clear" w:color="auto" w:fill="FFFFFF"/>
      <w:snapToGrid w:val="0"/>
      <w:spacing w:before="0" w:beforeAutospacing="0" w:after="0" w:afterAutospacing="0" w:line="360" w:lineRule="auto"/>
      <w:ind w:firstLineChars="200" w:firstLine="200"/>
      <w:jc w:val="both"/>
    </w:pPr>
    <w:rPr>
      <w:color w:val="222222"/>
      <w:sz w:val="21"/>
      <w:szCs w:val="21"/>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260</Words>
  <Characters>1483</Characters>
  <Application>Microsoft Office Word</Application>
  <DocSecurity>4</DocSecurity>
  <Lines>12</Lines>
  <Paragraphs>3</Paragraphs>
  <ScaleCrop>false</ScaleCrop>
  <Manager/>
  <Company/>
  <LinksUpToDate>false</LinksUpToDate>
  <CharactersWithSpaces>1740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ZHONGM</cp:lastModifiedBy>
  <cp:revision>2</cp:revision>
  <cp:lastPrinted>1601-01-01T00:00:00Z</cp:lastPrinted>
  <dcterms:created xsi:type="dcterms:W3CDTF">2025-11-21T16:01:00Z</dcterms:created>
  <dcterms:modified xsi:type="dcterms:W3CDTF">2025-11-21T16:01:00Z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TJA">
    <vt:lpwstr>国泰君安证券股份有限公司*国泰海通证券资产管理公司：国泰海通中证1000优选股票型发起式证券投资基金分红公告，烦请于明天（2025年11月22日）发布，谢谢*zhanghaowen@gtht.com*lkl@ssnews.com.cn * *chengang5@gtht.com,liyan11@gtht.com *2025-11-21 18:22:28;</vt:lpwstr>
  </property>
  <property fmtid="{D5CDD505-2E9C-101B-9397-08002B2CF9AE}" pid="3" name="ICV">
    <vt:lpwstr>84ED656B24524AE58CBA506C3A9CC2E6</vt:lpwstr>
  </property>
  <property fmtid="{D5CDD505-2E9C-101B-9397-08002B2CF9AE}" pid="4" name="KSOProductBuildVer">
    <vt:lpwstr>2052-12.8.2.17134</vt:lpwstr>
  </property>
</Properties>
</file>