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3A0" w:rsidRDefault="009F53A0" w:rsidP="00941E13">
      <w:pPr>
        <w:spacing w:line="560" w:lineRule="exact"/>
        <w:jc w:val="center"/>
        <w:rPr>
          <w:rFonts w:ascii="黑体" w:eastAsia="黑体" w:hAnsi="Arial" w:cs="Arial"/>
          <w:b/>
          <w:color w:val="FF0000"/>
          <w:sz w:val="30"/>
          <w:szCs w:val="30"/>
        </w:rPr>
      </w:pPr>
      <w:r w:rsidRPr="009F53A0">
        <w:rPr>
          <w:rFonts w:ascii="黑体" w:eastAsia="黑体" w:hAnsi="Arial" w:cs="Arial" w:hint="eastAsia"/>
          <w:b/>
          <w:color w:val="FF0000"/>
          <w:sz w:val="30"/>
          <w:szCs w:val="30"/>
        </w:rPr>
        <w:t>嘉实</w:t>
      </w:r>
      <w:r w:rsidR="00DD7D18">
        <w:rPr>
          <w:rFonts w:ascii="黑体" w:eastAsia="黑体" w:hAnsi="Arial" w:cs="Arial" w:hint="eastAsia"/>
          <w:b/>
          <w:color w:val="FF0000"/>
          <w:sz w:val="30"/>
          <w:szCs w:val="30"/>
        </w:rPr>
        <w:t>中证5</w:t>
      </w:r>
      <w:r w:rsidRPr="009F53A0">
        <w:rPr>
          <w:rFonts w:ascii="黑体" w:eastAsia="黑体" w:hAnsi="Arial" w:cs="Arial" w:hint="eastAsia"/>
          <w:b/>
          <w:color w:val="FF0000"/>
          <w:sz w:val="30"/>
          <w:szCs w:val="30"/>
        </w:rPr>
        <w:t>00交易型开放式指数证券投资基金</w:t>
      </w:r>
    </w:p>
    <w:p w:rsidR="00941E13" w:rsidRPr="00FC584C" w:rsidRDefault="00BC395E" w:rsidP="00941E13">
      <w:pPr>
        <w:spacing w:line="560" w:lineRule="exact"/>
        <w:jc w:val="center"/>
        <w:rPr>
          <w:color w:val="000000"/>
          <w:sz w:val="30"/>
          <w:szCs w:val="30"/>
        </w:rPr>
      </w:pPr>
      <w:r>
        <w:rPr>
          <w:rFonts w:ascii="黑体" w:eastAsia="黑体" w:hAnsi="Arial" w:cs="Arial"/>
          <w:b/>
          <w:bCs/>
          <w:color w:val="FF0000"/>
          <w:sz w:val="30"/>
          <w:szCs w:val="30"/>
        </w:rPr>
        <w:t>202</w:t>
      </w:r>
      <w:r w:rsidR="00A24FC3">
        <w:rPr>
          <w:rFonts w:ascii="黑体" w:eastAsia="黑体" w:hAnsi="Arial" w:cs="Arial"/>
          <w:b/>
          <w:bCs/>
          <w:color w:val="FF0000"/>
          <w:sz w:val="30"/>
          <w:szCs w:val="30"/>
        </w:rPr>
        <w:t>5</w:t>
      </w:r>
      <w:r w:rsidR="00EC68A4" w:rsidRPr="00FC584C">
        <w:rPr>
          <w:rFonts w:ascii="黑体" w:eastAsia="黑体" w:hAnsi="Arial" w:cs="Arial" w:hint="eastAsia"/>
          <w:b/>
          <w:bCs/>
          <w:color w:val="FF0000"/>
          <w:sz w:val="30"/>
          <w:szCs w:val="30"/>
        </w:rPr>
        <w:t>年</w:t>
      </w:r>
      <w:r w:rsidR="005E6467">
        <w:rPr>
          <w:rFonts w:ascii="黑体" w:eastAsia="黑体" w:hAnsi="Arial" w:cs="Arial" w:hint="eastAsia"/>
          <w:b/>
          <w:bCs/>
          <w:color w:val="FF0000"/>
          <w:sz w:val="30"/>
          <w:szCs w:val="30"/>
        </w:rPr>
        <w:t>第</w:t>
      </w:r>
      <w:r w:rsidR="00BC705E">
        <w:rPr>
          <w:rFonts w:ascii="黑体" w:eastAsia="黑体" w:hAnsi="Arial" w:cs="Arial" w:hint="eastAsia"/>
          <w:b/>
          <w:bCs/>
          <w:color w:val="FF0000"/>
          <w:sz w:val="30"/>
          <w:szCs w:val="30"/>
        </w:rPr>
        <w:t>一</w:t>
      </w:r>
      <w:r w:rsidR="001A5E27">
        <w:rPr>
          <w:rFonts w:ascii="黑体" w:eastAsia="黑体" w:hAnsi="Arial" w:cs="Arial" w:hint="eastAsia"/>
          <w:b/>
          <w:bCs/>
          <w:color w:val="FF0000"/>
          <w:sz w:val="30"/>
          <w:szCs w:val="30"/>
        </w:rPr>
        <w:t>次</w:t>
      </w:r>
      <w:r w:rsidR="00EC68A4" w:rsidRPr="00FC584C">
        <w:rPr>
          <w:rFonts w:ascii="黑体" w:eastAsia="黑体" w:hAnsi="Arial" w:cs="Arial" w:hint="eastAsia"/>
          <w:b/>
          <w:bCs/>
          <w:color w:val="FF0000"/>
          <w:sz w:val="30"/>
          <w:szCs w:val="30"/>
        </w:rPr>
        <w:t>收益分配公告</w:t>
      </w:r>
    </w:p>
    <w:p w:rsidR="00941E13" w:rsidRPr="005A353A" w:rsidRDefault="00941E13" w:rsidP="00941E13">
      <w:pPr>
        <w:spacing w:line="560" w:lineRule="exact"/>
        <w:jc w:val="center"/>
        <w:rPr>
          <w:color w:val="000000"/>
          <w:sz w:val="24"/>
        </w:rPr>
      </w:pPr>
      <w:r w:rsidRPr="00CB7AA7">
        <w:rPr>
          <w:rFonts w:hint="eastAsia"/>
          <w:color w:val="000000"/>
          <w:sz w:val="24"/>
        </w:rPr>
        <w:t>公告送出日</w:t>
      </w:r>
      <w:r w:rsidRPr="007653EA">
        <w:rPr>
          <w:rFonts w:hint="eastAsia"/>
          <w:color w:val="000000"/>
          <w:sz w:val="24"/>
        </w:rPr>
        <w:t>期：</w:t>
      </w:r>
      <w:r w:rsidR="00C512AF" w:rsidRPr="007653EA">
        <w:rPr>
          <w:rFonts w:hint="eastAsia"/>
          <w:color w:val="000000"/>
          <w:sz w:val="24"/>
        </w:rPr>
        <w:t>20</w:t>
      </w:r>
      <w:r w:rsidR="00C512AF" w:rsidRPr="007653EA">
        <w:rPr>
          <w:color w:val="000000"/>
          <w:sz w:val="24"/>
        </w:rPr>
        <w:t>2</w:t>
      </w:r>
      <w:r w:rsidR="00A24FC3">
        <w:rPr>
          <w:color w:val="000000"/>
          <w:sz w:val="24"/>
        </w:rPr>
        <w:t>5</w:t>
      </w:r>
      <w:r w:rsidR="00C512AF" w:rsidRPr="007653EA">
        <w:rPr>
          <w:rFonts w:hint="eastAsia"/>
          <w:color w:val="000000"/>
          <w:sz w:val="24"/>
        </w:rPr>
        <w:t>年</w:t>
      </w:r>
      <w:r w:rsidR="00A24FC3">
        <w:rPr>
          <w:color w:val="000000"/>
          <w:sz w:val="24"/>
        </w:rPr>
        <w:t>11</w:t>
      </w:r>
      <w:r w:rsidR="00C512AF" w:rsidRPr="007653EA">
        <w:rPr>
          <w:rFonts w:hint="eastAsia"/>
          <w:color w:val="000000"/>
          <w:sz w:val="24"/>
        </w:rPr>
        <w:t>月</w:t>
      </w:r>
      <w:r w:rsidR="00A24FC3">
        <w:rPr>
          <w:color w:val="000000"/>
          <w:sz w:val="24"/>
        </w:rPr>
        <w:t>22</w:t>
      </w:r>
      <w:r w:rsidR="00BC705E" w:rsidRPr="007653EA">
        <w:rPr>
          <w:rFonts w:hint="eastAsia"/>
          <w:color w:val="000000"/>
          <w:sz w:val="24"/>
        </w:rPr>
        <w:t>日</w:t>
      </w:r>
    </w:p>
    <w:p w:rsidR="00941E13" w:rsidRPr="005A353A" w:rsidRDefault="00941E13" w:rsidP="00941E13">
      <w:pPr>
        <w:pStyle w:val="2"/>
        <w:spacing w:line="560" w:lineRule="exact"/>
        <w:rPr>
          <w:rFonts w:ascii="Times New Roman" w:eastAsia="方正仿宋简体" w:hAnsi="Times New Roman"/>
          <w:bCs w:val="0"/>
          <w:color w:val="000000"/>
          <w:sz w:val="24"/>
          <w:szCs w:val="24"/>
        </w:rPr>
      </w:pPr>
      <w:bookmarkStart w:id="0" w:name="_Toc275961418"/>
      <w:r w:rsidRPr="005A353A">
        <w:rPr>
          <w:rFonts w:ascii="Times New Roman" w:eastAsia="方正仿宋简体" w:hAnsi="Times New Roman"/>
          <w:bCs w:val="0"/>
          <w:color w:val="000000"/>
          <w:sz w:val="24"/>
          <w:szCs w:val="24"/>
        </w:rPr>
        <w:t xml:space="preserve">1 </w:t>
      </w:r>
      <w:r w:rsidRPr="005A353A">
        <w:rPr>
          <w:rFonts w:ascii="Times New Roman" w:eastAsia="方正仿宋简体" w:hAnsi="Times New Roman" w:hint="eastAsia"/>
          <w:bCs w:val="0"/>
          <w:color w:val="000000"/>
          <w:sz w:val="24"/>
          <w:szCs w:val="24"/>
        </w:rPr>
        <w:t>公告基本信息</w:t>
      </w:r>
      <w:bookmarkEnd w:id="0"/>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1"/>
        <w:gridCol w:w="3167"/>
        <w:gridCol w:w="2395"/>
      </w:tblGrid>
      <w:tr w:rsidR="000C4D4F" w:rsidRPr="005A353A" w:rsidTr="008C3A4F">
        <w:trPr>
          <w:jc w:val="center"/>
        </w:trPr>
        <w:tc>
          <w:tcPr>
            <w:tcW w:w="3681" w:type="dxa"/>
            <w:tcBorders>
              <w:top w:val="single" w:sz="4" w:space="0" w:color="auto"/>
              <w:left w:val="single" w:sz="4" w:space="0" w:color="auto"/>
              <w:bottom w:val="single" w:sz="4" w:space="0" w:color="auto"/>
              <w:right w:val="single" w:sz="4" w:space="0" w:color="auto"/>
            </w:tcBorders>
            <w:hideMark/>
          </w:tcPr>
          <w:p w:rsidR="000C4D4F" w:rsidRPr="005A353A" w:rsidRDefault="000C4D4F" w:rsidP="00152D8D">
            <w:pPr>
              <w:spacing w:line="276" w:lineRule="auto"/>
              <w:rPr>
                <w:color w:val="000000"/>
                <w:sz w:val="24"/>
              </w:rPr>
            </w:pPr>
            <w:bookmarkStart w:id="1" w:name="_Toc275961419"/>
            <w:r w:rsidRPr="005A353A">
              <w:rPr>
                <w:rFonts w:hint="eastAsia"/>
                <w:color w:val="000000"/>
                <w:sz w:val="24"/>
              </w:rPr>
              <w:t>基金名称</w:t>
            </w:r>
          </w:p>
        </w:tc>
        <w:tc>
          <w:tcPr>
            <w:tcW w:w="5562" w:type="dxa"/>
            <w:gridSpan w:val="2"/>
            <w:tcBorders>
              <w:top w:val="single" w:sz="4" w:space="0" w:color="auto"/>
              <w:left w:val="single" w:sz="4" w:space="0" w:color="auto"/>
              <w:bottom w:val="single" w:sz="4" w:space="0" w:color="auto"/>
              <w:right w:val="single" w:sz="4" w:space="0" w:color="auto"/>
            </w:tcBorders>
            <w:hideMark/>
          </w:tcPr>
          <w:p w:rsidR="000C4D4F" w:rsidRPr="005A353A" w:rsidRDefault="008C3A4F" w:rsidP="008C3A4F">
            <w:pPr>
              <w:spacing w:line="276" w:lineRule="auto"/>
              <w:rPr>
                <w:color w:val="000000"/>
                <w:sz w:val="24"/>
              </w:rPr>
            </w:pPr>
            <w:r w:rsidRPr="008C3A4F">
              <w:rPr>
                <w:rFonts w:hint="eastAsia"/>
                <w:color w:val="000000"/>
                <w:sz w:val="24"/>
              </w:rPr>
              <w:t>嘉实</w:t>
            </w:r>
            <w:r w:rsidR="00DD7D18">
              <w:rPr>
                <w:rFonts w:hint="eastAsia"/>
                <w:color w:val="000000"/>
                <w:sz w:val="24"/>
              </w:rPr>
              <w:t>中证</w:t>
            </w:r>
            <w:r w:rsidR="00DD7D18">
              <w:rPr>
                <w:rFonts w:hint="eastAsia"/>
                <w:color w:val="000000"/>
                <w:sz w:val="24"/>
              </w:rPr>
              <w:t>5</w:t>
            </w:r>
            <w:r w:rsidRPr="008C3A4F">
              <w:rPr>
                <w:rFonts w:hint="eastAsia"/>
                <w:color w:val="000000"/>
                <w:sz w:val="24"/>
              </w:rPr>
              <w:t>00</w:t>
            </w:r>
            <w:r w:rsidRPr="008C3A4F">
              <w:rPr>
                <w:rFonts w:hint="eastAsia"/>
                <w:color w:val="000000"/>
                <w:sz w:val="24"/>
              </w:rPr>
              <w:t>交易型开放式指数证券投资基金</w:t>
            </w:r>
          </w:p>
        </w:tc>
      </w:tr>
      <w:tr w:rsidR="000C4D4F" w:rsidRPr="005A353A" w:rsidTr="008C3A4F">
        <w:trPr>
          <w:jc w:val="center"/>
        </w:trPr>
        <w:tc>
          <w:tcPr>
            <w:tcW w:w="3681" w:type="dxa"/>
            <w:tcBorders>
              <w:top w:val="single" w:sz="4" w:space="0" w:color="auto"/>
              <w:left w:val="single" w:sz="4" w:space="0" w:color="auto"/>
              <w:bottom w:val="single" w:sz="4" w:space="0" w:color="auto"/>
              <w:right w:val="single" w:sz="4" w:space="0" w:color="auto"/>
            </w:tcBorders>
            <w:hideMark/>
          </w:tcPr>
          <w:p w:rsidR="000C4D4F" w:rsidRPr="005A353A" w:rsidRDefault="000C4D4F" w:rsidP="00152D8D">
            <w:pPr>
              <w:spacing w:line="276" w:lineRule="auto"/>
              <w:rPr>
                <w:color w:val="000000"/>
                <w:sz w:val="24"/>
              </w:rPr>
            </w:pPr>
            <w:r w:rsidRPr="005A353A">
              <w:rPr>
                <w:rFonts w:hint="eastAsia"/>
                <w:color w:val="000000"/>
                <w:sz w:val="24"/>
              </w:rPr>
              <w:t>基金简称</w:t>
            </w:r>
          </w:p>
        </w:tc>
        <w:tc>
          <w:tcPr>
            <w:tcW w:w="5562" w:type="dxa"/>
            <w:gridSpan w:val="2"/>
            <w:tcBorders>
              <w:top w:val="single" w:sz="4" w:space="0" w:color="auto"/>
              <w:left w:val="single" w:sz="4" w:space="0" w:color="auto"/>
              <w:bottom w:val="single" w:sz="4" w:space="0" w:color="auto"/>
              <w:right w:val="single" w:sz="4" w:space="0" w:color="auto"/>
            </w:tcBorders>
            <w:hideMark/>
          </w:tcPr>
          <w:p w:rsidR="000C4D4F" w:rsidRPr="005A353A" w:rsidRDefault="008C3A4F" w:rsidP="004C69C2">
            <w:pPr>
              <w:spacing w:line="276" w:lineRule="auto"/>
              <w:rPr>
                <w:color w:val="000000"/>
                <w:sz w:val="24"/>
              </w:rPr>
            </w:pPr>
            <w:r w:rsidRPr="008C3A4F">
              <w:rPr>
                <w:rFonts w:hint="eastAsia"/>
                <w:color w:val="000000"/>
                <w:sz w:val="24"/>
              </w:rPr>
              <w:t>嘉实</w:t>
            </w:r>
            <w:r w:rsidR="00DD7D18">
              <w:rPr>
                <w:rFonts w:hint="eastAsia"/>
                <w:color w:val="000000"/>
                <w:sz w:val="24"/>
              </w:rPr>
              <w:t>中证</w:t>
            </w:r>
            <w:r w:rsidR="00DD7D18">
              <w:rPr>
                <w:rFonts w:hint="eastAsia"/>
                <w:color w:val="000000"/>
                <w:sz w:val="24"/>
              </w:rPr>
              <w:t>5</w:t>
            </w:r>
            <w:r w:rsidRPr="008C3A4F">
              <w:rPr>
                <w:rFonts w:hint="eastAsia"/>
                <w:color w:val="000000"/>
                <w:sz w:val="24"/>
              </w:rPr>
              <w:t>00ETF</w:t>
            </w:r>
          </w:p>
        </w:tc>
      </w:tr>
      <w:tr w:rsidR="004C69C2" w:rsidRPr="005A353A" w:rsidTr="008C3A4F">
        <w:trPr>
          <w:jc w:val="center"/>
        </w:trPr>
        <w:tc>
          <w:tcPr>
            <w:tcW w:w="3681" w:type="dxa"/>
            <w:tcBorders>
              <w:top w:val="single" w:sz="4" w:space="0" w:color="auto"/>
              <w:left w:val="single" w:sz="4" w:space="0" w:color="auto"/>
              <w:bottom w:val="single" w:sz="4" w:space="0" w:color="auto"/>
              <w:right w:val="single" w:sz="4" w:space="0" w:color="auto"/>
            </w:tcBorders>
          </w:tcPr>
          <w:p w:rsidR="004C69C2" w:rsidRPr="005A353A" w:rsidRDefault="004C69C2" w:rsidP="00152D8D">
            <w:pPr>
              <w:spacing w:line="276" w:lineRule="auto"/>
              <w:rPr>
                <w:color w:val="000000"/>
                <w:sz w:val="24"/>
              </w:rPr>
            </w:pPr>
            <w:r w:rsidRPr="005A353A">
              <w:rPr>
                <w:rFonts w:hint="eastAsia"/>
                <w:color w:val="000000"/>
                <w:sz w:val="24"/>
              </w:rPr>
              <w:t>基金</w:t>
            </w:r>
            <w:r>
              <w:rPr>
                <w:rFonts w:hint="eastAsia"/>
                <w:color w:val="000000"/>
                <w:sz w:val="24"/>
              </w:rPr>
              <w:t>场内</w:t>
            </w:r>
            <w:r w:rsidRPr="005A353A">
              <w:rPr>
                <w:rFonts w:hint="eastAsia"/>
                <w:color w:val="000000"/>
                <w:sz w:val="24"/>
              </w:rPr>
              <w:t>简称</w:t>
            </w:r>
          </w:p>
        </w:tc>
        <w:tc>
          <w:tcPr>
            <w:tcW w:w="5562" w:type="dxa"/>
            <w:gridSpan w:val="2"/>
            <w:tcBorders>
              <w:top w:val="single" w:sz="4" w:space="0" w:color="auto"/>
              <w:left w:val="single" w:sz="4" w:space="0" w:color="auto"/>
              <w:bottom w:val="single" w:sz="4" w:space="0" w:color="auto"/>
              <w:right w:val="single" w:sz="4" w:space="0" w:color="auto"/>
            </w:tcBorders>
          </w:tcPr>
          <w:p w:rsidR="004C69C2" w:rsidRPr="008C3A4F" w:rsidRDefault="00DD7D18" w:rsidP="008C3A4F">
            <w:pPr>
              <w:spacing w:line="276" w:lineRule="auto"/>
              <w:rPr>
                <w:color w:val="000000"/>
                <w:sz w:val="24"/>
              </w:rPr>
            </w:pPr>
            <w:r>
              <w:rPr>
                <w:rFonts w:hint="eastAsia"/>
                <w:color w:val="000000"/>
                <w:sz w:val="24"/>
              </w:rPr>
              <w:t>中证</w:t>
            </w:r>
            <w:r>
              <w:rPr>
                <w:rFonts w:hint="eastAsia"/>
                <w:color w:val="000000"/>
                <w:sz w:val="24"/>
              </w:rPr>
              <w:t>5</w:t>
            </w:r>
            <w:r w:rsidR="00692AC8">
              <w:rPr>
                <w:color w:val="000000"/>
                <w:sz w:val="24"/>
              </w:rPr>
              <w:t>00ETF</w:t>
            </w:r>
          </w:p>
        </w:tc>
      </w:tr>
      <w:tr w:rsidR="000C4D4F" w:rsidRPr="005A353A" w:rsidTr="008C3A4F">
        <w:trPr>
          <w:jc w:val="center"/>
        </w:trPr>
        <w:tc>
          <w:tcPr>
            <w:tcW w:w="3681" w:type="dxa"/>
            <w:tcBorders>
              <w:top w:val="single" w:sz="4" w:space="0" w:color="auto"/>
              <w:left w:val="single" w:sz="4" w:space="0" w:color="auto"/>
              <w:bottom w:val="single" w:sz="4" w:space="0" w:color="auto"/>
              <w:right w:val="single" w:sz="4" w:space="0" w:color="auto"/>
            </w:tcBorders>
            <w:hideMark/>
          </w:tcPr>
          <w:p w:rsidR="000C4D4F" w:rsidRPr="005A353A" w:rsidRDefault="000C4D4F" w:rsidP="00152D8D">
            <w:pPr>
              <w:spacing w:line="276" w:lineRule="auto"/>
              <w:rPr>
                <w:color w:val="000000"/>
                <w:sz w:val="24"/>
              </w:rPr>
            </w:pPr>
            <w:r w:rsidRPr="005A353A">
              <w:rPr>
                <w:rFonts w:hint="eastAsia"/>
                <w:color w:val="000000"/>
                <w:sz w:val="24"/>
              </w:rPr>
              <w:t>基金主代码</w:t>
            </w:r>
          </w:p>
        </w:tc>
        <w:tc>
          <w:tcPr>
            <w:tcW w:w="5562" w:type="dxa"/>
            <w:gridSpan w:val="2"/>
            <w:tcBorders>
              <w:top w:val="single" w:sz="4" w:space="0" w:color="auto"/>
              <w:left w:val="single" w:sz="4" w:space="0" w:color="auto"/>
              <w:bottom w:val="single" w:sz="4" w:space="0" w:color="auto"/>
              <w:right w:val="single" w:sz="4" w:space="0" w:color="auto"/>
            </w:tcBorders>
            <w:hideMark/>
          </w:tcPr>
          <w:p w:rsidR="000C4D4F" w:rsidRPr="005A353A" w:rsidRDefault="00DD7D18" w:rsidP="00152D8D">
            <w:pPr>
              <w:spacing w:line="276" w:lineRule="auto"/>
              <w:rPr>
                <w:color w:val="000000"/>
                <w:sz w:val="24"/>
              </w:rPr>
            </w:pPr>
            <w:r>
              <w:rPr>
                <w:color w:val="000000"/>
                <w:sz w:val="24"/>
              </w:rPr>
              <w:t>159922</w:t>
            </w:r>
          </w:p>
        </w:tc>
      </w:tr>
      <w:tr w:rsidR="000C4D4F" w:rsidRPr="005A353A" w:rsidTr="008C3A4F">
        <w:trPr>
          <w:jc w:val="center"/>
        </w:trPr>
        <w:tc>
          <w:tcPr>
            <w:tcW w:w="3681" w:type="dxa"/>
            <w:tcBorders>
              <w:top w:val="single" w:sz="4" w:space="0" w:color="auto"/>
              <w:left w:val="single" w:sz="4" w:space="0" w:color="auto"/>
              <w:bottom w:val="single" w:sz="4" w:space="0" w:color="auto"/>
              <w:right w:val="single" w:sz="4" w:space="0" w:color="auto"/>
            </w:tcBorders>
            <w:hideMark/>
          </w:tcPr>
          <w:p w:rsidR="000C4D4F" w:rsidRPr="005A353A" w:rsidRDefault="000C4D4F" w:rsidP="00152D8D">
            <w:pPr>
              <w:spacing w:line="276" w:lineRule="auto"/>
              <w:rPr>
                <w:color w:val="000000"/>
                <w:sz w:val="24"/>
              </w:rPr>
            </w:pPr>
            <w:r w:rsidRPr="005A353A">
              <w:rPr>
                <w:rFonts w:hint="eastAsia"/>
                <w:color w:val="000000"/>
                <w:sz w:val="24"/>
              </w:rPr>
              <w:t>基金合同生效日</w:t>
            </w:r>
          </w:p>
        </w:tc>
        <w:tc>
          <w:tcPr>
            <w:tcW w:w="5562" w:type="dxa"/>
            <w:gridSpan w:val="2"/>
            <w:tcBorders>
              <w:top w:val="single" w:sz="4" w:space="0" w:color="auto"/>
              <w:left w:val="single" w:sz="4" w:space="0" w:color="auto"/>
              <w:bottom w:val="single" w:sz="4" w:space="0" w:color="auto"/>
              <w:right w:val="single" w:sz="4" w:space="0" w:color="auto"/>
            </w:tcBorders>
            <w:hideMark/>
          </w:tcPr>
          <w:p w:rsidR="000C4D4F" w:rsidRPr="005A353A" w:rsidRDefault="00DD7D18" w:rsidP="000C4D4F">
            <w:pPr>
              <w:spacing w:line="276" w:lineRule="auto"/>
              <w:rPr>
                <w:color w:val="000000"/>
                <w:sz w:val="24"/>
              </w:rPr>
            </w:pPr>
            <w:r>
              <w:rPr>
                <w:rFonts w:hint="eastAsia"/>
                <w:color w:val="000000"/>
                <w:sz w:val="24"/>
              </w:rPr>
              <w:t>20</w:t>
            </w:r>
            <w:r>
              <w:rPr>
                <w:color w:val="000000"/>
                <w:sz w:val="24"/>
              </w:rPr>
              <w:t>13</w:t>
            </w:r>
            <w:r w:rsidR="008C3A4F" w:rsidRPr="008C3A4F">
              <w:rPr>
                <w:rFonts w:hint="eastAsia"/>
                <w:color w:val="000000"/>
                <w:sz w:val="24"/>
              </w:rPr>
              <w:t>年</w:t>
            </w:r>
            <w:r>
              <w:rPr>
                <w:color w:val="000000"/>
                <w:sz w:val="24"/>
              </w:rPr>
              <w:t>2</w:t>
            </w:r>
            <w:r w:rsidR="008C3A4F" w:rsidRPr="008C3A4F">
              <w:rPr>
                <w:rFonts w:hint="eastAsia"/>
                <w:color w:val="000000"/>
                <w:sz w:val="24"/>
              </w:rPr>
              <w:t>月</w:t>
            </w:r>
            <w:r>
              <w:rPr>
                <w:color w:val="000000"/>
                <w:sz w:val="24"/>
              </w:rPr>
              <w:t>6</w:t>
            </w:r>
            <w:r w:rsidR="008C3A4F" w:rsidRPr="008C3A4F">
              <w:rPr>
                <w:rFonts w:hint="eastAsia"/>
                <w:color w:val="000000"/>
                <w:sz w:val="24"/>
              </w:rPr>
              <w:t>日</w:t>
            </w:r>
          </w:p>
        </w:tc>
      </w:tr>
      <w:tr w:rsidR="000C4D4F" w:rsidRPr="008466B8" w:rsidTr="008C3A4F">
        <w:trPr>
          <w:jc w:val="center"/>
        </w:trPr>
        <w:tc>
          <w:tcPr>
            <w:tcW w:w="3681" w:type="dxa"/>
            <w:tcBorders>
              <w:top w:val="single" w:sz="4" w:space="0" w:color="auto"/>
              <w:left w:val="single" w:sz="4" w:space="0" w:color="auto"/>
              <w:bottom w:val="single" w:sz="4" w:space="0" w:color="auto"/>
              <w:right w:val="single" w:sz="4" w:space="0" w:color="auto"/>
            </w:tcBorders>
            <w:hideMark/>
          </w:tcPr>
          <w:p w:rsidR="000C4D4F" w:rsidRPr="005A353A" w:rsidRDefault="000C4D4F" w:rsidP="00152D8D">
            <w:pPr>
              <w:spacing w:line="276" w:lineRule="auto"/>
              <w:rPr>
                <w:color w:val="000000"/>
                <w:sz w:val="24"/>
              </w:rPr>
            </w:pPr>
            <w:r w:rsidRPr="005A353A">
              <w:rPr>
                <w:rFonts w:hint="eastAsia"/>
                <w:color w:val="000000"/>
                <w:sz w:val="24"/>
              </w:rPr>
              <w:t>基金管理人名称</w:t>
            </w:r>
          </w:p>
        </w:tc>
        <w:tc>
          <w:tcPr>
            <w:tcW w:w="5562" w:type="dxa"/>
            <w:gridSpan w:val="2"/>
            <w:tcBorders>
              <w:top w:val="single" w:sz="4" w:space="0" w:color="auto"/>
              <w:left w:val="single" w:sz="4" w:space="0" w:color="auto"/>
              <w:bottom w:val="single" w:sz="4" w:space="0" w:color="auto"/>
              <w:right w:val="single" w:sz="4" w:space="0" w:color="auto"/>
            </w:tcBorders>
            <w:hideMark/>
          </w:tcPr>
          <w:p w:rsidR="000C4D4F" w:rsidRPr="005A353A" w:rsidRDefault="000C4D4F" w:rsidP="00152D8D">
            <w:pPr>
              <w:spacing w:line="276" w:lineRule="auto"/>
              <w:rPr>
                <w:color w:val="000000"/>
                <w:sz w:val="24"/>
              </w:rPr>
            </w:pPr>
            <w:r w:rsidRPr="005A353A">
              <w:rPr>
                <w:rFonts w:hint="eastAsia"/>
                <w:color w:val="000000"/>
                <w:sz w:val="24"/>
              </w:rPr>
              <w:t>嘉实基金管理有限公司</w:t>
            </w:r>
          </w:p>
        </w:tc>
      </w:tr>
      <w:tr w:rsidR="000C4D4F" w:rsidRPr="005A353A" w:rsidTr="008C3A4F">
        <w:trPr>
          <w:jc w:val="center"/>
        </w:trPr>
        <w:tc>
          <w:tcPr>
            <w:tcW w:w="3681" w:type="dxa"/>
            <w:tcBorders>
              <w:top w:val="single" w:sz="4" w:space="0" w:color="auto"/>
              <w:left w:val="single" w:sz="4" w:space="0" w:color="auto"/>
              <w:bottom w:val="single" w:sz="4" w:space="0" w:color="auto"/>
              <w:right w:val="single" w:sz="4" w:space="0" w:color="auto"/>
            </w:tcBorders>
            <w:hideMark/>
          </w:tcPr>
          <w:p w:rsidR="000C4D4F" w:rsidRPr="005A353A" w:rsidRDefault="000C4D4F" w:rsidP="00152D8D">
            <w:pPr>
              <w:spacing w:line="276" w:lineRule="auto"/>
              <w:rPr>
                <w:color w:val="000000"/>
                <w:sz w:val="24"/>
              </w:rPr>
            </w:pPr>
            <w:r w:rsidRPr="005A353A">
              <w:rPr>
                <w:rFonts w:hint="eastAsia"/>
                <w:color w:val="000000"/>
                <w:sz w:val="24"/>
              </w:rPr>
              <w:t>基金托管人名称</w:t>
            </w:r>
          </w:p>
        </w:tc>
        <w:tc>
          <w:tcPr>
            <w:tcW w:w="5562" w:type="dxa"/>
            <w:gridSpan w:val="2"/>
            <w:tcBorders>
              <w:top w:val="single" w:sz="4" w:space="0" w:color="auto"/>
              <w:left w:val="single" w:sz="4" w:space="0" w:color="auto"/>
              <w:bottom w:val="single" w:sz="4" w:space="0" w:color="auto"/>
              <w:right w:val="single" w:sz="4" w:space="0" w:color="auto"/>
            </w:tcBorders>
            <w:hideMark/>
          </w:tcPr>
          <w:p w:rsidR="000C4D4F" w:rsidRPr="005A353A" w:rsidRDefault="003A17ED" w:rsidP="00152D8D">
            <w:pPr>
              <w:spacing w:line="276" w:lineRule="auto"/>
              <w:rPr>
                <w:color w:val="000000"/>
                <w:sz w:val="24"/>
              </w:rPr>
            </w:pPr>
            <w:r w:rsidRPr="003A17ED">
              <w:rPr>
                <w:rFonts w:hint="eastAsia"/>
                <w:color w:val="000000"/>
                <w:sz w:val="24"/>
              </w:rPr>
              <w:t>中国</w:t>
            </w:r>
            <w:r w:rsidR="00DD7D18">
              <w:rPr>
                <w:rFonts w:hint="eastAsia"/>
                <w:color w:val="000000"/>
                <w:sz w:val="24"/>
              </w:rPr>
              <w:t>建设</w:t>
            </w:r>
            <w:r w:rsidRPr="003A17ED">
              <w:rPr>
                <w:rFonts w:hint="eastAsia"/>
                <w:color w:val="000000"/>
                <w:sz w:val="24"/>
              </w:rPr>
              <w:t>银行股份有限公司</w:t>
            </w:r>
          </w:p>
        </w:tc>
      </w:tr>
      <w:tr w:rsidR="000C4D4F" w:rsidRPr="005A353A" w:rsidTr="008C3A4F">
        <w:trPr>
          <w:trHeight w:val="826"/>
          <w:jc w:val="center"/>
        </w:trPr>
        <w:tc>
          <w:tcPr>
            <w:tcW w:w="3681" w:type="dxa"/>
            <w:tcBorders>
              <w:top w:val="single" w:sz="4" w:space="0" w:color="auto"/>
              <w:left w:val="single" w:sz="4" w:space="0" w:color="auto"/>
              <w:bottom w:val="single" w:sz="4" w:space="0" w:color="auto"/>
              <w:right w:val="single" w:sz="4" w:space="0" w:color="auto"/>
            </w:tcBorders>
            <w:hideMark/>
          </w:tcPr>
          <w:p w:rsidR="000C4D4F" w:rsidRPr="005A353A" w:rsidRDefault="000C4D4F" w:rsidP="00152D8D">
            <w:pPr>
              <w:spacing w:line="276" w:lineRule="auto"/>
              <w:rPr>
                <w:color w:val="000000"/>
                <w:sz w:val="24"/>
              </w:rPr>
            </w:pPr>
            <w:r w:rsidRPr="005A353A">
              <w:rPr>
                <w:rFonts w:hint="eastAsia"/>
                <w:color w:val="000000"/>
                <w:sz w:val="24"/>
              </w:rPr>
              <w:t>公告依据</w:t>
            </w:r>
          </w:p>
        </w:tc>
        <w:tc>
          <w:tcPr>
            <w:tcW w:w="5562" w:type="dxa"/>
            <w:gridSpan w:val="2"/>
            <w:tcBorders>
              <w:top w:val="single" w:sz="4" w:space="0" w:color="auto"/>
              <w:left w:val="single" w:sz="4" w:space="0" w:color="auto"/>
              <w:bottom w:val="single" w:sz="4" w:space="0" w:color="auto"/>
              <w:right w:val="single" w:sz="4" w:space="0" w:color="auto"/>
            </w:tcBorders>
            <w:hideMark/>
          </w:tcPr>
          <w:p w:rsidR="000C4D4F" w:rsidRPr="005A353A" w:rsidRDefault="000C4D4F" w:rsidP="00C25BBC">
            <w:pPr>
              <w:spacing w:line="276" w:lineRule="auto"/>
              <w:rPr>
                <w:color w:val="000000"/>
                <w:sz w:val="24"/>
              </w:rPr>
            </w:pPr>
            <w:r w:rsidRPr="005A353A">
              <w:rPr>
                <w:rFonts w:hint="eastAsia"/>
                <w:color w:val="000000"/>
                <w:sz w:val="24"/>
              </w:rPr>
              <w:t>《</w:t>
            </w:r>
            <w:r>
              <w:rPr>
                <w:rFonts w:hint="eastAsia"/>
                <w:color w:val="000000"/>
                <w:sz w:val="24"/>
              </w:rPr>
              <w:t>公开募集</w:t>
            </w:r>
            <w:r w:rsidRPr="005A353A">
              <w:rPr>
                <w:rFonts w:hint="eastAsia"/>
                <w:color w:val="000000"/>
                <w:sz w:val="24"/>
              </w:rPr>
              <w:t>证券投资基金信息披露管理办法》、《</w:t>
            </w:r>
            <w:r w:rsidR="009F53A0" w:rsidRPr="009F53A0">
              <w:rPr>
                <w:rFonts w:hint="eastAsia"/>
                <w:color w:val="000000"/>
                <w:sz w:val="24"/>
              </w:rPr>
              <w:t>嘉实</w:t>
            </w:r>
            <w:r w:rsidR="00DD7D18">
              <w:rPr>
                <w:rFonts w:hint="eastAsia"/>
                <w:color w:val="000000"/>
                <w:sz w:val="24"/>
              </w:rPr>
              <w:t>中证</w:t>
            </w:r>
            <w:r w:rsidR="00DD7D18">
              <w:rPr>
                <w:rFonts w:hint="eastAsia"/>
                <w:color w:val="000000"/>
                <w:sz w:val="24"/>
              </w:rPr>
              <w:t>5</w:t>
            </w:r>
            <w:r w:rsidR="009F53A0" w:rsidRPr="009F53A0">
              <w:rPr>
                <w:rFonts w:hint="eastAsia"/>
                <w:color w:val="000000"/>
                <w:sz w:val="24"/>
              </w:rPr>
              <w:t>00</w:t>
            </w:r>
            <w:r w:rsidR="009F53A0" w:rsidRPr="009F53A0">
              <w:rPr>
                <w:rFonts w:hint="eastAsia"/>
                <w:color w:val="000000"/>
                <w:sz w:val="24"/>
              </w:rPr>
              <w:t>交易型开放式指数证券投资基金</w:t>
            </w:r>
            <w:r w:rsidRPr="005A353A">
              <w:rPr>
                <w:rFonts w:hint="eastAsia"/>
                <w:color w:val="000000"/>
                <w:sz w:val="24"/>
              </w:rPr>
              <w:t>基金合同》、《</w:t>
            </w:r>
            <w:r w:rsidR="009F53A0" w:rsidRPr="009F53A0">
              <w:rPr>
                <w:rFonts w:hint="eastAsia"/>
                <w:color w:val="000000"/>
                <w:sz w:val="24"/>
              </w:rPr>
              <w:t>嘉实</w:t>
            </w:r>
            <w:r w:rsidR="00DD7D18">
              <w:rPr>
                <w:rFonts w:hint="eastAsia"/>
                <w:color w:val="000000"/>
                <w:sz w:val="24"/>
              </w:rPr>
              <w:t>中证</w:t>
            </w:r>
            <w:r w:rsidR="00DD7D18">
              <w:rPr>
                <w:rFonts w:hint="eastAsia"/>
                <w:color w:val="000000"/>
                <w:sz w:val="24"/>
              </w:rPr>
              <w:t>5</w:t>
            </w:r>
            <w:r w:rsidR="009F53A0" w:rsidRPr="009F53A0">
              <w:rPr>
                <w:rFonts w:hint="eastAsia"/>
                <w:color w:val="000000"/>
                <w:sz w:val="24"/>
              </w:rPr>
              <w:t>00</w:t>
            </w:r>
            <w:r w:rsidR="009F53A0" w:rsidRPr="009F53A0">
              <w:rPr>
                <w:rFonts w:hint="eastAsia"/>
                <w:color w:val="000000"/>
                <w:sz w:val="24"/>
              </w:rPr>
              <w:t>交易型开放式指数证券投资基金</w:t>
            </w:r>
            <w:r w:rsidRPr="005A353A">
              <w:rPr>
                <w:rFonts w:hint="eastAsia"/>
                <w:color w:val="000000"/>
                <w:sz w:val="24"/>
              </w:rPr>
              <w:t>招募说明书》</w:t>
            </w:r>
            <w:r w:rsidR="00C25BBC">
              <w:rPr>
                <w:rFonts w:hint="eastAsia"/>
                <w:color w:val="000000"/>
                <w:sz w:val="24"/>
              </w:rPr>
              <w:t>及其更新</w:t>
            </w:r>
            <w:r w:rsidRPr="005A353A">
              <w:rPr>
                <w:rFonts w:hint="eastAsia"/>
                <w:color w:val="000000"/>
                <w:sz w:val="24"/>
              </w:rPr>
              <w:t>等。</w:t>
            </w:r>
          </w:p>
        </w:tc>
      </w:tr>
      <w:tr w:rsidR="000C4D4F" w:rsidRPr="005A353A" w:rsidTr="008C3A4F">
        <w:trPr>
          <w:jc w:val="center"/>
        </w:trPr>
        <w:tc>
          <w:tcPr>
            <w:tcW w:w="3681" w:type="dxa"/>
            <w:tcBorders>
              <w:top w:val="single" w:sz="4" w:space="0" w:color="auto"/>
              <w:left w:val="single" w:sz="4" w:space="0" w:color="auto"/>
              <w:bottom w:val="single" w:sz="4" w:space="0" w:color="auto"/>
              <w:right w:val="single" w:sz="4" w:space="0" w:color="auto"/>
            </w:tcBorders>
            <w:hideMark/>
          </w:tcPr>
          <w:p w:rsidR="000C4D4F" w:rsidRPr="007653EA" w:rsidRDefault="000C4D4F" w:rsidP="00152D8D">
            <w:pPr>
              <w:spacing w:line="276" w:lineRule="auto"/>
              <w:rPr>
                <w:color w:val="000000"/>
                <w:sz w:val="24"/>
              </w:rPr>
            </w:pPr>
            <w:r w:rsidRPr="007653EA">
              <w:rPr>
                <w:rFonts w:hint="eastAsia"/>
                <w:color w:val="000000"/>
                <w:sz w:val="24"/>
              </w:rPr>
              <w:t>收益分配基准日</w:t>
            </w:r>
          </w:p>
        </w:tc>
        <w:tc>
          <w:tcPr>
            <w:tcW w:w="5562" w:type="dxa"/>
            <w:gridSpan w:val="2"/>
            <w:tcBorders>
              <w:top w:val="single" w:sz="4" w:space="0" w:color="auto"/>
              <w:left w:val="single" w:sz="4" w:space="0" w:color="auto"/>
              <w:bottom w:val="single" w:sz="4" w:space="0" w:color="auto"/>
              <w:right w:val="single" w:sz="4" w:space="0" w:color="auto"/>
            </w:tcBorders>
            <w:hideMark/>
          </w:tcPr>
          <w:p w:rsidR="00A10F2B" w:rsidRPr="007653EA" w:rsidRDefault="00BC705E" w:rsidP="00A24FC3">
            <w:pPr>
              <w:spacing w:line="276" w:lineRule="auto"/>
              <w:rPr>
                <w:color w:val="000000"/>
                <w:kern w:val="0"/>
                <w:sz w:val="24"/>
                <w:szCs w:val="24"/>
              </w:rPr>
            </w:pPr>
            <w:r w:rsidRPr="007653EA">
              <w:rPr>
                <w:rFonts w:hint="eastAsia"/>
                <w:color w:val="000000"/>
                <w:kern w:val="0"/>
                <w:sz w:val="24"/>
                <w:szCs w:val="24"/>
              </w:rPr>
              <w:t>2</w:t>
            </w:r>
            <w:r w:rsidRPr="007653EA">
              <w:rPr>
                <w:color w:val="000000"/>
                <w:kern w:val="0"/>
                <w:sz w:val="24"/>
                <w:szCs w:val="24"/>
              </w:rPr>
              <w:t>02</w:t>
            </w:r>
            <w:r w:rsidR="00A24FC3">
              <w:rPr>
                <w:color w:val="000000"/>
                <w:kern w:val="0"/>
                <w:sz w:val="24"/>
                <w:szCs w:val="24"/>
              </w:rPr>
              <w:t>5</w:t>
            </w:r>
            <w:r w:rsidR="000C4D4F" w:rsidRPr="007653EA">
              <w:rPr>
                <w:rFonts w:hint="eastAsia"/>
                <w:color w:val="000000"/>
                <w:kern w:val="0"/>
                <w:sz w:val="24"/>
                <w:szCs w:val="24"/>
              </w:rPr>
              <w:t>年</w:t>
            </w:r>
            <w:r w:rsidR="00A24FC3">
              <w:rPr>
                <w:color w:val="000000"/>
                <w:kern w:val="0"/>
                <w:sz w:val="24"/>
                <w:szCs w:val="24"/>
              </w:rPr>
              <w:t>11</w:t>
            </w:r>
            <w:r w:rsidR="000C4D4F" w:rsidRPr="007653EA">
              <w:rPr>
                <w:rFonts w:hint="eastAsia"/>
                <w:color w:val="000000"/>
                <w:kern w:val="0"/>
                <w:sz w:val="24"/>
                <w:szCs w:val="24"/>
              </w:rPr>
              <w:t>月</w:t>
            </w:r>
            <w:r w:rsidR="00A24FC3">
              <w:rPr>
                <w:color w:val="000000"/>
                <w:kern w:val="0"/>
                <w:sz w:val="24"/>
                <w:szCs w:val="24"/>
              </w:rPr>
              <w:t>19</w:t>
            </w:r>
            <w:r w:rsidR="000C4D4F" w:rsidRPr="007653EA">
              <w:rPr>
                <w:rFonts w:hint="eastAsia"/>
                <w:color w:val="000000"/>
                <w:kern w:val="0"/>
                <w:sz w:val="24"/>
                <w:szCs w:val="24"/>
              </w:rPr>
              <w:t>日</w:t>
            </w:r>
          </w:p>
        </w:tc>
      </w:tr>
      <w:tr w:rsidR="008C3A4F" w:rsidRPr="005A353A" w:rsidTr="008C3A4F">
        <w:trPr>
          <w:jc w:val="center"/>
        </w:trPr>
        <w:tc>
          <w:tcPr>
            <w:tcW w:w="3681" w:type="dxa"/>
            <w:vMerge w:val="restart"/>
            <w:tcBorders>
              <w:top w:val="single" w:sz="4" w:space="0" w:color="auto"/>
              <w:left w:val="single" w:sz="4" w:space="0" w:color="auto"/>
              <w:right w:val="single" w:sz="4" w:space="0" w:color="auto"/>
            </w:tcBorders>
            <w:vAlign w:val="center"/>
            <w:hideMark/>
          </w:tcPr>
          <w:p w:rsidR="008C3A4F" w:rsidRPr="005A353A" w:rsidRDefault="008C3A4F" w:rsidP="00AA6928">
            <w:pPr>
              <w:spacing w:line="276" w:lineRule="auto"/>
              <w:rPr>
                <w:color w:val="000000"/>
                <w:sz w:val="24"/>
              </w:rPr>
            </w:pPr>
            <w:r w:rsidRPr="005A353A">
              <w:rPr>
                <w:rFonts w:hint="eastAsia"/>
                <w:color w:val="000000"/>
                <w:sz w:val="24"/>
              </w:rPr>
              <w:t>截止收益分配基准日的相关指标</w:t>
            </w:r>
          </w:p>
        </w:tc>
        <w:tc>
          <w:tcPr>
            <w:tcW w:w="3167" w:type="dxa"/>
            <w:tcBorders>
              <w:top w:val="single" w:sz="4" w:space="0" w:color="auto"/>
              <w:left w:val="single" w:sz="4" w:space="0" w:color="auto"/>
              <w:bottom w:val="single" w:sz="4" w:space="0" w:color="auto"/>
              <w:right w:val="single" w:sz="4" w:space="0" w:color="auto"/>
            </w:tcBorders>
            <w:vAlign w:val="center"/>
          </w:tcPr>
          <w:p w:rsidR="008C3A4F" w:rsidRPr="005A353A" w:rsidRDefault="008C3A4F" w:rsidP="008C3A4F">
            <w:pPr>
              <w:spacing w:line="276" w:lineRule="auto"/>
              <w:rPr>
                <w:color w:val="000000"/>
                <w:sz w:val="24"/>
              </w:rPr>
            </w:pPr>
            <w:r w:rsidRPr="005A353A">
              <w:rPr>
                <w:rFonts w:hint="eastAsia"/>
                <w:color w:val="000000"/>
                <w:sz w:val="24"/>
              </w:rPr>
              <w:t>基准日基金份额净值</w:t>
            </w:r>
          </w:p>
          <w:p w:rsidR="008C3A4F" w:rsidRPr="00117B39" w:rsidRDefault="008C3A4F" w:rsidP="001D2429">
            <w:pPr>
              <w:spacing w:line="276" w:lineRule="auto"/>
              <w:rPr>
                <w:color w:val="000000"/>
                <w:sz w:val="24"/>
              </w:rPr>
            </w:pPr>
            <w:r w:rsidRPr="005A353A">
              <w:rPr>
                <w:rFonts w:hint="eastAsia"/>
                <w:color w:val="000000"/>
                <w:sz w:val="24"/>
              </w:rPr>
              <w:t>（单位：元）</w:t>
            </w:r>
          </w:p>
        </w:tc>
        <w:tc>
          <w:tcPr>
            <w:tcW w:w="2395" w:type="dxa"/>
            <w:tcBorders>
              <w:top w:val="single" w:sz="4" w:space="0" w:color="auto"/>
              <w:left w:val="single" w:sz="4" w:space="0" w:color="auto"/>
              <w:bottom w:val="single" w:sz="4" w:space="0" w:color="auto"/>
              <w:right w:val="single" w:sz="4" w:space="0" w:color="auto"/>
            </w:tcBorders>
            <w:vAlign w:val="center"/>
          </w:tcPr>
          <w:p w:rsidR="008C3A4F" w:rsidRPr="00117B39" w:rsidRDefault="00382E64" w:rsidP="00152D8D">
            <w:pPr>
              <w:spacing w:line="276" w:lineRule="auto"/>
              <w:rPr>
                <w:color w:val="000000"/>
                <w:sz w:val="24"/>
              </w:rPr>
            </w:pPr>
            <w:r w:rsidRPr="00382E64">
              <w:rPr>
                <w:color w:val="000000"/>
                <w:sz w:val="24"/>
              </w:rPr>
              <w:t>2.8867</w:t>
            </w:r>
          </w:p>
        </w:tc>
      </w:tr>
      <w:tr w:rsidR="008C3A4F" w:rsidRPr="005A353A" w:rsidTr="008C3A4F">
        <w:trPr>
          <w:jc w:val="center"/>
        </w:trPr>
        <w:tc>
          <w:tcPr>
            <w:tcW w:w="3681" w:type="dxa"/>
            <w:vMerge/>
            <w:tcBorders>
              <w:left w:val="single" w:sz="4" w:space="0" w:color="auto"/>
              <w:right w:val="single" w:sz="4" w:space="0" w:color="auto"/>
            </w:tcBorders>
            <w:vAlign w:val="center"/>
            <w:hideMark/>
          </w:tcPr>
          <w:p w:rsidR="008C3A4F" w:rsidRPr="005A353A" w:rsidRDefault="008C3A4F" w:rsidP="00152D8D">
            <w:pPr>
              <w:spacing w:line="276" w:lineRule="auto"/>
              <w:rPr>
                <w:color w:val="000000"/>
                <w:sz w:val="24"/>
              </w:rPr>
            </w:pPr>
          </w:p>
        </w:tc>
        <w:tc>
          <w:tcPr>
            <w:tcW w:w="3167" w:type="dxa"/>
            <w:tcBorders>
              <w:top w:val="single" w:sz="4" w:space="0" w:color="auto"/>
              <w:left w:val="single" w:sz="4" w:space="0" w:color="auto"/>
              <w:bottom w:val="single" w:sz="4" w:space="0" w:color="auto"/>
              <w:right w:val="single" w:sz="4" w:space="0" w:color="auto"/>
            </w:tcBorders>
            <w:vAlign w:val="center"/>
          </w:tcPr>
          <w:p w:rsidR="008C3A4F" w:rsidRPr="00117B39" w:rsidRDefault="008C3A4F" w:rsidP="001D2429">
            <w:pPr>
              <w:spacing w:line="276" w:lineRule="auto"/>
              <w:rPr>
                <w:color w:val="000000"/>
                <w:sz w:val="24"/>
              </w:rPr>
            </w:pPr>
            <w:r w:rsidRPr="005A353A">
              <w:rPr>
                <w:rFonts w:hint="eastAsia"/>
                <w:color w:val="000000"/>
                <w:sz w:val="24"/>
              </w:rPr>
              <w:t>基准日基金可供分配利润（单位：元）</w:t>
            </w:r>
          </w:p>
        </w:tc>
        <w:tc>
          <w:tcPr>
            <w:tcW w:w="2395" w:type="dxa"/>
            <w:tcBorders>
              <w:top w:val="single" w:sz="4" w:space="0" w:color="auto"/>
              <w:left w:val="single" w:sz="4" w:space="0" w:color="auto"/>
              <w:bottom w:val="single" w:sz="4" w:space="0" w:color="auto"/>
              <w:right w:val="single" w:sz="4" w:space="0" w:color="auto"/>
            </w:tcBorders>
            <w:vAlign w:val="center"/>
          </w:tcPr>
          <w:p w:rsidR="008C3A4F" w:rsidRPr="00117B39" w:rsidRDefault="00382E64" w:rsidP="00152D8D">
            <w:pPr>
              <w:spacing w:line="276" w:lineRule="auto"/>
              <w:rPr>
                <w:color w:val="000000"/>
                <w:sz w:val="24"/>
              </w:rPr>
            </w:pPr>
            <w:r w:rsidRPr="00382E64">
              <w:rPr>
                <w:color w:val="000000"/>
                <w:sz w:val="24"/>
              </w:rPr>
              <w:t>7,263,353,085.22</w:t>
            </w:r>
          </w:p>
        </w:tc>
      </w:tr>
      <w:tr w:rsidR="008C3A4F" w:rsidRPr="005A353A" w:rsidTr="00692AC8">
        <w:trPr>
          <w:trHeight w:val="748"/>
          <w:jc w:val="center"/>
        </w:trPr>
        <w:tc>
          <w:tcPr>
            <w:tcW w:w="3681" w:type="dxa"/>
            <w:vMerge/>
            <w:tcBorders>
              <w:left w:val="single" w:sz="4" w:space="0" w:color="auto"/>
              <w:bottom w:val="single" w:sz="4" w:space="0" w:color="auto"/>
              <w:right w:val="single" w:sz="4" w:space="0" w:color="auto"/>
            </w:tcBorders>
            <w:vAlign w:val="center"/>
            <w:hideMark/>
          </w:tcPr>
          <w:p w:rsidR="008C3A4F" w:rsidRPr="005A353A" w:rsidRDefault="008C3A4F" w:rsidP="00152D8D">
            <w:pPr>
              <w:spacing w:line="276" w:lineRule="auto"/>
              <w:rPr>
                <w:color w:val="000000"/>
                <w:sz w:val="24"/>
              </w:rPr>
            </w:pPr>
          </w:p>
        </w:tc>
        <w:tc>
          <w:tcPr>
            <w:tcW w:w="3167" w:type="dxa"/>
            <w:tcBorders>
              <w:top w:val="single" w:sz="4" w:space="0" w:color="auto"/>
              <w:left w:val="single" w:sz="4" w:space="0" w:color="auto"/>
              <w:bottom w:val="single" w:sz="4" w:space="0" w:color="auto"/>
              <w:right w:val="single" w:sz="4" w:space="0" w:color="auto"/>
            </w:tcBorders>
          </w:tcPr>
          <w:p w:rsidR="008C3A4F" w:rsidRPr="00117B39" w:rsidRDefault="008C3A4F" w:rsidP="00152D8D">
            <w:pPr>
              <w:spacing w:line="276" w:lineRule="auto"/>
              <w:rPr>
                <w:color w:val="000000"/>
                <w:sz w:val="24"/>
              </w:rPr>
            </w:pPr>
            <w:r w:rsidRPr="005A353A">
              <w:rPr>
                <w:rFonts w:hint="eastAsia"/>
                <w:color w:val="000000"/>
                <w:sz w:val="24"/>
              </w:rPr>
              <w:t>截止基准日按照基金合同约定的分红比例计算的应分配金额（单位：元）</w:t>
            </w:r>
          </w:p>
        </w:tc>
        <w:tc>
          <w:tcPr>
            <w:tcW w:w="2395" w:type="dxa"/>
            <w:tcBorders>
              <w:top w:val="single" w:sz="4" w:space="0" w:color="auto"/>
              <w:left w:val="single" w:sz="4" w:space="0" w:color="auto"/>
              <w:bottom w:val="single" w:sz="4" w:space="0" w:color="auto"/>
              <w:right w:val="single" w:sz="4" w:space="0" w:color="auto"/>
            </w:tcBorders>
            <w:vAlign w:val="center"/>
          </w:tcPr>
          <w:p w:rsidR="008C3A4F" w:rsidRPr="00117B39" w:rsidRDefault="008C3A4F" w:rsidP="00692AC8">
            <w:pPr>
              <w:spacing w:line="276" w:lineRule="auto"/>
              <w:rPr>
                <w:color w:val="000000"/>
                <w:sz w:val="24"/>
              </w:rPr>
            </w:pPr>
            <w:r w:rsidRPr="00117B39">
              <w:rPr>
                <w:rFonts w:hint="eastAsia"/>
                <w:color w:val="000000"/>
                <w:sz w:val="24"/>
              </w:rPr>
              <w:t>—</w:t>
            </w:r>
          </w:p>
        </w:tc>
      </w:tr>
      <w:tr w:rsidR="00A437C6" w:rsidRPr="005A353A" w:rsidTr="00EA7286">
        <w:trPr>
          <w:jc w:val="center"/>
        </w:trPr>
        <w:tc>
          <w:tcPr>
            <w:tcW w:w="3681" w:type="dxa"/>
            <w:tcBorders>
              <w:top w:val="single" w:sz="4" w:space="0" w:color="auto"/>
              <w:left w:val="single" w:sz="4" w:space="0" w:color="auto"/>
              <w:bottom w:val="single" w:sz="4" w:space="0" w:color="auto"/>
              <w:right w:val="single" w:sz="4" w:space="0" w:color="auto"/>
            </w:tcBorders>
            <w:hideMark/>
          </w:tcPr>
          <w:p w:rsidR="00A437C6" w:rsidRPr="005A353A" w:rsidRDefault="00A437C6" w:rsidP="00152D8D">
            <w:pPr>
              <w:spacing w:line="276" w:lineRule="auto"/>
              <w:rPr>
                <w:color w:val="000000"/>
                <w:sz w:val="24"/>
              </w:rPr>
            </w:pPr>
            <w:r w:rsidRPr="005A353A">
              <w:rPr>
                <w:rFonts w:hint="eastAsia"/>
                <w:color w:val="000000"/>
                <w:sz w:val="24"/>
              </w:rPr>
              <w:t>本次分红方案（单位：元</w:t>
            </w:r>
            <w:r w:rsidRPr="005A353A">
              <w:rPr>
                <w:color w:val="000000"/>
                <w:sz w:val="24"/>
              </w:rPr>
              <w:t>/10</w:t>
            </w:r>
            <w:r w:rsidRPr="005A353A">
              <w:rPr>
                <w:rFonts w:hint="eastAsia"/>
                <w:color w:val="000000"/>
                <w:sz w:val="24"/>
              </w:rPr>
              <w:t>份基金份额）</w:t>
            </w:r>
          </w:p>
        </w:tc>
        <w:tc>
          <w:tcPr>
            <w:tcW w:w="5562" w:type="dxa"/>
            <w:gridSpan w:val="2"/>
            <w:tcBorders>
              <w:top w:val="single" w:sz="4" w:space="0" w:color="auto"/>
              <w:left w:val="single" w:sz="4" w:space="0" w:color="auto"/>
              <w:bottom w:val="single" w:sz="4" w:space="0" w:color="auto"/>
              <w:right w:val="single" w:sz="4" w:space="0" w:color="auto"/>
            </w:tcBorders>
            <w:vAlign w:val="center"/>
          </w:tcPr>
          <w:p w:rsidR="00A437C6" w:rsidRPr="00EA7286" w:rsidRDefault="00B054B3" w:rsidP="00967035">
            <w:pPr>
              <w:spacing w:line="276" w:lineRule="auto"/>
              <w:rPr>
                <w:color w:val="000000"/>
                <w:sz w:val="24"/>
              </w:rPr>
            </w:pPr>
            <w:r>
              <w:rPr>
                <w:color w:val="000000"/>
                <w:sz w:val="24"/>
              </w:rPr>
              <w:t>0.</w:t>
            </w:r>
            <w:r w:rsidRPr="00B054B3">
              <w:rPr>
                <w:color w:val="000000"/>
                <w:sz w:val="24"/>
              </w:rPr>
              <w:t>376</w:t>
            </w:r>
            <w:r>
              <w:rPr>
                <w:color w:val="000000"/>
                <w:sz w:val="24"/>
              </w:rPr>
              <w:t>0</w:t>
            </w:r>
            <w:bookmarkStart w:id="2" w:name="_GoBack"/>
            <w:bookmarkEnd w:id="2"/>
          </w:p>
        </w:tc>
      </w:tr>
      <w:tr w:rsidR="000C4D4F" w:rsidRPr="005A353A" w:rsidTr="008C3A4F">
        <w:trPr>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rsidR="000C4D4F" w:rsidRPr="005A353A" w:rsidRDefault="000C4D4F" w:rsidP="00152D8D">
            <w:pPr>
              <w:spacing w:line="276" w:lineRule="auto"/>
              <w:rPr>
                <w:color w:val="000000"/>
                <w:sz w:val="24"/>
              </w:rPr>
            </w:pPr>
            <w:r w:rsidRPr="005A353A">
              <w:rPr>
                <w:rFonts w:hint="eastAsia"/>
                <w:color w:val="000000"/>
                <w:sz w:val="24"/>
              </w:rPr>
              <w:t>有关年度分红次数的说明</w:t>
            </w:r>
          </w:p>
        </w:tc>
        <w:tc>
          <w:tcPr>
            <w:tcW w:w="5562" w:type="dxa"/>
            <w:gridSpan w:val="2"/>
            <w:tcBorders>
              <w:top w:val="single" w:sz="4" w:space="0" w:color="auto"/>
              <w:left w:val="single" w:sz="4" w:space="0" w:color="auto"/>
              <w:bottom w:val="single" w:sz="4" w:space="0" w:color="auto"/>
              <w:right w:val="single" w:sz="4" w:space="0" w:color="auto"/>
            </w:tcBorders>
            <w:vAlign w:val="center"/>
            <w:hideMark/>
          </w:tcPr>
          <w:p w:rsidR="000C4D4F" w:rsidRPr="005A353A" w:rsidRDefault="000C4D4F" w:rsidP="00A24FC3">
            <w:pPr>
              <w:spacing w:line="276" w:lineRule="auto"/>
              <w:rPr>
                <w:color w:val="000000"/>
                <w:sz w:val="24"/>
              </w:rPr>
            </w:pPr>
            <w:r w:rsidRPr="005A353A">
              <w:rPr>
                <w:rFonts w:hint="eastAsia"/>
                <w:color w:val="000000"/>
                <w:sz w:val="24"/>
              </w:rPr>
              <w:t>本次分红为</w:t>
            </w:r>
            <w:r w:rsidR="00A437C6">
              <w:rPr>
                <w:rFonts w:hint="eastAsia"/>
                <w:color w:val="000000"/>
                <w:sz w:val="24"/>
              </w:rPr>
              <w:t>2</w:t>
            </w:r>
            <w:r w:rsidR="00A437C6">
              <w:rPr>
                <w:color w:val="000000"/>
                <w:sz w:val="24"/>
              </w:rPr>
              <w:t>02</w:t>
            </w:r>
            <w:r w:rsidR="00A24FC3">
              <w:rPr>
                <w:color w:val="000000"/>
                <w:sz w:val="24"/>
              </w:rPr>
              <w:t>5</w:t>
            </w:r>
            <w:r w:rsidRPr="005A353A">
              <w:rPr>
                <w:rFonts w:hint="eastAsia"/>
                <w:color w:val="000000"/>
                <w:sz w:val="24"/>
              </w:rPr>
              <w:t>年的第</w:t>
            </w:r>
            <w:r w:rsidR="00BC705E">
              <w:rPr>
                <w:color w:val="000000"/>
                <w:sz w:val="24"/>
              </w:rPr>
              <w:t>一</w:t>
            </w:r>
            <w:r w:rsidRPr="005A353A">
              <w:rPr>
                <w:rFonts w:hint="eastAsia"/>
                <w:color w:val="000000"/>
                <w:sz w:val="24"/>
              </w:rPr>
              <w:t>次分红</w:t>
            </w:r>
          </w:p>
        </w:tc>
      </w:tr>
    </w:tbl>
    <w:p w:rsidR="009C0141" w:rsidRDefault="0092339D" w:rsidP="0030432C">
      <w:pPr>
        <w:rPr>
          <w:rFonts w:ascii="楷体_GB2312" w:eastAsia="楷体_GB2312"/>
          <w:bCs/>
          <w:sz w:val="21"/>
          <w:szCs w:val="21"/>
        </w:rPr>
      </w:pPr>
      <w:r w:rsidRPr="005A353A">
        <w:rPr>
          <w:rFonts w:ascii="楷体_GB2312" w:eastAsia="楷体_GB2312" w:hint="eastAsia"/>
          <w:bCs/>
          <w:sz w:val="21"/>
          <w:szCs w:val="21"/>
        </w:rPr>
        <w:t>注：</w:t>
      </w:r>
      <w:r w:rsidR="0030432C">
        <w:rPr>
          <w:rFonts w:ascii="楷体_GB2312" w:eastAsia="楷体_GB2312" w:hint="eastAsia"/>
          <w:bCs/>
          <w:sz w:val="21"/>
          <w:szCs w:val="21"/>
        </w:rPr>
        <w:t>根据</w:t>
      </w:r>
      <w:r w:rsidR="005F7F64" w:rsidRPr="005F7F64">
        <w:rPr>
          <w:rFonts w:ascii="楷体_GB2312" w:eastAsia="楷体_GB2312" w:hint="eastAsia"/>
          <w:bCs/>
          <w:sz w:val="21"/>
          <w:szCs w:val="21"/>
        </w:rPr>
        <w:t>嘉实</w:t>
      </w:r>
      <w:r w:rsidR="00DD7D18">
        <w:rPr>
          <w:rFonts w:ascii="楷体_GB2312" w:eastAsia="楷体_GB2312" w:hint="eastAsia"/>
          <w:bCs/>
          <w:sz w:val="21"/>
          <w:szCs w:val="21"/>
        </w:rPr>
        <w:t>中证5</w:t>
      </w:r>
      <w:r w:rsidR="005F7F64" w:rsidRPr="005F7F64">
        <w:rPr>
          <w:rFonts w:ascii="楷体_GB2312" w:eastAsia="楷体_GB2312" w:hint="eastAsia"/>
          <w:bCs/>
          <w:sz w:val="21"/>
          <w:szCs w:val="21"/>
        </w:rPr>
        <w:t>00ETF</w:t>
      </w:r>
      <w:r w:rsidR="005F7F64">
        <w:rPr>
          <w:rFonts w:ascii="楷体_GB2312" w:eastAsia="楷体_GB2312"/>
          <w:bCs/>
          <w:sz w:val="21"/>
          <w:szCs w:val="21"/>
        </w:rPr>
        <w:t>(以下简称</w:t>
      </w:r>
      <w:r w:rsidR="005F7F64">
        <w:rPr>
          <w:rFonts w:ascii="楷体_GB2312" w:eastAsia="楷体_GB2312" w:hint="eastAsia"/>
          <w:bCs/>
          <w:sz w:val="21"/>
          <w:szCs w:val="21"/>
        </w:rPr>
        <w:t>“本基金”</w:t>
      </w:r>
      <w:r w:rsidR="005F7F64">
        <w:rPr>
          <w:rFonts w:ascii="楷体_GB2312" w:eastAsia="楷体_GB2312"/>
          <w:bCs/>
          <w:sz w:val="21"/>
          <w:szCs w:val="21"/>
        </w:rPr>
        <w:t>)的基金合同</w:t>
      </w:r>
      <w:r w:rsidR="0030432C">
        <w:rPr>
          <w:rFonts w:ascii="楷体_GB2312" w:eastAsia="楷体_GB2312" w:hint="eastAsia"/>
          <w:bCs/>
          <w:sz w:val="21"/>
          <w:szCs w:val="21"/>
        </w:rPr>
        <w:t>《</w:t>
      </w:r>
      <w:r w:rsidR="0030432C" w:rsidRPr="0030432C">
        <w:rPr>
          <w:rFonts w:ascii="楷体_GB2312" w:eastAsia="楷体_GB2312" w:hint="eastAsia"/>
          <w:bCs/>
          <w:sz w:val="21"/>
          <w:szCs w:val="21"/>
        </w:rPr>
        <w:t>嘉实</w:t>
      </w:r>
      <w:r w:rsidR="00DD7D18">
        <w:rPr>
          <w:rFonts w:ascii="楷体_GB2312" w:eastAsia="楷体_GB2312" w:hint="eastAsia"/>
          <w:bCs/>
          <w:sz w:val="21"/>
          <w:szCs w:val="21"/>
        </w:rPr>
        <w:t>中证5</w:t>
      </w:r>
      <w:r w:rsidR="0030432C" w:rsidRPr="0030432C">
        <w:rPr>
          <w:rFonts w:ascii="楷体_GB2312" w:eastAsia="楷体_GB2312" w:hint="eastAsia"/>
          <w:bCs/>
          <w:sz w:val="21"/>
          <w:szCs w:val="21"/>
        </w:rPr>
        <w:t>00交易型开放式指数证券投资基金基金合同</w:t>
      </w:r>
      <w:r w:rsidR="0030432C">
        <w:rPr>
          <w:rFonts w:ascii="楷体_GB2312" w:eastAsia="楷体_GB2312" w:hint="eastAsia"/>
          <w:bCs/>
          <w:sz w:val="21"/>
          <w:szCs w:val="21"/>
        </w:rPr>
        <w:t>》的约定</w:t>
      </w:r>
      <w:r w:rsidR="00692AC8">
        <w:rPr>
          <w:rFonts w:ascii="楷体_GB2312" w:eastAsia="楷体_GB2312" w:hint="eastAsia"/>
          <w:bCs/>
          <w:sz w:val="21"/>
          <w:szCs w:val="21"/>
        </w:rPr>
        <w:t>：</w:t>
      </w:r>
    </w:p>
    <w:p w:rsidR="0030432C" w:rsidRPr="0030432C" w:rsidRDefault="0030432C" w:rsidP="00A24FC3">
      <w:pPr>
        <w:rPr>
          <w:rFonts w:ascii="楷体_GB2312" w:eastAsia="楷体_GB2312"/>
          <w:sz w:val="21"/>
          <w:szCs w:val="21"/>
        </w:rPr>
      </w:pPr>
      <w:r w:rsidRPr="0030432C">
        <w:rPr>
          <w:rFonts w:ascii="楷体_GB2312" w:eastAsia="楷体_GB2312" w:hint="eastAsia"/>
          <w:sz w:val="21"/>
          <w:szCs w:val="21"/>
        </w:rPr>
        <w:t>（1）</w:t>
      </w:r>
      <w:r w:rsidR="00A24FC3" w:rsidRPr="00A24FC3">
        <w:rPr>
          <w:rFonts w:ascii="楷体_GB2312" w:eastAsia="楷体_GB2312" w:hint="eastAsia"/>
          <w:sz w:val="21"/>
          <w:szCs w:val="21"/>
        </w:rPr>
        <w:t>基金收益评价日核定的基金净值增长率超过标的指数同期增长率达到1%以</w:t>
      </w:r>
      <w:r w:rsidR="00A24FC3">
        <w:rPr>
          <w:rFonts w:ascii="楷体_GB2312" w:eastAsia="楷体_GB2312" w:hint="eastAsia"/>
          <w:sz w:val="21"/>
          <w:szCs w:val="21"/>
        </w:rPr>
        <w:t>上时，基金管理人可以进行收益分配</w:t>
      </w:r>
      <w:r w:rsidRPr="0030432C">
        <w:rPr>
          <w:rFonts w:ascii="楷体_GB2312" w:eastAsia="楷体_GB2312" w:hint="eastAsia"/>
          <w:sz w:val="21"/>
          <w:szCs w:val="21"/>
        </w:rPr>
        <w:t>；</w:t>
      </w:r>
    </w:p>
    <w:p w:rsidR="0030432C" w:rsidRPr="0030432C" w:rsidRDefault="0030432C" w:rsidP="00A24FC3">
      <w:pPr>
        <w:rPr>
          <w:rFonts w:ascii="楷体_GB2312" w:eastAsia="楷体_GB2312"/>
          <w:sz w:val="21"/>
          <w:szCs w:val="21"/>
        </w:rPr>
      </w:pPr>
      <w:r w:rsidRPr="0030432C">
        <w:rPr>
          <w:rFonts w:ascii="楷体_GB2312" w:eastAsia="楷体_GB2312" w:hint="eastAsia"/>
          <w:sz w:val="21"/>
          <w:szCs w:val="21"/>
        </w:rPr>
        <w:t>（</w:t>
      </w:r>
      <w:r>
        <w:rPr>
          <w:rFonts w:ascii="楷体_GB2312" w:eastAsia="楷体_GB2312"/>
          <w:sz w:val="21"/>
          <w:szCs w:val="21"/>
        </w:rPr>
        <w:t>2</w:t>
      </w:r>
      <w:r w:rsidRPr="0030432C">
        <w:rPr>
          <w:rFonts w:ascii="楷体_GB2312" w:eastAsia="楷体_GB2312" w:hint="eastAsia"/>
          <w:sz w:val="21"/>
          <w:szCs w:val="21"/>
        </w:rPr>
        <w:t>）</w:t>
      </w:r>
      <w:r w:rsidR="00A24FC3" w:rsidRPr="00A24FC3">
        <w:rPr>
          <w:rFonts w:ascii="楷体_GB2312" w:eastAsia="楷体_GB2312" w:hint="eastAsia"/>
          <w:sz w:val="21"/>
          <w:szCs w:val="21"/>
        </w:rPr>
        <w:t>在符合上述基金分红条件的前提下，本基金收益每年至多分配 12 次，每次基金收益分配数额的确定原则为：使收益分配后基金净值增长率尽可能贴近标的指数同期增长率</w:t>
      </w:r>
      <w:r w:rsidRPr="0030432C">
        <w:rPr>
          <w:rFonts w:ascii="楷体_GB2312" w:eastAsia="楷体_GB2312" w:hint="eastAsia"/>
          <w:sz w:val="21"/>
          <w:szCs w:val="21"/>
        </w:rPr>
        <w:t>；</w:t>
      </w:r>
    </w:p>
    <w:p w:rsidR="0030432C" w:rsidRDefault="0030432C" w:rsidP="00A24FC3">
      <w:pPr>
        <w:rPr>
          <w:rFonts w:ascii="楷体_GB2312" w:eastAsia="楷体_GB2312"/>
          <w:sz w:val="21"/>
          <w:szCs w:val="21"/>
        </w:rPr>
      </w:pPr>
      <w:r w:rsidRPr="0030432C">
        <w:rPr>
          <w:rFonts w:ascii="楷体_GB2312" w:eastAsia="楷体_GB2312" w:hint="eastAsia"/>
          <w:sz w:val="21"/>
          <w:szCs w:val="21"/>
        </w:rPr>
        <w:t>（</w:t>
      </w:r>
      <w:r>
        <w:rPr>
          <w:rFonts w:ascii="楷体_GB2312" w:eastAsia="楷体_GB2312" w:hint="eastAsia"/>
          <w:sz w:val="21"/>
          <w:szCs w:val="21"/>
        </w:rPr>
        <w:t>3</w:t>
      </w:r>
      <w:r w:rsidRPr="0030432C">
        <w:rPr>
          <w:rFonts w:ascii="楷体_GB2312" w:eastAsia="楷体_GB2312" w:hint="eastAsia"/>
          <w:sz w:val="21"/>
          <w:szCs w:val="21"/>
        </w:rPr>
        <w:t>）</w:t>
      </w:r>
      <w:r w:rsidR="00A24FC3" w:rsidRPr="00A24FC3">
        <w:rPr>
          <w:rFonts w:ascii="楷体_GB2312" w:eastAsia="楷体_GB2312" w:hint="eastAsia"/>
          <w:sz w:val="21"/>
          <w:szCs w:val="21"/>
        </w:rPr>
        <w:t>基于本基金的性质和特点，本基金收益分配不须以弥补亏损为前提，收益分配后有可能使基金份额净值低于面值，即基金收益分配基准日（即收益评价日）</w:t>
      </w:r>
      <w:r w:rsidR="00A24FC3">
        <w:rPr>
          <w:rFonts w:ascii="楷体_GB2312" w:eastAsia="楷体_GB2312" w:hint="eastAsia"/>
          <w:sz w:val="21"/>
          <w:szCs w:val="21"/>
        </w:rPr>
        <w:t>的基金份额净值减去每单位基金份额收益分配金额后可能低于面值</w:t>
      </w:r>
      <w:r w:rsidRPr="0030432C">
        <w:rPr>
          <w:rFonts w:ascii="楷体_GB2312" w:eastAsia="楷体_GB2312" w:hint="eastAsia"/>
          <w:sz w:val="21"/>
          <w:szCs w:val="21"/>
        </w:rPr>
        <w:t>；</w:t>
      </w:r>
    </w:p>
    <w:p w:rsidR="0066008B" w:rsidRDefault="0066008B" w:rsidP="00BF5067">
      <w:pPr>
        <w:rPr>
          <w:rFonts w:ascii="楷体_GB2312" w:eastAsia="楷体_GB2312"/>
          <w:sz w:val="21"/>
          <w:szCs w:val="21"/>
        </w:rPr>
      </w:pPr>
      <w:r w:rsidRPr="0066008B">
        <w:rPr>
          <w:rFonts w:ascii="楷体_GB2312" w:eastAsia="楷体_GB2312" w:hint="eastAsia"/>
          <w:sz w:val="21"/>
          <w:szCs w:val="21"/>
        </w:rPr>
        <w:t>（4）本基金收益分配采取现金方式</w:t>
      </w:r>
      <w:r w:rsidR="00692AC8">
        <w:rPr>
          <w:rFonts w:ascii="楷体_GB2312" w:eastAsia="楷体_GB2312" w:hint="eastAsia"/>
          <w:sz w:val="21"/>
          <w:szCs w:val="21"/>
        </w:rPr>
        <w:t>。</w:t>
      </w:r>
    </w:p>
    <w:p w:rsidR="00941E13" w:rsidRPr="005A353A" w:rsidRDefault="00941E13" w:rsidP="00941E13">
      <w:pPr>
        <w:pStyle w:val="2"/>
        <w:spacing w:line="560" w:lineRule="exact"/>
        <w:rPr>
          <w:rFonts w:ascii="Times New Roman" w:eastAsia="方正仿宋简体" w:hAnsi="Times New Roman"/>
          <w:bCs w:val="0"/>
          <w:color w:val="000000"/>
          <w:sz w:val="24"/>
          <w:szCs w:val="24"/>
        </w:rPr>
      </w:pPr>
      <w:r w:rsidRPr="005A353A">
        <w:rPr>
          <w:rFonts w:ascii="Times New Roman" w:eastAsia="方正仿宋简体" w:hAnsi="Times New Roman"/>
          <w:bCs w:val="0"/>
          <w:color w:val="000000"/>
          <w:sz w:val="24"/>
          <w:szCs w:val="24"/>
        </w:rPr>
        <w:lastRenderedPageBreak/>
        <w:t xml:space="preserve">2 </w:t>
      </w:r>
      <w:r w:rsidRPr="005A353A">
        <w:rPr>
          <w:rFonts w:ascii="Times New Roman" w:eastAsia="方正仿宋简体" w:hAnsi="Times New Roman" w:hint="eastAsia"/>
          <w:bCs w:val="0"/>
          <w:color w:val="000000"/>
          <w:sz w:val="24"/>
          <w:szCs w:val="24"/>
        </w:rPr>
        <w:t>与分红相关的其他信息</w:t>
      </w:r>
      <w:bookmarkEnd w:id="1"/>
    </w:p>
    <w:tbl>
      <w:tblPr>
        <w:tblW w:w="5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0"/>
        <w:gridCol w:w="5966"/>
      </w:tblGrid>
      <w:tr w:rsidR="00941E13" w:rsidRPr="005A353A" w:rsidTr="00692AC8">
        <w:trPr>
          <w:jc w:val="center"/>
        </w:trPr>
        <w:tc>
          <w:tcPr>
            <w:tcW w:w="1791" w:type="pct"/>
            <w:tcBorders>
              <w:top w:val="single" w:sz="4" w:space="0" w:color="auto"/>
              <w:left w:val="single" w:sz="4" w:space="0" w:color="auto"/>
              <w:bottom w:val="single" w:sz="4" w:space="0" w:color="auto"/>
              <w:right w:val="single" w:sz="4" w:space="0" w:color="auto"/>
            </w:tcBorders>
            <w:vAlign w:val="center"/>
            <w:hideMark/>
          </w:tcPr>
          <w:p w:rsidR="00941E13" w:rsidRPr="007653EA" w:rsidRDefault="00941E13" w:rsidP="00692AC8">
            <w:pPr>
              <w:spacing w:line="560" w:lineRule="exact"/>
              <w:rPr>
                <w:color w:val="000000"/>
                <w:sz w:val="24"/>
              </w:rPr>
            </w:pPr>
            <w:r w:rsidRPr="007653EA">
              <w:rPr>
                <w:rFonts w:hint="eastAsia"/>
                <w:color w:val="000000"/>
                <w:sz w:val="24"/>
              </w:rPr>
              <w:t>权益登记日</w:t>
            </w:r>
          </w:p>
        </w:tc>
        <w:tc>
          <w:tcPr>
            <w:tcW w:w="3209" w:type="pct"/>
            <w:tcBorders>
              <w:top w:val="single" w:sz="4" w:space="0" w:color="auto"/>
              <w:left w:val="single" w:sz="4" w:space="0" w:color="auto"/>
              <w:bottom w:val="single" w:sz="4" w:space="0" w:color="auto"/>
              <w:right w:val="single" w:sz="4" w:space="0" w:color="auto"/>
            </w:tcBorders>
            <w:vAlign w:val="center"/>
            <w:hideMark/>
          </w:tcPr>
          <w:p w:rsidR="00941E13" w:rsidRPr="007653EA" w:rsidRDefault="00BC705E" w:rsidP="00A24FC3">
            <w:pPr>
              <w:spacing w:line="560" w:lineRule="exact"/>
              <w:rPr>
                <w:color w:val="000000"/>
                <w:sz w:val="24"/>
              </w:rPr>
            </w:pPr>
            <w:r w:rsidRPr="007653EA">
              <w:rPr>
                <w:rFonts w:hint="eastAsia"/>
                <w:color w:val="000000"/>
                <w:sz w:val="24"/>
              </w:rPr>
              <w:t>2</w:t>
            </w:r>
            <w:r w:rsidRPr="007653EA">
              <w:rPr>
                <w:color w:val="000000"/>
                <w:sz w:val="24"/>
              </w:rPr>
              <w:t>02</w:t>
            </w:r>
            <w:r w:rsidR="00A24FC3">
              <w:rPr>
                <w:color w:val="000000"/>
                <w:sz w:val="24"/>
              </w:rPr>
              <w:t>5</w:t>
            </w:r>
            <w:r w:rsidR="00D95801" w:rsidRPr="007653EA">
              <w:rPr>
                <w:rFonts w:hint="eastAsia"/>
                <w:color w:val="000000"/>
                <w:sz w:val="24"/>
              </w:rPr>
              <w:t>年</w:t>
            </w:r>
            <w:r w:rsidR="00A24FC3">
              <w:rPr>
                <w:color w:val="000000"/>
                <w:sz w:val="24"/>
              </w:rPr>
              <w:t>12</w:t>
            </w:r>
            <w:r w:rsidR="00D95801" w:rsidRPr="007653EA">
              <w:rPr>
                <w:rFonts w:hint="eastAsia"/>
                <w:color w:val="000000"/>
                <w:sz w:val="24"/>
              </w:rPr>
              <w:t>月</w:t>
            </w:r>
            <w:r w:rsidR="00A24FC3">
              <w:rPr>
                <w:color w:val="000000"/>
                <w:sz w:val="24"/>
              </w:rPr>
              <w:t>5</w:t>
            </w:r>
            <w:r w:rsidR="00595F74" w:rsidRPr="007653EA">
              <w:rPr>
                <w:rFonts w:hint="eastAsia"/>
                <w:color w:val="000000"/>
                <w:sz w:val="24"/>
              </w:rPr>
              <w:t>日</w:t>
            </w:r>
          </w:p>
        </w:tc>
      </w:tr>
      <w:tr w:rsidR="009C3FAE" w:rsidRPr="005A353A" w:rsidTr="00692AC8">
        <w:trPr>
          <w:jc w:val="center"/>
        </w:trPr>
        <w:tc>
          <w:tcPr>
            <w:tcW w:w="1791" w:type="pct"/>
            <w:tcBorders>
              <w:top w:val="single" w:sz="4" w:space="0" w:color="auto"/>
              <w:left w:val="single" w:sz="4" w:space="0" w:color="auto"/>
              <w:bottom w:val="single" w:sz="4" w:space="0" w:color="auto"/>
              <w:right w:val="single" w:sz="4" w:space="0" w:color="auto"/>
            </w:tcBorders>
            <w:vAlign w:val="center"/>
            <w:hideMark/>
          </w:tcPr>
          <w:p w:rsidR="009C3FAE" w:rsidRPr="007653EA" w:rsidRDefault="009C3FAE" w:rsidP="00692AC8">
            <w:pPr>
              <w:spacing w:line="560" w:lineRule="exact"/>
              <w:rPr>
                <w:color w:val="000000"/>
                <w:sz w:val="24"/>
              </w:rPr>
            </w:pPr>
            <w:r w:rsidRPr="007653EA">
              <w:rPr>
                <w:rFonts w:hint="eastAsia"/>
                <w:color w:val="000000"/>
                <w:sz w:val="24"/>
              </w:rPr>
              <w:t>除息日</w:t>
            </w:r>
          </w:p>
        </w:tc>
        <w:tc>
          <w:tcPr>
            <w:tcW w:w="3209" w:type="pct"/>
            <w:tcBorders>
              <w:top w:val="single" w:sz="4" w:space="0" w:color="auto"/>
              <w:left w:val="single" w:sz="4" w:space="0" w:color="auto"/>
              <w:bottom w:val="single" w:sz="4" w:space="0" w:color="auto"/>
              <w:right w:val="single" w:sz="4" w:space="0" w:color="auto"/>
            </w:tcBorders>
            <w:vAlign w:val="center"/>
            <w:hideMark/>
          </w:tcPr>
          <w:p w:rsidR="009C3FAE" w:rsidRPr="007653EA" w:rsidRDefault="00BC705E" w:rsidP="00A24FC3">
            <w:pPr>
              <w:spacing w:line="560" w:lineRule="exact"/>
              <w:rPr>
                <w:color w:val="000000"/>
                <w:sz w:val="24"/>
              </w:rPr>
            </w:pPr>
            <w:r w:rsidRPr="007653EA">
              <w:rPr>
                <w:rFonts w:hint="eastAsia"/>
                <w:color w:val="000000"/>
                <w:sz w:val="24"/>
              </w:rPr>
              <w:t>2</w:t>
            </w:r>
            <w:r w:rsidRPr="007653EA">
              <w:rPr>
                <w:color w:val="000000"/>
                <w:sz w:val="24"/>
              </w:rPr>
              <w:t>02</w:t>
            </w:r>
            <w:r w:rsidR="00A24FC3">
              <w:rPr>
                <w:color w:val="000000"/>
                <w:sz w:val="24"/>
              </w:rPr>
              <w:t>5</w:t>
            </w:r>
            <w:r w:rsidR="009C3FAE" w:rsidRPr="007653EA">
              <w:rPr>
                <w:rFonts w:hint="eastAsia"/>
                <w:color w:val="000000"/>
                <w:sz w:val="24"/>
              </w:rPr>
              <w:t>年</w:t>
            </w:r>
            <w:r w:rsidR="00A24FC3">
              <w:rPr>
                <w:color w:val="000000"/>
                <w:sz w:val="24"/>
              </w:rPr>
              <w:t>12</w:t>
            </w:r>
            <w:r w:rsidR="009C3FAE" w:rsidRPr="007653EA">
              <w:rPr>
                <w:rFonts w:hint="eastAsia"/>
                <w:color w:val="000000"/>
                <w:sz w:val="24"/>
              </w:rPr>
              <w:t>月</w:t>
            </w:r>
            <w:r w:rsidR="00A24FC3">
              <w:rPr>
                <w:color w:val="000000"/>
                <w:sz w:val="24"/>
              </w:rPr>
              <w:t>8</w:t>
            </w:r>
            <w:r w:rsidR="009C3FAE" w:rsidRPr="007653EA">
              <w:rPr>
                <w:rFonts w:hint="eastAsia"/>
                <w:color w:val="000000"/>
                <w:sz w:val="24"/>
              </w:rPr>
              <w:t>日</w:t>
            </w:r>
          </w:p>
        </w:tc>
      </w:tr>
      <w:tr w:rsidR="009C3FAE" w:rsidRPr="005A353A" w:rsidTr="00692AC8">
        <w:trPr>
          <w:jc w:val="center"/>
        </w:trPr>
        <w:tc>
          <w:tcPr>
            <w:tcW w:w="1791" w:type="pct"/>
            <w:tcBorders>
              <w:top w:val="single" w:sz="4" w:space="0" w:color="auto"/>
              <w:left w:val="single" w:sz="4" w:space="0" w:color="auto"/>
              <w:bottom w:val="single" w:sz="4" w:space="0" w:color="auto"/>
              <w:right w:val="single" w:sz="4" w:space="0" w:color="auto"/>
            </w:tcBorders>
            <w:vAlign w:val="center"/>
            <w:hideMark/>
          </w:tcPr>
          <w:p w:rsidR="009C3FAE" w:rsidRPr="007653EA" w:rsidRDefault="009C3FAE" w:rsidP="00692AC8">
            <w:pPr>
              <w:spacing w:line="560" w:lineRule="exact"/>
              <w:rPr>
                <w:color w:val="000000"/>
                <w:sz w:val="24"/>
              </w:rPr>
            </w:pPr>
            <w:r w:rsidRPr="007653EA">
              <w:rPr>
                <w:rFonts w:hint="eastAsia"/>
                <w:color w:val="000000"/>
                <w:sz w:val="24"/>
              </w:rPr>
              <w:t>现金红利发放日</w:t>
            </w:r>
          </w:p>
        </w:tc>
        <w:tc>
          <w:tcPr>
            <w:tcW w:w="3209" w:type="pct"/>
            <w:tcBorders>
              <w:top w:val="single" w:sz="4" w:space="0" w:color="auto"/>
              <w:left w:val="single" w:sz="4" w:space="0" w:color="auto"/>
              <w:bottom w:val="single" w:sz="4" w:space="0" w:color="auto"/>
              <w:right w:val="single" w:sz="4" w:space="0" w:color="auto"/>
            </w:tcBorders>
            <w:vAlign w:val="center"/>
            <w:hideMark/>
          </w:tcPr>
          <w:p w:rsidR="009C3FAE" w:rsidRPr="007653EA" w:rsidRDefault="00BC705E" w:rsidP="00A24FC3">
            <w:pPr>
              <w:spacing w:line="560" w:lineRule="exact"/>
              <w:rPr>
                <w:color w:val="000000"/>
                <w:sz w:val="24"/>
              </w:rPr>
            </w:pPr>
            <w:r w:rsidRPr="007653EA">
              <w:rPr>
                <w:rFonts w:hint="eastAsia"/>
                <w:color w:val="000000"/>
                <w:sz w:val="24"/>
              </w:rPr>
              <w:t>2</w:t>
            </w:r>
            <w:r w:rsidRPr="007653EA">
              <w:rPr>
                <w:color w:val="000000"/>
                <w:sz w:val="24"/>
              </w:rPr>
              <w:t>02</w:t>
            </w:r>
            <w:r w:rsidR="00A24FC3">
              <w:rPr>
                <w:color w:val="000000"/>
                <w:sz w:val="24"/>
              </w:rPr>
              <w:t>5</w:t>
            </w:r>
            <w:r w:rsidR="009C3FAE" w:rsidRPr="007653EA">
              <w:rPr>
                <w:rFonts w:hint="eastAsia"/>
                <w:color w:val="000000"/>
                <w:sz w:val="24"/>
              </w:rPr>
              <w:t>年</w:t>
            </w:r>
            <w:r w:rsidR="00A24FC3">
              <w:rPr>
                <w:color w:val="000000"/>
                <w:sz w:val="24"/>
              </w:rPr>
              <w:t>12</w:t>
            </w:r>
            <w:r w:rsidR="009C3FAE" w:rsidRPr="007653EA">
              <w:rPr>
                <w:rFonts w:hint="eastAsia"/>
                <w:color w:val="000000"/>
                <w:sz w:val="24"/>
              </w:rPr>
              <w:t>月</w:t>
            </w:r>
            <w:r w:rsidR="00A24FC3">
              <w:rPr>
                <w:color w:val="000000"/>
                <w:sz w:val="24"/>
              </w:rPr>
              <w:t>9</w:t>
            </w:r>
            <w:r w:rsidR="009C3FAE" w:rsidRPr="007653EA">
              <w:rPr>
                <w:rFonts w:hint="eastAsia"/>
                <w:color w:val="000000"/>
                <w:sz w:val="24"/>
              </w:rPr>
              <w:t>日</w:t>
            </w:r>
          </w:p>
        </w:tc>
      </w:tr>
      <w:tr w:rsidR="00941E13" w:rsidRPr="005A353A" w:rsidTr="00692AC8">
        <w:trPr>
          <w:jc w:val="center"/>
        </w:trPr>
        <w:tc>
          <w:tcPr>
            <w:tcW w:w="1791" w:type="pct"/>
            <w:tcBorders>
              <w:top w:val="single" w:sz="4" w:space="0" w:color="auto"/>
              <w:left w:val="single" w:sz="4" w:space="0" w:color="auto"/>
              <w:bottom w:val="single" w:sz="4" w:space="0" w:color="auto"/>
              <w:right w:val="single" w:sz="4" w:space="0" w:color="auto"/>
            </w:tcBorders>
            <w:vAlign w:val="center"/>
            <w:hideMark/>
          </w:tcPr>
          <w:p w:rsidR="00941E13" w:rsidRPr="005A353A" w:rsidRDefault="00941E13" w:rsidP="00692AC8">
            <w:pPr>
              <w:spacing w:line="560" w:lineRule="exact"/>
              <w:rPr>
                <w:color w:val="000000"/>
                <w:sz w:val="24"/>
              </w:rPr>
            </w:pPr>
            <w:r w:rsidRPr="005A353A">
              <w:rPr>
                <w:rFonts w:hint="eastAsia"/>
                <w:color w:val="000000"/>
                <w:sz w:val="24"/>
              </w:rPr>
              <w:t>分红对象</w:t>
            </w:r>
          </w:p>
        </w:tc>
        <w:tc>
          <w:tcPr>
            <w:tcW w:w="3209" w:type="pct"/>
            <w:tcBorders>
              <w:top w:val="single" w:sz="4" w:space="0" w:color="auto"/>
              <w:left w:val="single" w:sz="4" w:space="0" w:color="auto"/>
              <w:bottom w:val="single" w:sz="4" w:space="0" w:color="auto"/>
              <w:right w:val="single" w:sz="4" w:space="0" w:color="auto"/>
            </w:tcBorders>
            <w:vAlign w:val="center"/>
            <w:hideMark/>
          </w:tcPr>
          <w:p w:rsidR="00941E13" w:rsidRPr="005A353A" w:rsidRDefault="00C3705B" w:rsidP="00692AC8">
            <w:pPr>
              <w:autoSpaceDE w:val="0"/>
              <w:autoSpaceDN w:val="0"/>
              <w:adjustRightInd w:val="0"/>
              <w:rPr>
                <w:color w:val="000000"/>
                <w:sz w:val="15"/>
                <w:szCs w:val="15"/>
              </w:rPr>
            </w:pPr>
            <w:r>
              <w:rPr>
                <w:rFonts w:hint="eastAsia"/>
                <w:color w:val="000000"/>
                <w:sz w:val="24"/>
              </w:rPr>
              <w:t>权益登记日</w:t>
            </w:r>
            <w:r w:rsidR="004D1A9F">
              <w:rPr>
                <w:rFonts w:hint="eastAsia"/>
                <w:color w:val="000000"/>
                <w:sz w:val="24"/>
              </w:rPr>
              <w:t>下午深圳证券交易所交易结束后，</w:t>
            </w:r>
            <w:r>
              <w:rPr>
                <w:rFonts w:hint="eastAsia"/>
                <w:color w:val="000000"/>
                <w:sz w:val="24"/>
              </w:rPr>
              <w:t>在</w:t>
            </w:r>
            <w:r w:rsidR="004D1A9F">
              <w:rPr>
                <w:rFonts w:hint="eastAsia"/>
                <w:color w:val="000000"/>
                <w:sz w:val="24"/>
              </w:rPr>
              <w:t>中国证券登记结算有限责任公司深圳分公司</w:t>
            </w:r>
            <w:r>
              <w:rPr>
                <w:rFonts w:hint="eastAsia"/>
                <w:color w:val="000000"/>
                <w:sz w:val="24"/>
              </w:rPr>
              <w:t>登记在册的本基金</w:t>
            </w:r>
            <w:r w:rsidR="00184205">
              <w:rPr>
                <w:rFonts w:hint="eastAsia"/>
                <w:color w:val="000000"/>
                <w:sz w:val="24"/>
              </w:rPr>
              <w:t>全体基金</w:t>
            </w:r>
            <w:r w:rsidR="00F902A7">
              <w:rPr>
                <w:rFonts w:hint="eastAsia"/>
                <w:color w:val="000000"/>
                <w:sz w:val="24"/>
              </w:rPr>
              <w:t>份额</w:t>
            </w:r>
            <w:r>
              <w:rPr>
                <w:rFonts w:hint="eastAsia"/>
                <w:color w:val="000000"/>
                <w:sz w:val="24"/>
              </w:rPr>
              <w:t>持有人。</w:t>
            </w:r>
          </w:p>
        </w:tc>
      </w:tr>
      <w:tr w:rsidR="00941E13" w:rsidTr="00692AC8">
        <w:trPr>
          <w:jc w:val="center"/>
        </w:trPr>
        <w:tc>
          <w:tcPr>
            <w:tcW w:w="1791" w:type="pct"/>
            <w:tcBorders>
              <w:top w:val="single" w:sz="4" w:space="0" w:color="auto"/>
              <w:left w:val="single" w:sz="4" w:space="0" w:color="auto"/>
              <w:bottom w:val="single" w:sz="4" w:space="0" w:color="auto"/>
              <w:right w:val="single" w:sz="4" w:space="0" w:color="auto"/>
            </w:tcBorders>
            <w:vAlign w:val="center"/>
            <w:hideMark/>
          </w:tcPr>
          <w:p w:rsidR="00941E13" w:rsidRDefault="00941E13" w:rsidP="00692AC8">
            <w:pPr>
              <w:spacing w:line="560" w:lineRule="exact"/>
              <w:rPr>
                <w:color w:val="000000"/>
                <w:sz w:val="24"/>
              </w:rPr>
            </w:pPr>
            <w:r>
              <w:rPr>
                <w:rFonts w:hint="eastAsia"/>
                <w:color w:val="000000"/>
                <w:sz w:val="24"/>
              </w:rPr>
              <w:t>税收相关事项的说明</w:t>
            </w:r>
          </w:p>
        </w:tc>
        <w:tc>
          <w:tcPr>
            <w:tcW w:w="3209" w:type="pct"/>
            <w:tcBorders>
              <w:top w:val="single" w:sz="4" w:space="0" w:color="auto"/>
              <w:left w:val="single" w:sz="4" w:space="0" w:color="auto"/>
              <w:bottom w:val="single" w:sz="4" w:space="0" w:color="auto"/>
              <w:right w:val="single" w:sz="4" w:space="0" w:color="auto"/>
            </w:tcBorders>
            <w:vAlign w:val="center"/>
            <w:hideMark/>
          </w:tcPr>
          <w:p w:rsidR="00941E13" w:rsidRDefault="00BE09EE" w:rsidP="00692AC8">
            <w:pPr>
              <w:spacing w:line="276" w:lineRule="auto"/>
              <w:rPr>
                <w:color w:val="000000"/>
                <w:sz w:val="24"/>
              </w:rPr>
            </w:pPr>
            <w:r w:rsidRPr="003F3B5C">
              <w:rPr>
                <w:rFonts w:hint="eastAsia"/>
                <w:color w:val="000000"/>
                <w:sz w:val="24"/>
              </w:rPr>
              <w:t>根据</w:t>
            </w:r>
            <w:r w:rsidR="00866978">
              <w:rPr>
                <w:rFonts w:hint="eastAsia"/>
                <w:color w:val="000000"/>
                <w:sz w:val="24"/>
              </w:rPr>
              <w:t>财政部、国家税务总局颁布的</w:t>
            </w:r>
            <w:r w:rsidRPr="003F3B5C">
              <w:rPr>
                <w:rFonts w:hint="eastAsia"/>
                <w:color w:val="000000"/>
                <w:sz w:val="24"/>
              </w:rPr>
              <w:t>相关规定，基金向投资者分配的基金收益，暂免征收所得税。</w:t>
            </w:r>
          </w:p>
        </w:tc>
      </w:tr>
      <w:tr w:rsidR="00941E13" w:rsidTr="00692AC8">
        <w:trPr>
          <w:jc w:val="center"/>
        </w:trPr>
        <w:tc>
          <w:tcPr>
            <w:tcW w:w="1791" w:type="pct"/>
            <w:tcBorders>
              <w:top w:val="single" w:sz="4" w:space="0" w:color="auto"/>
              <w:left w:val="single" w:sz="4" w:space="0" w:color="auto"/>
              <w:bottom w:val="single" w:sz="4" w:space="0" w:color="auto"/>
              <w:right w:val="single" w:sz="4" w:space="0" w:color="auto"/>
            </w:tcBorders>
            <w:vAlign w:val="center"/>
            <w:hideMark/>
          </w:tcPr>
          <w:p w:rsidR="00941E13" w:rsidRDefault="00941E13" w:rsidP="00692AC8">
            <w:pPr>
              <w:spacing w:line="560" w:lineRule="exact"/>
              <w:rPr>
                <w:color w:val="000000"/>
                <w:sz w:val="24"/>
              </w:rPr>
            </w:pPr>
            <w:r>
              <w:rPr>
                <w:rFonts w:hint="eastAsia"/>
                <w:color w:val="000000"/>
                <w:sz w:val="24"/>
              </w:rPr>
              <w:t>费用相关事项的说明</w:t>
            </w:r>
          </w:p>
        </w:tc>
        <w:tc>
          <w:tcPr>
            <w:tcW w:w="3209" w:type="pct"/>
            <w:tcBorders>
              <w:top w:val="single" w:sz="4" w:space="0" w:color="auto"/>
              <w:left w:val="single" w:sz="4" w:space="0" w:color="auto"/>
              <w:bottom w:val="single" w:sz="4" w:space="0" w:color="auto"/>
              <w:right w:val="single" w:sz="4" w:space="0" w:color="auto"/>
            </w:tcBorders>
            <w:vAlign w:val="center"/>
            <w:hideMark/>
          </w:tcPr>
          <w:p w:rsidR="00941E13" w:rsidRPr="00595F74" w:rsidRDefault="00595F74" w:rsidP="00692AC8">
            <w:pPr>
              <w:spacing w:line="276" w:lineRule="auto"/>
              <w:rPr>
                <w:color w:val="000000"/>
                <w:sz w:val="24"/>
              </w:rPr>
            </w:pPr>
            <w:r w:rsidRPr="003025FD">
              <w:rPr>
                <w:rFonts w:hint="eastAsia"/>
                <w:color w:val="000000"/>
                <w:sz w:val="24"/>
              </w:rPr>
              <w:t>本次分红免收分红手续费</w:t>
            </w:r>
            <w:r w:rsidR="00A10F2B" w:rsidRPr="00595F74">
              <w:rPr>
                <w:color w:val="000000"/>
                <w:sz w:val="24"/>
              </w:rPr>
              <w:t xml:space="preserve"> </w:t>
            </w:r>
          </w:p>
        </w:tc>
      </w:tr>
    </w:tbl>
    <w:p w:rsidR="00941E13" w:rsidRDefault="00941E13" w:rsidP="00941E13">
      <w:pPr>
        <w:pStyle w:val="2"/>
        <w:spacing w:line="560" w:lineRule="exact"/>
        <w:rPr>
          <w:rFonts w:ascii="Times New Roman" w:eastAsia="方正仿宋简体" w:hAnsi="Times New Roman"/>
          <w:bCs w:val="0"/>
          <w:color w:val="000000"/>
          <w:sz w:val="24"/>
          <w:szCs w:val="24"/>
        </w:rPr>
      </w:pPr>
      <w:bookmarkStart w:id="3" w:name="_Toc275961420"/>
      <w:r>
        <w:rPr>
          <w:rFonts w:ascii="Times New Roman" w:eastAsia="方正仿宋简体" w:hAnsi="Times New Roman"/>
          <w:bCs w:val="0"/>
          <w:color w:val="000000"/>
          <w:sz w:val="24"/>
          <w:szCs w:val="24"/>
        </w:rPr>
        <w:t xml:space="preserve">3 </w:t>
      </w:r>
      <w:r>
        <w:rPr>
          <w:rFonts w:ascii="Times New Roman" w:eastAsia="方正仿宋简体" w:hAnsi="Times New Roman" w:hint="eastAsia"/>
          <w:bCs w:val="0"/>
          <w:color w:val="000000"/>
          <w:sz w:val="24"/>
          <w:szCs w:val="24"/>
        </w:rPr>
        <w:t>其他需要提示的事项</w:t>
      </w:r>
      <w:bookmarkEnd w:id="3"/>
    </w:p>
    <w:p w:rsidR="00BF5067" w:rsidRPr="00F82B0D" w:rsidRDefault="00E40C44" w:rsidP="00BF5067">
      <w:pPr>
        <w:pStyle w:val="ac"/>
        <w:numPr>
          <w:ilvl w:val="0"/>
          <w:numId w:val="1"/>
        </w:numPr>
        <w:spacing w:line="360" w:lineRule="auto"/>
        <w:ind w:firstLineChars="0"/>
        <w:rPr>
          <w:color w:val="000000"/>
          <w:sz w:val="24"/>
        </w:rPr>
      </w:pPr>
      <w:r w:rsidRPr="00BF5067">
        <w:rPr>
          <w:rFonts w:hint="eastAsia"/>
          <w:color w:val="000000"/>
          <w:sz w:val="24"/>
        </w:rPr>
        <w:t>为保护投资者利益，本</w:t>
      </w:r>
      <w:r w:rsidRPr="007653EA">
        <w:rPr>
          <w:rFonts w:hint="eastAsia"/>
          <w:color w:val="000000"/>
          <w:sz w:val="24"/>
        </w:rPr>
        <w:t>公司将于权益登记日（</w:t>
      </w:r>
      <w:r w:rsidR="00BC705E" w:rsidRPr="007653EA">
        <w:rPr>
          <w:color w:val="000000"/>
          <w:sz w:val="24"/>
        </w:rPr>
        <w:t>202</w:t>
      </w:r>
      <w:r w:rsidR="00A24FC3">
        <w:rPr>
          <w:color w:val="000000"/>
          <w:sz w:val="24"/>
        </w:rPr>
        <w:t>5</w:t>
      </w:r>
      <w:r w:rsidR="00BC705E" w:rsidRPr="007653EA">
        <w:rPr>
          <w:rFonts w:hint="eastAsia"/>
          <w:color w:val="000000"/>
          <w:sz w:val="24"/>
        </w:rPr>
        <w:t>年</w:t>
      </w:r>
      <w:r w:rsidR="00A24FC3">
        <w:rPr>
          <w:color w:val="000000"/>
          <w:sz w:val="24"/>
        </w:rPr>
        <w:t>12</w:t>
      </w:r>
      <w:r w:rsidR="00BC705E" w:rsidRPr="007653EA">
        <w:rPr>
          <w:rFonts w:hint="eastAsia"/>
          <w:color w:val="000000"/>
          <w:sz w:val="24"/>
        </w:rPr>
        <w:t>月</w:t>
      </w:r>
      <w:r w:rsidR="00A24FC3">
        <w:rPr>
          <w:color w:val="000000"/>
          <w:sz w:val="24"/>
        </w:rPr>
        <w:t>5</w:t>
      </w:r>
      <w:r w:rsidR="00BC705E" w:rsidRPr="007653EA">
        <w:rPr>
          <w:rFonts w:hint="eastAsia"/>
          <w:color w:val="000000"/>
          <w:sz w:val="24"/>
        </w:rPr>
        <w:t>日</w:t>
      </w:r>
      <w:r w:rsidRPr="007653EA">
        <w:rPr>
          <w:rFonts w:hint="eastAsia"/>
          <w:color w:val="000000"/>
          <w:sz w:val="24"/>
        </w:rPr>
        <w:t>）暂停本基金的场外实物申购以及赎回业务，并将于</w:t>
      </w:r>
      <w:r w:rsidR="00F21389" w:rsidRPr="007653EA">
        <w:rPr>
          <w:rFonts w:hint="eastAsia"/>
          <w:color w:val="000000"/>
          <w:sz w:val="24"/>
        </w:rPr>
        <w:t>权益登记日</w:t>
      </w:r>
      <w:r w:rsidR="00BF5067" w:rsidRPr="007653EA">
        <w:rPr>
          <w:rFonts w:hint="eastAsia"/>
          <w:color w:val="000000"/>
          <w:sz w:val="24"/>
        </w:rPr>
        <w:t>次</w:t>
      </w:r>
      <w:r w:rsidR="00F21389" w:rsidRPr="007653EA">
        <w:rPr>
          <w:rFonts w:hint="eastAsia"/>
          <w:color w:val="000000"/>
          <w:sz w:val="24"/>
        </w:rPr>
        <w:t>一交易日（</w:t>
      </w:r>
      <w:r w:rsidR="00BC705E" w:rsidRPr="007653EA">
        <w:rPr>
          <w:color w:val="000000"/>
          <w:sz w:val="24"/>
        </w:rPr>
        <w:t>202</w:t>
      </w:r>
      <w:r w:rsidR="00A24FC3">
        <w:rPr>
          <w:color w:val="000000"/>
          <w:sz w:val="24"/>
        </w:rPr>
        <w:t>5</w:t>
      </w:r>
      <w:r w:rsidR="00BC705E" w:rsidRPr="007653EA">
        <w:rPr>
          <w:rFonts w:hint="eastAsia"/>
          <w:color w:val="000000"/>
          <w:sz w:val="24"/>
        </w:rPr>
        <w:t>年</w:t>
      </w:r>
      <w:r w:rsidR="00A24FC3">
        <w:rPr>
          <w:color w:val="000000"/>
          <w:sz w:val="24"/>
        </w:rPr>
        <w:t>12</w:t>
      </w:r>
      <w:r w:rsidR="00BC705E" w:rsidRPr="007653EA">
        <w:rPr>
          <w:rFonts w:hint="eastAsia"/>
          <w:color w:val="000000"/>
          <w:sz w:val="24"/>
        </w:rPr>
        <w:t>月</w:t>
      </w:r>
      <w:r w:rsidR="00A24FC3">
        <w:rPr>
          <w:color w:val="000000"/>
          <w:sz w:val="24"/>
        </w:rPr>
        <w:t>8</w:t>
      </w:r>
      <w:r w:rsidR="00BC705E" w:rsidRPr="007653EA">
        <w:rPr>
          <w:rFonts w:hint="eastAsia"/>
          <w:color w:val="000000"/>
          <w:sz w:val="24"/>
        </w:rPr>
        <w:t>日</w:t>
      </w:r>
      <w:r w:rsidR="00F21389" w:rsidRPr="007653EA">
        <w:rPr>
          <w:rFonts w:hint="eastAsia"/>
          <w:color w:val="000000"/>
          <w:sz w:val="24"/>
        </w:rPr>
        <w:t>）</w:t>
      </w:r>
      <w:r w:rsidRPr="007653EA">
        <w:rPr>
          <w:rFonts w:hint="eastAsia"/>
          <w:color w:val="000000"/>
          <w:sz w:val="24"/>
        </w:rPr>
        <w:t>起恢复办理上述业务。</w:t>
      </w:r>
    </w:p>
    <w:p w:rsidR="00676609" w:rsidRPr="00BF5067" w:rsidRDefault="00E40C44" w:rsidP="00BF5067">
      <w:pPr>
        <w:pStyle w:val="ac"/>
        <w:numPr>
          <w:ilvl w:val="0"/>
          <w:numId w:val="1"/>
        </w:numPr>
        <w:spacing w:line="360" w:lineRule="auto"/>
        <w:ind w:firstLineChars="0"/>
        <w:rPr>
          <w:color w:val="000000"/>
          <w:sz w:val="24"/>
        </w:rPr>
      </w:pPr>
      <w:r w:rsidRPr="00BF5067">
        <w:rPr>
          <w:rFonts w:hint="eastAsia"/>
          <w:color w:val="000000"/>
          <w:sz w:val="24"/>
        </w:rPr>
        <w:t>本基金的场内“深市股票实物申赎，沪市股票现金替代”申购以及赎回业务</w:t>
      </w:r>
      <w:r w:rsidR="004D1A9F">
        <w:rPr>
          <w:rFonts w:hint="eastAsia"/>
          <w:color w:val="000000"/>
          <w:sz w:val="24"/>
        </w:rPr>
        <w:t>正常办理</w:t>
      </w:r>
      <w:r w:rsidR="00C25BBC">
        <w:rPr>
          <w:rFonts w:hint="eastAsia"/>
          <w:color w:val="000000"/>
          <w:sz w:val="24"/>
        </w:rPr>
        <w:t>；</w:t>
      </w:r>
      <w:r w:rsidRPr="00BF5067">
        <w:rPr>
          <w:rFonts w:hint="eastAsia"/>
          <w:color w:val="000000"/>
          <w:sz w:val="24"/>
        </w:rPr>
        <w:t>本基金二级市场交易正常进行。</w:t>
      </w:r>
    </w:p>
    <w:p w:rsidR="000D4721" w:rsidRDefault="00E40C44" w:rsidP="00BF5067">
      <w:pPr>
        <w:pStyle w:val="ac"/>
        <w:numPr>
          <w:ilvl w:val="0"/>
          <w:numId w:val="1"/>
        </w:numPr>
        <w:spacing w:line="360" w:lineRule="auto"/>
        <w:ind w:firstLineChars="0"/>
        <w:rPr>
          <w:color w:val="000000"/>
          <w:sz w:val="24"/>
        </w:rPr>
      </w:pPr>
      <w:r w:rsidRPr="0031046F">
        <w:rPr>
          <w:rFonts w:hint="eastAsia"/>
          <w:color w:val="000000"/>
          <w:sz w:val="24"/>
        </w:rPr>
        <w:t>本次收益分配公告已经本基金托管人中国</w:t>
      </w:r>
      <w:r w:rsidR="00DD7D18">
        <w:rPr>
          <w:rFonts w:hint="eastAsia"/>
          <w:color w:val="000000"/>
          <w:sz w:val="24"/>
        </w:rPr>
        <w:t>建设</w:t>
      </w:r>
      <w:r w:rsidRPr="0031046F">
        <w:rPr>
          <w:rFonts w:hint="eastAsia"/>
          <w:color w:val="000000"/>
          <w:sz w:val="24"/>
        </w:rPr>
        <w:t>银行股份有限公司复核。</w:t>
      </w:r>
    </w:p>
    <w:p w:rsidR="00654785" w:rsidRDefault="00676609" w:rsidP="00BF5067">
      <w:pPr>
        <w:pStyle w:val="ac"/>
        <w:numPr>
          <w:ilvl w:val="0"/>
          <w:numId w:val="1"/>
        </w:numPr>
        <w:spacing w:line="360" w:lineRule="auto"/>
        <w:ind w:firstLineChars="0"/>
        <w:rPr>
          <w:color w:val="000000"/>
          <w:sz w:val="24"/>
        </w:rPr>
      </w:pPr>
      <w:r w:rsidRPr="0031046F">
        <w:rPr>
          <w:rFonts w:hint="eastAsia"/>
          <w:color w:val="000000"/>
          <w:sz w:val="24"/>
        </w:rPr>
        <w:t>因本次分红导致基金</w:t>
      </w:r>
      <w:r w:rsidR="003A17ED">
        <w:rPr>
          <w:rFonts w:hint="eastAsia"/>
          <w:color w:val="000000"/>
          <w:sz w:val="24"/>
        </w:rPr>
        <w:t>份额</w:t>
      </w:r>
      <w:r w:rsidRPr="0031046F">
        <w:rPr>
          <w:rFonts w:hint="eastAsia"/>
          <w:color w:val="000000"/>
          <w:sz w:val="24"/>
        </w:rPr>
        <w:t>净值变化，不会改变本基金的风险收益特征，不会降低基金投资风险或提高基金投资收益。</w:t>
      </w:r>
    </w:p>
    <w:p w:rsidR="004512F5" w:rsidRDefault="00654785" w:rsidP="00BF5067">
      <w:pPr>
        <w:pStyle w:val="ac"/>
        <w:numPr>
          <w:ilvl w:val="0"/>
          <w:numId w:val="1"/>
        </w:numPr>
        <w:spacing w:line="360" w:lineRule="auto"/>
        <w:ind w:firstLineChars="0"/>
        <w:rPr>
          <w:color w:val="000000"/>
          <w:sz w:val="24"/>
        </w:rPr>
      </w:pPr>
      <w:r w:rsidRPr="00557A82">
        <w:rPr>
          <w:color w:val="000000"/>
          <w:sz w:val="24"/>
        </w:rPr>
        <w:t>权益登记日当日</w:t>
      </w:r>
      <w:r>
        <w:rPr>
          <w:rFonts w:hint="eastAsia"/>
          <w:color w:val="000000"/>
          <w:sz w:val="24"/>
        </w:rPr>
        <w:t>，通过场内交易买入</w:t>
      </w:r>
      <w:r w:rsidR="00C25BBC">
        <w:rPr>
          <w:rFonts w:hint="eastAsia"/>
          <w:color w:val="000000"/>
          <w:sz w:val="24"/>
        </w:rPr>
        <w:t>或申请申购</w:t>
      </w:r>
      <w:r>
        <w:rPr>
          <w:rFonts w:hint="eastAsia"/>
          <w:color w:val="000000"/>
          <w:sz w:val="24"/>
        </w:rPr>
        <w:t>的基金份额享有本次分红权益</w:t>
      </w:r>
      <w:r w:rsidRPr="00557A82">
        <w:rPr>
          <w:rFonts w:hint="eastAsia"/>
          <w:color w:val="000000"/>
          <w:sz w:val="24"/>
        </w:rPr>
        <w:t>，</w:t>
      </w:r>
      <w:r>
        <w:rPr>
          <w:rFonts w:hint="eastAsia"/>
          <w:color w:val="000000"/>
          <w:sz w:val="24"/>
        </w:rPr>
        <w:t>通过场内交易卖出</w:t>
      </w:r>
      <w:r w:rsidR="00C25BBC">
        <w:rPr>
          <w:rFonts w:hint="eastAsia"/>
          <w:color w:val="000000"/>
          <w:sz w:val="24"/>
        </w:rPr>
        <w:t>或申请赎回</w:t>
      </w:r>
      <w:r>
        <w:rPr>
          <w:rFonts w:hint="eastAsia"/>
          <w:color w:val="000000"/>
          <w:sz w:val="24"/>
        </w:rPr>
        <w:t>的基金份额不</w:t>
      </w:r>
      <w:r w:rsidR="004512F5">
        <w:rPr>
          <w:rFonts w:hint="eastAsia"/>
          <w:color w:val="000000"/>
          <w:sz w:val="24"/>
        </w:rPr>
        <w:t>享有</w:t>
      </w:r>
      <w:r>
        <w:rPr>
          <w:rFonts w:hint="eastAsia"/>
          <w:color w:val="000000"/>
          <w:sz w:val="24"/>
        </w:rPr>
        <w:t>本次分红权益。</w:t>
      </w:r>
    </w:p>
    <w:p w:rsidR="00D15832" w:rsidRDefault="00D15832" w:rsidP="00BF5067">
      <w:pPr>
        <w:pStyle w:val="ac"/>
        <w:numPr>
          <w:ilvl w:val="0"/>
          <w:numId w:val="1"/>
        </w:numPr>
        <w:spacing w:line="360" w:lineRule="auto"/>
        <w:ind w:firstLineChars="0"/>
        <w:rPr>
          <w:color w:val="000000"/>
          <w:sz w:val="24"/>
        </w:rPr>
      </w:pPr>
      <w:r w:rsidRPr="00D15832">
        <w:rPr>
          <w:rFonts w:hint="eastAsia"/>
          <w:color w:val="000000"/>
          <w:sz w:val="24"/>
        </w:rPr>
        <w:t>本次派发的现金红利将</w:t>
      </w:r>
      <w:r w:rsidRPr="00F82B0D">
        <w:rPr>
          <w:rFonts w:hint="eastAsia"/>
          <w:color w:val="000000"/>
          <w:sz w:val="24"/>
        </w:rPr>
        <w:t>于</w:t>
      </w:r>
      <w:r w:rsidR="00BC705E" w:rsidRPr="007653EA">
        <w:rPr>
          <w:color w:val="000000"/>
          <w:sz w:val="24"/>
        </w:rPr>
        <w:t>202</w:t>
      </w:r>
      <w:r w:rsidR="00A24FC3">
        <w:rPr>
          <w:color w:val="000000"/>
          <w:sz w:val="24"/>
        </w:rPr>
        <w:t>5</w:t>
      </w:r>
      <w:r w:rsidRPr="007653EA">
        <w:rPr>
          <w:rFonts w:hint="eastAsia"/>
          <w:color w:val="000000"/>
          <w:sz w:val="24"/>
        </w:rPr>
        <w:t>年</w:t>
      </w:r>
      <w:r w:rsidR="00A24FC3">
        <w:rPr>
          <w:color w:val="000000"/>
          <w:sz w:val="24"/>
        </w:rPr>
        <w:t>12</w:t>
      </w:r>
      <w:r w:rsidRPr="007653EA">
        <w:rPr>
          <w:rFonts w:hint="eastAsia"/>
          <w:color w:val="000000"/>
          <w:sz w:val="24"/>
        </w:rPr>
        <w:t>月</w:t>
      </w:r>
      <w:r w:rsidR="00A24FC3">
        <w:rPr>
          <w:color w:val="000000"/>
          <w:sz w:val="24"/>
        </w:rPr>
        <w:t>9</w:t>
      </w:r>
      <w:r w:rsidRPr="007653EA">
        <w:rPr>
          <w:rFonts w:hint="eastAsia"/>
          <w:color w:val="000000"/>
          <w:sz w:val="24"/>
        </w:rPr>
        <w:t>日自本</w:t>
      </w:r>
      <w:r w:rsidRPr="00D15832">
        <w:rPr>
          <w:rFonts w:hint="eastAsia"/>
          <w:color w:val="000000"/>
          <w:sz w:val="24"/>
        </w:rPr>
        <w:t>基金托管账户划出。投资者具体收到现金红利的时间遵循中国证券登记结算有限责任公司及各销售机构的规定。</w:t>
      </w:r>
    </w:p>
    <w:p w:rsidR="001A0ED3" w:rsidRPr="009705A3" w:rsidRDefault="00676609" w:rsidP="00BF5067">
      <w:pPr>
        <w:pStyle w:val="ac"/>
        <w:numPr>
          <w:ilvl w:val="0"/>
          <w:numId w:val="1"/>
        </w:numPr>
        <w:spacing w:line="360" w:lineRule="auto"/>
        <w:ind w:firstLineChars="0"/>
        <w:rPr>
          <w:color w:val="000000"/>
          <w:sz w:val="24"/>
        </w:rPr>
      </w:pPr>
      <w:r w:rsidRPr="005517B2">
        <w:rPr>
          <w:rFonts w:hint="eastAsia"/>
          <w:color w:val="000000"/>
          <w:sz w:val="24"/>
        </w:rPr>
        <w:t>投资者可以通过以下途径咨询、了解本基金有关详情：嘉实基金管理有限公司网站</w:t>
      </w:r>
      <w:r w:rsidRPr="005517B2">
        <w:rPr>
          <w:rFonts w:hint="eastAsia"/>
          <w:color w:val="000000"/>
          <w:sz w:val="24"/>
        </w:rPr>
        <w:t>http://www.jsfund.cn</w:t>
      </w:r>
      <w:r w:rsidRPr="005517B2">
        <w:rPr>
          <w:rFonts w:hint="eastAsia"/>
          <w:color w:val="000000"/>
          <w:sz w:val="24"/>
        </w:rPr>
        <w:t>，客户服务电话：</w:t>
      </w:r>
      <w:r w:rsidRPr="005517B2">
        <w:rPr>
          <w:rFonts w:hint="eastAsia"/>
          <w:color w:val="000000"/>
          <w:sz w:val="24"/>
        </w:rPr>
        <w:t>400-600-8800</w:t>
      </w:r>
      <w:r w:rsidRPr="005517B2">
        <w:rPr>
          <w:rFonts w:hint="eastAsia"/>
          <w:color w:val="000000"/>
          <w:sz w:val="24"/>
        </w:rPr>
        <w:t>。</w:t>
      </w:r>
    </w:p>
    <w:sectPr w:rsidR="001A0ED3" w:rsidRPr="009705A3" w:rsidSect="006442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83B" w:rsidRDefault="00F9483B" w:rsidP="00941E13">
      <w:r>
        <w:separator/>
      </w:r>
    </w:p>
  </w:endnote>
  <w:endnote w:type="continuationSeparator" w:id="0">
    <w:p w:rsidR="00F9483B" w:rsidRDefault="00F9483B" w:rsidP="00941E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宋体"/>
    <w:charset w:val="86"/>
    <w:family w:val="auto"/>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83B" w:rsidRDefault="00F9483B" w:rsidP="00941E13">
      <w:r>
        <w:separator/>
      </w:r>
    </w:p>
  </w:footnote>
  <w:footnote w:type="continuationSeparator" w:id="0">
    <w:p w:rsidR="00F9483B" w:rsidRDefault="00F9483B" w:rsidP="00941E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042FE"/>
    <w:multiLevelType w:val="hybridMultilevel"/>
    <w:tmpl w:val="9BB85198"/>
    <w:lvl w:ilvl="0" w:tplc="7F14A41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1E13"/>
    <w:rsid w:val="00000015"/>
    <w:rsid w:val="000108E7"/>
    <w:rsid w:val="00010E9C"/>
    <w:rsid w:val="00012486"/>
    <w:rsid w:val="00015860"/>
    <w:rsid w:val="0002458C"/>
    <w:rsid w:val="000339C1"/>
    <w:rsid w:val="00044758"/>
    <w:rsid w:val="00044AE2"/>
    <w:rsid w:val="000460FA"/>
    <w:rsid w:val="0005043B"/>
    <w:rsid w:val="00063F3F"/>
    <w:rsid w:val="00066EA8"/>
    <w:rsid w:val="0007350D"/>
    <w:rsid w:val="000747C0"/>
    <w:rsid w:val="00080D88"/>
    <w:rsid w:val="0009565F"/>
    <w:rsid w:val="000B42A4"/>
    <w:rsid w:val="000B52FA"/>
    <w:rsid w:val="000C0CFC"/>
    <w:rsid w:val="000C4D4F"/>
    <w:rsid w:val="000C7E12"/>
    <w:rsid w:val="000D3F45"/>
    <w:rsid w:val="000D4721"/>
    <w:rsid w:val="000E0018"/>
    <w:rsid w:val="000E421F"/>
    <w:rsid w:val="000F243A"/>
    <w:rsid w:val="0010083C"/>
    <w:rsid w:val="00101FC3"/>
    <w:rsid w:val="00113E59"/>
    <w:rsid w:val="00117B39"/>
    <w:rsid w:val="001370A8"/>
    <w:rsid w:val="001617ED"/>
    <w:rsid w:val="00163895"/>
    <w:rsid w:val="00167D8D"/>
    <w:rsid w:val="00175B81"/>
    <w:rsid w:val="00177698"/>
    <w:rsid w:val="00184205"/>
    <w:rsid w:val="001848AA"/>
    <w:rsid w:val="00190E53"/>
    <w:rsid w:val="001935A7"/>
    <w:rsid w:val="00194735"/>
    <w:rsid w:val="001977F3"/>
    <w:rsid w:val="001A0ED3"/>
    <w:rsid w:val="001A5E27"/>
    <w:rsid w:val="001B230C"/>
    <w:rsid w:val="001B37FB"/>
    <w:rsid w:val="001C4A54"/>
    <w:rsid w:val="001D0F3E"/>
    <w:rsid w:val="001D2429"/>
    <w:rsid w:val="001D3DF3"/>
    <w:rsid w:val="001D4D4D"/>
    <w:rsid w:val="001D5F20"/>
    <w:rsid w:val="001D6DD2"/>
    <w:rsid w:val="001E7540"/>
    <w:rsid w:val="001F2B5A"/>
    <w:rsid w:val="001F4CD0"/>
    <w:rsid w:val="001F6DC6"/>
    <w:rsid w:val="001F7FFB"/>
    <w:rsid w:val="00206B1F"/>
    <w:rsid w:val="002172E8"/>
    <w:rsid w:val="00222817"/>
    <w:rsid w:val="00223F7E"/>
    <w:rsid w:val="0022563C"/>
    <w:rsid w:val="00233850"/>
    <w:rsid w:val="002370DC"/>
    <w:rsid w:val="002537C0"/>
    <w:rsid w:val="0025739E"/>
    <w:rsid w:val="002577D6"/>
    <w:rsid w:val="002607F7"/>
    <w:rsid w:val="0026777A"/>
    <w:rsid w:val="002756B7"/>
    <w:rsid w:val="00275BEF"/>
    <w:rsid w:val="002903D2"/>
    <w:rsid w:val="002927C5"/>
    <w:rsid w:val="00292BC7"/>
    <w:rsid w:val="00293A21"/>
    <w:rsid w:val="002A0749"/>
    <w:rsid w:val="002A24B1"/>
    <w:rsid w:val="002D08E7"/>
    <w:rsid w:val="002D35CD"/>
    <w:rsid w:val="002D3761"/>
    <w:rsid w:val="002E39C3"/>
    <w:rsid w:val="002F6795"/>
    <w:rsid w:val="0030057F"/>
    <w:rsid w:val="003005E9"/>
    <w:rsid w:val="0030069E"/>
    <w:rsid w:val="003025FD"/>
    <w:rsid w:val="0030432C"/>
    <w:rsid w:val="0030671D"/>
    <w:rsid w:val="0031046A"/>
    <w:rsid w:val="003215A9"/>
    <w:rsid w:val="00343027"/>
    <w:rsid w:val="00345B6F"/>
    <w:rsid w:val="00346C05"/>
    <w:rsid w:val="00350BC7"/>
    <w:rsid w:val="00355A7C"/>
    <w:rsid w:val="00357786"/>
    <w:rsid w:val="00362227"/>
    <w:rsid w:val="00382E64"/>
    <w:rsid w:val="00387E04"/>
    <w:rsid w:val="00392763"/>
    <w:rsid w:val="003A17ED"/>
    <w:rsid w:val="003A3A47"/>
    <w:rsid w:val="003A50DB"/>
    <w:rsid w:val="003A7C29"/>
    <w:rsid w:val="003B1917"/>
    <w:rsid w:val="003B5132"/>
    <w:rsid w:val="003D7D66"/>
    <w:rsid w:val="003F184B"/>
    <w:rsid w:val="00400A22"/>
    <w:rsid w:val="0041038A"/>
    <w:rsid w:val="00421ABC"/>
    <w:rsid w:val="004235BA"/>
    <w:rsid w:val="00425B80"/>
    <w:rsid w:val="00426B13"/>
    <w:rsid w:val="00441297"/>
    <w:rsid w:val="004512F5"/>
    <w:rsid w:val="00455E0F"/>
    <w:rsid w:val="00461509"/>
    <w:rsid w:val="004653FA"/>
    <w:rsid w:val="0046683D"/>
    <w:rsid w:val="00467350"/>
    <w:rsid w:val="00472BDF"/>
    <w:rsid w:val="00472C2C"/>
    <w:rsid w:val="00475DBA"/>
    <w:rsid w:val="00477CAB"/>
    <w:rsid w:val="004823B1"/>
    <w:rsid w:val="00494555"/>
    <w:rsid w:val="004A0280"/>
    <w:rsid w:val="004A2284"/>
    <w:rsid w:val="004A356A"/>
    <w:rsid w:val="004A440A"/>
    <w:rsid w:val="004B7C51"/>
    <w:rsid w:val="004C69C2"/>
    <w:rsid w:val="004D1A9F"/>
    <w:rsid w:val="004D3E7A"/>
    <w:rsid w:val="004E7471"/>
    <w:rsid w:val="004F035C"/>
    <w:rsid w:val="004F2450"/>
    <w:rsid w:val="004F5EC2"/>
    <w:rsid w:val="004F72E0"/>
    <w:rsid w:val="0050203D"/>
    <w:rsid w:val="005028C3"/>
    <w:rsid w:val="00512888"/>
    <w:rsid w:val="0051602D"/>
    <w:rsid w:val="005216EC"/>
    <w:rsid w:val="00535C7A"/>
    <w:rsid w:val="00540694"/>
    <w:rsid w:val="0054782F"/>
    <w:rsid w:val="005610D1"/>
    <w:rsid w:val="005623BB"/>
    <w:rsid w:val="0056650F"/>
    <w:rsid w:val="00566DA0"/>
    <w:rsid w:val="005806E6"/>
    <w:rsid w:val="00584A25"/>
    <w:rsid w:val="00591C23"/>
    <w:rsid w:val="00594FF3"/>
    <w:rsid w:val="00595F74"/>
    <w:rsid w:val="005A303C"/>
    <w:rsid w:val="005A353A"/>
    <w:rsid w:val="005B2330"/>
    <w:rsid w:val="005B2833"/>
    <w:rsid w:val="005B7F90"/>
    <w:rsid w:val="005C048C"/>
    <w:rsid w:val="005C3589"/>
    <w:rsid w:val="005D1481"/>
    <w:rsid w:val="005D4071"/>
    <w:rsid w:val="005E3914"/>
    <w:rsid w:val="005E6467"/>
    <w:rsid w:val="005F2269"/>
    <w:rsid w:val="005F7F64"/>
    <w:rsid w:val="00605474"/>
    <w:rsid w:val="0061041A"/>
    <w:rsid w:val="00632FAB"/>
    <w:rsid w:val="00644208"/>
    <w:rsid w:val="006503B2"/>
    <w:rsid w:val="00654785"/>
    <w:rsid w:val="00654C99"/>
    <w:rsid w:val="0066008B"/>
    <w:rsid w:val="00674DD1"/>
    <w:rsid w:val="00676609"/>
    <w:rsid w:val="00682B5F"/>
    <w:rsid w:val="00685BDB"/>
    <w:rsid w:val="00691380"/>
    <w:rsid w:val="00691827"/>
    <w:rsid w:val="00692AC8"/>
    <w:rsid w:val="006A6231"/>
    <w:rsid w:val="006C3868"/>
    <w:rsid w:val="006E6200"/>
    <w:rsid w:val="006E69B7"/>
    <w:rsid w:val="006F5761"/>
    <w:rsid w:val="006F5843"/>
    <w:rsid w:val="006F5CF0"/>
    <w:rsid w:val="00705C02"/>
    <w:rsid w:val="00723886"/>
    <w:rsid w:val="00731307"/>
    <w:rsid w:val="007369F6"/>
    <w:rsid w:val="007369FD"/>
    <w:rsid w:val="007425A4"/>
    <w:rsid w:val="007528CF"/>
    <w:rsid w:val="00756213"/>
    <w:rsid w:val="00764712"/>
    <w:rsid w:val="007653EA"/>
    <w:rsid w:val="00767150"/>
    <w:rsid w:val="007675C3"/>
    <w:rsid w:val="007741CC"/>
    <w:rsid w:val="0079383F"/>
    <w:rsid w:val="007A2E60"/>
    <w:rsid w:val="007A5610"/>
    <w:rsid w:val="007A69BF"/>
    <w:rsid w:val="007C5D7C"/>
    <w:rsid w:val="007C7833"/>
    <w:rsid w:val="007C7A2F"/>
    <w:rsid w:val="007F2D33"/>
    <w:rsid w:val="00816E91"/>
    <w:rsid w:val="00817A7B"/>
    <w:rsid w:val="00821816"/>
    <w:rsid w:val="008466B8"/>
    <w:rsid w:val="00864B52"/>
    <w:rsid w:val="00866978"/>
    <w:rsid w:val="00867F9C"/>
    <w:rsid w:val="008738B0"/>
    <w:rsid w:val="0088042C"/>
    <w:rsid w:val="008818C2"/>
    <w:rsid w:val="00884824"/>
    <w:rsid w:val="00890703"/>
    <w:rsid w:val="00890E9E"/>
    <w:rsid w:val="00894DDD"/>
    <w:rsid w:val="008B4AEF"/>
    <w:rsid w:val="008B6ADC"/>
    <w:rsid w:val="008C2CD7"/>
    <w:rsid w:val="008C37F3"/>
    <w:rsid w:val="008C3A4F"/>
    <w:rsid w:val="008C44E6"/>
    <w:rsid w:val="008C6CD6"/>
    <w:rsid w:val="008D0591"/>
    <w:rsid w:val="008D146B"/>
    <w:rsid w:val="008E0929"/>
    <w:rsid w:val="008F70FA"/>
    <w:rsid w:val="00903CE5"/>
    <w:rsid w:val="00907E07"/>
    <w:rsid w:val="00916089"/>
    <w:rsid w:val="00917977"/>
    <w:rsid w:val="00917FD4"/>
    <w:rsid w:val="0092339D"/>
    <w:rsid w:val="00941E13"/>
    <w:rsid w:val="00942999"/>
    <w:rsid w:val="00955BE9"/>
    <w:rsid w:val="00956A9D"/>
    <w:rsid w:val="00967035"/>
    <w:rsid w:val="009705A3"/>
    <w:rsid w:val="009A70BE"/>
    <w:rsid w:val="009B0AC3"/>
    <w:rsid w:val="009B0D77"/>
    <w:rsid w:val="009B295E"/>
    <w:rsid w:val="009C0141"/>
    <w:rsid w:val="009C3FAE"/>
    <w:rsid w:val="009D6AF7"/>
    <w:rsid w:val="009F53A0"/>
    <w:rsid w:val="009F618E"/>
    <w:rsid w:val="00A04857"/>
    <w:rsid w:val="00A05E95"/>
    <w:rsid w:val="00A10F2B"/>
    <w:rsid w:val="00A17FF4"/>
    <w:rsid w:val="00A24FC3"/>
    <w:rsid w:val="00A252B0"/>
    <w:rsid w:val="00A25FBE"/>
    <w:rsid w:val="00A25FFD"/>
    <w:rsid w:val="00A41ACA"/>
    <w:rsid w:val="00A437C6"/>
    <w:rsid w:val="00A43FC2"/>
    <w:rsid w:val="00A5673C"/>
    <w:rsid w:val="00A67487"/>
    <w:rsid w:val="00A71D74"/>
    <w:rsid w:val="00A723D4"/>
    <w:rsid w:val="00A75814"/>
    <w:rsid w:val="00AA158C"/>
    <w:rsid w:val="00AA32B0"/>
    <w:rsid w:val="00AA6066"/>
    <w:rsid w:val="00AA6928"/>
    <w:rsid w:val="00AA7F67"/>
    <w:rsid w:val="00AB0EB7"/>
    <w:rsid w:val="00AB332C"/>
    <w:rsid w:val="00AD4E2B"/>
    <w:rsid w:val="00AD760F"/>
    <w:rsid w:val="00AF3171"/>
    <w:rsid w:val="00AF7D78"/>
    <w:rsid w:val="00B054B3"/>
    <w:rsid w:val="00B167D7"/>
    <w:rsid w:val="00B21070"/>
    <w:rsid w:val="00B27DFE"/>
    <w:rsid w:val="00B3241B"/>
    <w:rsid w:val="00B41255"/>
    <w:rsid w:val="00B414B0"/>
    <w:rsid w:val="00B430CE"/>
    <w:rsid w:val="00B44872"/>
    <w:rsid w:val="00B47CF6"/>
    <w:rsid w:val="00B53D0A"/>
    <w:rsid w:val="00B550C3"/>
    <w:rsid w:val="00B55B53"/>
    <w:rsid w:val="00B825FE"/>
    <w:rsid w:val="00B87EEF"/>
    <w:rsid w:val="00BC395E"/>
    <w:rsid w:val="00BC64EC"/>
    <w:rsid w:val="00BC705E"/>
    <w:rsid w:val="00BD4E98"/>
    <w:rsid w:val="00BD5FE8"/>
    <w:rsid w:val="00BE09EE"/>
    <w:rsid w:val="00BF25E3"/>
    <w:rsid w:val="00BF2D5E"/>
    <w:rsid w:val="00BF5067"/>
    <w:rsid w:val="00C0001F"/>
    <w:rsid w:val="00C10673"/>
    <w:rsid w:val="00C11A66"/>
    <w:rsid w:val="00C25BBC"/>
    <w:rsid w:val="00C3705B"/>
    <w:rsid w:val="00C46A5C"/>
    <w:rsid w:val="00C50BE9"/>
    <w:rsid w:val="00C512AF"/>
    <w:rsid w:val="00C532BE"/>
    <w:rsid w:val="00C616C7"/>
    <w:rsid w:val="00C619F3"/>
    <w:rsid w:val="00C650D9"/>
    <w:rsid w:val="00C820A9"/>
    <w:rsid w:val="00C934D7"/>
    <w:rsid w:val="00C959F7"/>
    <w:rsid w:val="00C97EF7"/>
    <w:rsid w:val="00CB1602"/>
    <w:rsid w:val="00CB7AA7"/>
    <w:rsid w:val="00CC5A2C"/>
    <w:rsid w:val="00CD0BB2"/>
    <w:rsid w:val="00CD39FB"/>
    <w:rsid w:val="00CE7D06"/>
    <w:rsid w:val="00CF07D6"/>
    <w:rsid w:val="00D02C5A"/>
    <w:rsid w:val="00D139ED"/>
    <w:rsid w:val="00D15003"/>
    <w:rsid w:val="00D15832"/>
    <w:rsid w:val="00D20FA2"/>
    <w:rsid w:val="00D30A20"/>
    <w:rsid w:val="00D32F39"/>
    <w:rsid w:val="00D40EB3"/>
    <w:rsid w:val="00D54BBD"/>
    <w:rsid w:val="00D642A8"/>
    <w:rsid w:val="00D64809"/>
    <w:rsid w:val="00D73A90"/>
    <w:rsid w:val="00D73CD5"/>
    <w:rsid w:val="00D750FB"/>
    <w:rsid w:val="00D9358E"/>
    <w:rsid w:val="00D95801"/>
    <w:rsid w:val="00DA07B6"/>
    <w:rsid w:val="00DA153F"/>
    <w:rsid w:val="00DA5E79"/>
    <w:rsid w:val="00DB71C6"/>
    <w:rsid w:val="00DD1658"/>
    <w:rsid w:val="00DD7D18"/>
    <w:rsid w:val="00DE1352"/>
    <w:rsid w:val="00DE6102"/>
    <w:rsid w:val="00DF2017"/>
    <w:rsid w:val="00E1440E"/>
    <w:rsid w:val="00E1492F"/>
    <w:rsid w:val="00E22B22"/>
    <w:rsid w:val="00E3122A"/>
    <w:rsid w:val="00E32839"/>
    <w:rsid w:val="00E332EB"/>
    <w:rsid w:val="00E3573C"/>
    <w:rsid w:val="00E40C44"/>
    <w:rsid w:val="00E658E6"/>
    <w:rsid w:val="00E73109"/>
    <w:rsid w:val="00E7545C"/>
    <w:rsid w:val="00E9038D"/>
    <w:rsid w:val="00EA2E2D"/>
    <w:rsid w:val="00EA7286"/>
    <w:rsid w:val="00EB2368"/>
    <w:rsid w:val="00EB65EF"/>
    <w:rsid w:val="00EC19C9"/>
    <w:rsid w:val="00EC5EBC"/>
    <w:rsid w:val="00EC68A4"/>
    <w:rsid w:val="00ED5349"/>
    <w:rsid w:val="00ED549A"/>
    <w:rsid w:val="00ED6160"/>
    <w:rsid w:val="00EE0F4D"/>
    <w:rsid w:val="00EF6F78"/>
    <w:rsid w:val="00F0188B"/>
    <w:rsid w:val="00F058A7"/>
    <w:rsid w:val="00F079EF"/>
    <w:rsid w:val="00F12A43"/>
    <w:rsid w:val="00F14F16"/>
    <w:rsid w:val="00F21389"/>
    <w:rsid w:val="00F22EDF"/>
    <w:rsid w:val="00F23594"/>
    <w:rsid w:val="00F279B5"/>
    <w:rsid w:val="00F50F5E"/>
    <w:rsid w:val="00F54942"/>
    <w:rsid w:val="00F57D71"/>
    <w:rsid w:val="00F60A3C"/>
    <w:rsid w:val="00F82B0D"/>
    <w:rsid w:val="00F902A7"/>
    <w:rsid w:val="00F91DB1"/>
    <w:rsid w:val="00F9483B"/>
    <w:rsid w:val="00FA11ED"/>
    <w:rsid w:val="00FA2611"/>
    <w:rsid w:val="00FC117F"/>
    <w:rsid w:val="00FC20B6"/>
    <w:rsid w:val="00FC56CC"/>
    <w:rsid w:val="00FC584C"/>
    <w:rsid w:val="00FD1D81"/>
    <w:rsid w:val="00FE1B4E"/>
    <w:rsid w:val="00FE2A77"/>
    <w:rsid w:val="00FE65B7"/>
    <w:rsid w:val="00FF14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E13"/>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941E13"/>
    <w:pPr>
      <w:keepNext/>
      <w:keepLines/>
      <w:spacing w:before="340" w:after="330" w:line="576" w:lineRule="auto"/>
      <w:outlineLvl w:val="0"/>
    </w:pPr>
    <w:rPr>
      <w:rFonts w:eastAsia="宋体"/>
      <w:b/>
      <w:bCs/>
      <w:kern w:val="44"/>
      <w:sz w:val="44"/>
      <w:szCs w:val="44"/>
    </w:rPr>
  </w:style>
  <w:style w:type="paragraph" w:styleId="2">
    <w:name w:val="heading 2"/>
    <w:basedOn w:val="a"/>
    <w:next w:val="a"/>
    <w:link w:val="2Char"/>
    <w:semiHidden/>
    <w:unhideWhenUsed/>
    <w:qFormat/>
    <w:rsid w:val="00941E13"/>
    <w:pPr>
      <w:keepNext/>
      <w:keepLines/>
      <w:spacing w:before="260" w:after="260" w:line="415"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1E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41E13"/>
    <w:rPr>
      <w:sz w:val="18"/>
      <w:szCs w:val="18"/>
    </w:rPr>
  </w:style>
  <w:style w:type="paragraph" w:styleId="a4">
    <w:name w:val="footer"/>
    <w:basedOn w:val="a"/>
    <w:link w:val="Char0"/>
    <w:uiPriority w:val="99"/>
    <w:unhideWhenUsed/>
    <w:rsid w:val="00941E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41E13"/>
    <w:rPr>
      <w:sz w:val="18"/>
      <w:szCs w:val="18"/>
    </w:rPr>
  </w:style>
  <w:style w:type="character" w:customStyle="1" w:styleId="1Char">
    <w:name w:val="标题 1 Char"/>
    <w:basedOn w:val="a0"/>
    <w:link w:val="1"/>
    <w:rsid w:val="00941E13"/>
    <w:rPr>
      <w:rFonts w:ascii="Times New Roman" w:eastAsia="宋体" w:hAnsi="Times New Roman" w:cs="Times New Roman"/>
      <w:b/>
      <w:bCs/>
      <w:kern w:val="44"/>
      <w:sz w:val="44"/>
      <w:szCs w:val="44"/>
    </w:rPr>
  </w:style>
  <w:style w:type="character" w:customStyle="1" w:styleId="2Char">
    <w:name w:val="标题 2 Char"/>
    <w:basedOn w:val="a0"/>
    <w:link w:val="2"/>
    <w:semiHidden/>
    <w:rsid w:val="00941E13"/>
    <w:rPr>
      <w:rFonts w:ascii="Arial" w:eastAsia="黑体" w:hAnsi="Arial" w:cs="Times New Roman"/>
      <w:b/>
      <w:bCs/>
      <w:sz w:val="32"/>
      <w:szCs w:val="32"/>
    </w:rPr>
  </w:style>
  <w:style w:type="paragraph" w:styleId="a5">
    <w:name w:val="footnote text"/>
    <w:basedOn w:val="a"/>
    <w:link w:val="Char1"/>
    <w:semiHidden/>
    <w:unhideWhenUsed/>
    <w:rsid w:val="00941E13"/>
    <w:pPr>
      <w:snapToGrid w:val="0"/>
      <w:jc w:val="left"/>
    </w:pPr>
    <w:rPr>
      <w:rFonts w:eastAsia="宋体"/>
      <w:sz w:val="18"/>
    </w:rPr>
  </w:style>
  <w:style w:type="character" w:customStyle="1" w:styleId="Char1">
    <w:name w:val="脚注文本 Char"/>
    <w:basedOn w:val="a0"/>
    <w:link w:val="a5"/>
    <w:semiHidden/>
    <w:rsid w:val="00941E13"/>
    <w:rPr>
      <w:rFonts w:ascii="Times New Roman" w:eastAsia="宋体" w:hAnsi="Times New Roman" w:cs="Times New Roman"/>
      <w:sz w:val="18"/>
      <w:szCs w:val="20"/>
    </w:rPr>
  </w:style>
  <w:style w:type="character" w:styleId="a6">
    <w:name w:val="footnote reference"/>
    <w:basedOn w:val="a0"/>
    <w:semiHidden/>
    <w:unhideWhenUsed/>
    <w:rsid w:val="00941E13"/>
    <w:rPr>
      <w:vertAlign w:val="superscript"/>
    </w:rPr>
  </w:style>
  <w:style w:type="paragraph" w:styleId="a7">
    <w:name w:val="Balloon Text"/>
    <w:basedOn w:val="a"/>
    <w:link w:val="Char2"/>
    <w:uiPriority w:val="99"/>
    <w:semiHidden/>
    <w:unhideWhenUsed/>
    <w:rsid w:val="00594FF3"/>
    <w:rPr>
      <w:sz w:val="18"/>
      <w:szCs w:val="18"/>
    </w:rPr>
  </w:style>
  <w:style w:type="character" w:customStyle="1" w:styleId="Char2">
    <w:name w:val="批注框文本 Char"/>
    <w:basedOn w:val="a0"/>
    <w:link w:val="a7"/>
    <w:uiPriority w:val="99"/>
    <w:semiHidden/>
    <w:rsid w:val="00594FF3"/>
    <w:rPr>
      <w:rFonts w:ascii="Times New Roman" w:eastAsia="方正仿宋简体" w:hAnsi="Times New Roman" w:cs="Times New Roman"/>
      <w:sz w:val="18"/>
      <w:szCs w:val="18"/>
    </w:rPr>
  </w:style>
  <w:style w:type="character" w:styleId="a8">
    <w:name w:val="annotation reference"/>
    <w:basedOn w:val="a0"/>
    <w:uiPriority w:val="99"/>
    <w:semiHidden/>
    <w:unhideWhenUsed/>
    <w:rsid w:val="00D54BBD"/>
    <w:rPr>
      <w:sz w:val="21"/>
      <w:szCs w:val="21"/>
    </w:rPr>
  </w:style>
  <w:style w:type="paragraph" w:styleId="a9">
    <w:name w:val="annotation text"/>
    <w:basedOn w:val="a"/>
    <w:link w:val="Char3"/>
    <w:uiPriority w:val="99"/>
    <w:semiHidden/>
    <w:unhideWhenUsed/>
    <w:rsid w:val="00D54BBD"/>
    <w:pPr>
      <w:jc w:val="left"/>
    </w:pPr>
  </w:style>
  <w:style w:type="character" w:customStyle="1" w:styleId="Char3">
    <w:name w:val="批注文字 Char"/>
    <w:basedOn w:val="a0"/>
    <w:link w:val="a9"/>
    <w:uiPriority w:val="99"/>
    <w:semiHidden/>
    <w:rsid w:val="00D54BBD"/>
    <w:rPr>
      <w:rFonts w:ascii="Times New Roman" w:eastAsia="方正仿宋简体" w:hAnsi="Times New Roman" w:cs="Times New Roman"/>
      <w:sz w:val="32"/>
      <w:szCs w:val="20"/>
    </w:rPr>
  </w:style>
  <w:style w:type="paragraph" w:styleId="aa">
    <w:name w:val="annotation subject"/>
    <w:basedOn w:val="a9"/>
    <w:next w:val="a9"/>
    <w:link w:val="Char4"/>
    <w:uiPriority w:val="99"/>
    <w:semiHidden/>
    <w:unhideWhenUsed/>
    <w:rsid w:val="00D54BBD"/>
    <w:rPr>
      <w:b/>
      <w:bCs/>
    </w:rPr>
  </w:style>
  <w:style w:type="character" w:customStyle="1" w:styleId="Char4">
    <w:name w:val="批注主题 Char"/>
    <w:basedOn w:val="Char3"/>
    <w:link w:val="aa"/>
    <w:uiPriority w:val="99"/>
    <w:semiHidden/>
    <w:rsid w:val="00D54BBD"/>
    <w:rPr>
      <w:rFonts w:ascii="Times New Roman" w:eastAsia="方正仿宋简体" w:hAnsi="Times New Roman" w:cs="Times New Roman"/>
      <w:b/>
      <w:bCs/>
      <w:sz w:val="32"/>
      <w:szCs w:val="20"/>
    </w:rPr>
  </w:style>
  <w:style w:type="paragraph" w:styleId="ab">
    <w:name w:val="Revision"/>
    <w:hidden/>
    <w:uiPriority w:val="99"/>
    <w:semiHidden/>
    <w:rsid w:val="00ED6160"/>
    <w:rPr>
      <w:rFonts w:ascii="Times New Roman" w:eastAsia="方正仿宋简体" w:hAnsi="Times New Roman" w:cs="Times New Roman"/>
      <w:sz w:val="32"/>
      <w:szCs w:val="20"/>
    </w:rPr>
  </w:style>
  <w:style w:type="paragraph" w:styleId="ac">
    <w:name w:val="List Paragraph"/>
    <w:basedOn w:val="a"/>
    <w:uiPriority w:val="34"/>
    <w:qFormat/>
    <w:rsid w:val="00BF5067"/>
    <w:pPr>
      <w:ind w:firstLineChars="200" w:firstLine="420"/>
    </w:pPr>
  </w:style>
  <w:style w:type="paragraph" w:styleId="ad">
    <w:name w:val="Normal (Web)"/>
    <w:basedOn w:val="a"/>
    <w:uiPriority w:val="99"/>
    <w:unhideWhenUsed/>
    <w:rsid w:val="005D148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8024125">
      <w:bodyDiv w:val="1"/>
      <w:marLeft w:val="0"/>
      <w:marRight w:val="0"/>
      <w:marTop w:val="0"/>
      <w:marBottom w:val="0"/>
      <w:divBdr>
        <w:top w:val="none" w:sz="0" w:space="0" w:color="auto"/>
        <w:left w:val="none" w:sz="0" w:space="0" w:color="auto"/>
        <w:bottom w:val="none" w:sz="0" w:space="0" w:color="auto"/>
        <w:right w:val="none" w:sz="0" w:space="0" w:color="auto"/>
      </w:divBdr>
    </w:div>
    <w:div w:id="128861526">
      <w:bodyDiv w:val="1"/>
      <w:marLeft w:val="0"/>
      <w:marRight w:val="0"/>
      <w:marTop w:val="0"/>
      <w:marBottom w:val="0"/>
      <w:divBdr>
        <w:top w:val="none" w:sz="0" w:space="0" w:color="auto"/>
        <w:left w:val="none" w:sz="0" w:space="0" w:color="auto"/>
        <w:bottom w:val="none" w:sz="0" w:space="0" w:color="auto"/>
        <w:right w:val="none" w:sz="0" w:space="0" w:color="auto"/>
      </w:divBdr>
    </w:div>
    <w:div w:id="136994734">
      <w:bodyDiv w:val="1"/>
      <w:marLeft w:val="0"/>
      <w:marRight w:val="0"/>
      <w:marTop w:val="0"/>
      <w:marBottom w:val="0"/>
      <w:divBdr>
        <w:top w:val="none" w:sz="0" w:space="0" w:color="auto"/>
        <w:left w:val="none" w:sz="0" w:space="0" w:color="auto"/>
        <w:bottom w:val="none" w:sz="0" w:space="0" w:color="auto"/>
        <w:right w:val="none" w:sz="0" w:space="0" w:color="auto"/>
      </w:divBdr>
    </w:div>
    <w:div w:id="458686888">
      <w:bodyDiv w:val="1"/>
      <w:marLeft w:val="0"/>
      <w:marRight w:val="0"/>
      <w:marTop w:val="0"/>
      <w:marBottom w:val="0"/>
      <w:divBdr>
        <w:top w:val="none" w:sz="0" w:space="0" w:color="auto"/>
        <w:left w:val="none" w:sz="0" w:space="0" w:color="auto"/>
        <w:bottom w:val="none" w:sz="0" w:space="0" w:color="auto"/>
        <w:right w:val="none" w:sz="0" w:space="0" w:color="auto"/>
      </w:divBdr>
    </w:div>
    <w:div w:id="560553568">
      <w:bodyDiv w:val="1"/>
      <w:marLeft w:val="0"/>
      <w:marRight w:val="0"/>
      <w:marTop w:val="0"/>
      <w:marBottom w:val="0"/>
      <w:divBdr>
        <w:top w:val="none" w:sz="0" w:space="0" w:color="auto"/>
        <w:left w:val="none" w:sz="0" w:space="0" w:color="auto"/>
        <w:bottom w:val="none" w:sz="0" w:space="0" w:color="auto"/>
        <w:right w:val="none" w:sz="0" w:space="0" w:color="auto"/>
      </w:divBdr>
    </w:div>
    <w:div w:id="789709483">
      <w:bodyDiv w:val="1"/>
      <w:marLeft w:val="0"/>
      <w:marRight w:val="0"/>
      <w:marTop w:val="0"/>
      <w:marBottom w:val="0"/>
      <w:divBdr>
        <w:top w:val="none" w:sz="0" w:space="0" w:color="auto"/>
        <w:left w:val="none" w:sz="0" w:space="0" w:color="auto"/>
        <w:bottom w:val="none" w:sz="0" w:space="0" w:color="auto"/>
        <w:right w:val="none" w:sz="0" w:space="0" w:color="auto"/>
      </w:divBdr>
    </w:div>
    <w:div w:id="871187505">
      <w:bodyDiv w:val="1"/>
      <w:marLeft w:val="0"/>
      <w:marRight w:val="0"/>
      <w:marTop w:val="0"/>
      <w:marBottom w:val="0"/>
      <w:divBdr>
        <w:top w:val="none" w:sz="0" w:space="0" w:color="auto"/>
        <w:left w:val="none" w:sz="0" w:space="0" w:color="auto"/>
        <w:bottom w:val="none" w:sz="0" w:space="0" w:color="auto"/>
        <w:right w:val="none" w:sz="0" w:space="0" w:color="auto"/>
      </w:divBdr>
    </w:div>
    <w:div w:id="970093115">
      <w:bodyDiv w:val="1"/>
      <w:marLeft w:val="0"/>
      <w:marRight w:val="0"/>
      <w:marTop w:val="0"/>
      <w:marBottom w:val="0"/>
      <w:divBdr>
        <w:top w:val="none" w:sz="0" w:space="0" w:color="auto"/>
        <w:left w:val="none" w:sz="0" w:space="0" w:color="auto"/>
        <w:bottom w:val="none" w:sz="0" w:space="0" w:color="auto"/>
        <w:right w:val="none" w:sz="0" w:space="0" w:color="auto"/>
      </w:divBdr>
    </w:div>
    <w:div w:id="977803840">
      <w:bodyDiv w:val="1"/>
      <w:marLeft w:val="0"/>
      <w:marRight w:val="0"/>
      <w:marTop w:val="0"/>
      <w:marBottom w:val="0"/>
      <w:divBdr>
        <w:top w:val="none" w:sz="0" w:space="0" w:color="auto"/>
        <w:left w:val="none" w:sz="0" w:space="0" w:color="auto"/>
        <w:bottom w:val="none" w:sz="0" w:space="0" w:color="auto"/>
        <w:right w:val="none" w:sz="0" w:space="0" w:color="auto"/>
      </w:divBdr>
    </w:div>
    <w:div w:id="1029574722">
      <w:bodyDiv w:val="1"/>
      <w:marLeft w:val="0"/>
      <w:marRight w:val="0"/>
      <w:marTop w:val="0"/>
      <w:marBottom w:val="0"/>
      <w:divBdr>
        <w:top w:val="none" w:sz="0" w:space="0" w:color="auto"/>
        <w:left w:val="none" w:sz="0" w:space="0" w:color="auto"/>
        <w:bottom w:val="none" w:sz="0" w:space="0" w:color="auto"/>
        <w:right w:val="none" w:sz="0" w:space="0" w:color="auto"/>
      </w:divBdr>
    </w:div>
    <w:div w:id="1083142010">
      <w:bodyDiv w:val="1"/>
      <w:marLeft w:val="0"/>
      <w:marRight w:val="0"/>
      <w:marTop w:val="0"/>
      <w:marBottom w:val="0"/>
      <w:divBdr>
        <w:top w:val="none" w:sz="0" w:space="0" w:color="auto"/>
        <w:left w:val="none" w:sz="0" w:space="0" w:color="auto"/>
        <w:bottom w:val="none" w:sz="0" w:space="0" w:color="auto"/>
        <w:right w:val="none" w:sz="0" w:space="0" w:color="auto"/>
      </w:divBdr>
    </w:div>
    <w:div w:id="1445341237">
      <w:bodyDiv w:val="1"/>
      <w:marLeft w:val="0"/>
      <w:marRight w:val="0"/>
      <w:marTop w:val="0"/>
      <w:marBottom w:val="0"/>
      <w:divBdr>
        <w:top w:val="none" w:sz="0" w:space="0" w:color="auto"/>
        <w:left w:val="none" w:sz="0" w:space="0" w:color="auto"/>
        <w:bottom w:val="none" w:sz="0" w:space="0" w:color="auto"/>
        <w:right w:val="none" w:sz="0" w:space="0" w:color="auto"/>
      </w:divBdr>
    </w:div>
    <w:div w:id="1468280782">
      <w:bodyDiv w:val="1"/>
      <w:marLeft w:val="0"/>
      <w:marRight w:val="0"/>
      <w:marTop w:val="0"/>
      <w:marBottom w:val="0"/>
      <w:divBdr>
        <w:top w:val="none" w:sz="0" w:space="0" w:color="auto"/>
        <w:left w:val="none" w:sz="0" w:space="0" w:color="auto"/>
        <w:bottom w:val="none" w:sz="0" w:space="0" w:color="auto"/>
        <w:right w:val="none" w:sz="0" w:space="0" w:color="auto"/>
      </w:divBdr>
    </w:div>
    <w:div w:id="1658729197">
      <w:bodyDiv w:val="1"/>
      <w:marLeft w:val="0"/>
      <w:marRight w:val="0"/>
      <w:marTop w:val="0"/>
      <w:marBottom w:val="0"/>
      <w:divBdr>
        <w:top w:val="none" w:sz="0" w:space="0" w:color="auto"/>
        <w:left w:val="none" w:sz="0" w:space="0" w:color="auto"/>
        <w:bottom w:val="none" w:sz="0" w:space="0" w:color="auto"/>
        <w:right w:val="none" w:sz="0" w:space="0" w:color="auto"/>
      </w:divBdr>
    </w:div>
    <w:div w:id="1670672686">
      <w:bodyDiv w:val="1"/>
      <w:marLeft w:val="0"/>
      <w:marRight w:val="0"/>
      <w:marTop w:val="0"/>
      <w:marBottom w:val="0"/>
      <w:divBdr>
        <w:top w:val="none" w:sz="0" w:space="0" w:color="auto"/>
        <w:left w:val="none" w:sz="0" w:space="0" w:color="auto"/>
        <w:bottom w:val="none" w:sz="0" w:space="0" w:color="auto"/>
        <w:right w:val="none" w:sz="0" w:space="0" w:color="auto"/>
      </w:divBdr>
    </w:div>
    <w:div w:id="1727603187">
      <w:bodyDiv w:val="1"/>
      <w:marLeft w:val="0"/>
      <w:marRight w:val="0"/>
      <w:marTop w:val="0"/>
      <w:marBottom w:val="0"/>
      <w:divBdr>
        <w:top w:val="none" w:sz="0" w:space="0" w:color="auto"/>
        <w:left w:val="none" w:sz="0" w:space="0" w:color="auto"/>
        <w:bottom w:val="none" w:sz="0" w:space="0" w:color="auto"/>
        <w:right w:val="none" w:sz="0" w:space="0" w:color="auto"/>
      </w:divBdr>
    </w:div>
    <w:div w:id="1848327084">
      <w:bodyDiv w:val="1"/>
      <w:marLeft w:val="0"/>
      <w:marRight w:val="0"/>
      <w:marTop w:val="0"/>
      <w:marBottom w:val="0"/>
      <w:divBdr>
        <w:top w:val="none" w:sz="0" w:space="0" w:color="auto"/>
        <w:left w:val="none" w:sz="0" w:space="0" w:color="auto"/>
        <w:bottom w:val="none" w:sz="0" w:space="0" w:color="auto"/>
        <w:right w:val="none" w:sz="0" w:space="0" w:color="auto"/>
      </w:divBdr>
    </w:div>
    <w:div w:id="1944923388">
      <w:bodyDiv w:val="1"/>
      <w:marLeft w:val="0"/>
      <w:marRight w:val="0"/>
      <w:marTop w:val="0"/>
      <w:marBottom w:val="0"/>
      <w:divBdr>
        <w:top w:val="none" w:sz="0" w:space="0" w:color="auto"/>
        <w:left w:val="none" w:sz="0" w:space="0" w:color="auto"/>
        <w:bottom w:val="none" w:sz="0" w:space="0" w:color="auto"/>
        <w:right w:val="none" w:sz="0" w:space="0" w:color="auto"/>
      </w:divBdr>
    </w:div>
    <w:div w:id="1969890632">
      <w:bodyDiv w:val="1"/>
      <w:marLeft w:val="0"/>
      <w:marRight w:val="0"/>
      <w:marTop w:val="0"/>
      <w:marBottom w:val="0"/>
      <w:divBdr>
        <w:top w:val="none" w:sz="0" w:space="0" w:color="auto"/>
        <w:left w:val="none" w:sz="0" w:space="0" w:color="auto"/>
        <w:bottom w:val="none" w:sz="0" w:space="0" w:color="auto"/>
        <w:right w:val="none" w:sz="0" w:space="0" w:color="auto"/>
      </w:divBdr>
    </w:div>
    <w:div w:id="2062553853">
      <w:bodyDiv w:val="1"/>
      <w:marLeft w:val="0"/>
      <w:marRight w:val="0"/>
      <w:marTop w:val="0"/>
      <w:marBottom w:val="0"/>
      <w:divBdr>
        <w:top w:val="none" w:sz="0" w:space="0" w:color="auto"/>
        <w:left w:val="none" w:sz="0" w:space="0" w:color="auto"/>
        <w:bottom w:val="none" w:sz="0" w:space="0" w:color="auto"/>
        <w:right w:val="none" w:sz="0" w:space="0" w:color="auto"/>
      </w:divBdr>
    </w:div>
    <w:div w:id="2067754274">
      <w:bodyDiv w:val="1"/>
      <w:marLeft w:val="0"/>
      <w:marRight w:val="0"/>
      <w:marTop w:val="0"/>
      <w:marBottom w:val="0"/>
      <w:divBdr>
        <w:top w:val="none" w:sz="0" w:space="0" w:color="auto"/>
        <w:left w:val="none" w:sz="0" w:space="0" w:color="auto"/>
        <w:bottom w:val="none" w:sz="0" w:space="0" w:color="auto"/>
        <w:right w:val="none" w:sz="0" w:space="0" w:color="auto"/>
      </w:divBdr>
    </w:div>
    <w:div w:id="208229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23478-0662-471D-9054-BBB0FA8C5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1246</Characters>
  <Application>Microsoft Office Word</Application>
  <DocSecurity>4</DocSecurity>
  <Lines>10</Lines>
  <Paragraphs>2</Paragraphs>
  <ScaleCrop>false</ScaleCrop>
  <Company/>
  <LinksUpToDate>false</LinksUpToDate>
  <CharactersWithSpaces>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yanjj</dc:creator>
  <cp:lastModifiedBy>ZHONGM</cp:lastModifiedBy>
  <cp:revision>2</cp:revision>
  <cp:lastPrinted>2015-05-29T08:54:00Z</cp:lastPrinted>
  <dcterms:created xsi:type="dcterms:W3CDTF">2025-11-21T16:01:00Z</dcterms:created>
  <dcterms:modified xsi:type="dcterms:W3CDTF">2025-11-21T16:01:00Z</dcterms:modified>
</cp:coreProperties>
</file>