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91A" w:rsidRDefault="00BB21D8">
      <w:pPr>
        <w:widowControl w:val="0"/>
        <w:kinsoku w:val="0"/>
        <w:overflowPunct w:val="0"/>
        <w:autoSpaceDE w:val="0"/>
        <w:autoSpaceDN w:val="0"/>
        <w:adjustRightInd w:val="0"/>
        <w:snapToGrid w:val="0"/>
        <w:spacing w:line="360" w:lineRule="auto"/>
        <w:jc w:val="center"/>
        <w:textAlignment w:val="top"/>
        <w:rPr>
          <w:rFonts w:asciiTheme="majorEastAsia" w:eastAsiaTheme="majorEastAsia" w:hAnsiTheme="majorEastAsia"/>
          <w:b/>
        </w:rPr>
      </w:pPr>
      <w:bookmarkStart w:id="0" w:name="_GoBack"/>
      <w:bookmarkEnd w:id="0"/>
      <w:r>
        <w:rPr>
          <w:rFonts w:asciiTheme="majorEastAsia" w:eastAsiaTheme="majorEastAsia" w:hAnsiTheme="majorEastAsia" w:hint="eastAsia"/>
          <w:b/>
        </w:rPr>
        <w:t>平安基金管理有限公司关于旗下部分基金</w:t>
      </w:r>
    </w:p>
    <w:p w:rsidR="00D6791A" w:rsidRDefault="00BB21D8">
      <w:pPr>
        <w:widowControl w:val="0"/>
        <w:kinsoku w:val="0"/>
        <w:overflowPunct w:val="0"/>
        <w:autoSpaceDE w:val="0"/>
        <w:autoSpaceDN w:val="0"/>
        <w:adjustRightInd w:val="0"/>
        <w:snapToGrid w:val="0"/>
        <w:spacing w:line="360" w:lineRule="auto"/>
        <w:jc w:val="center"/>
        <w:textAlignment w:val="top"/>
        <w:rPr>
          <w:rFonts w:asciiTheme="majorEastAsia" w:eastAsiaTheme="majorEastAsia" w:hAnsiTheme="majorEastAsia"/>
          <w:b/>
        </w:rPr>
      </w:pPr>
      <w:r>
        <w:rPr>
          <w:rFonts w:asciiTheme="majorEastAsia" w:eastAsiaTheme="majorEastAsia" w:hAnsiTheme="majorEastAsia" w:hint="eastAsia"/>
          <w:b/>
        </w:rPr>
        <w:t>新增</w:t>
      </w:r>
      <w:r>
        <w:rPr>
          <w:rFonts w:asciiTheme="majorEastAsia" w:eastAsiaTheme="majorEastAsia" w:hAnsiTheme="majorEastAsia" w:hint="eastAsia"/>
          <w:b/>
        </w:rPr>
        <w:t>江苏银行股份有限公司</w:t>
      </w:r>
      <w:r>
        <w:rPr>
          <w:rFonts w:asciiTheme="majorEastAsia" w:eastAsiaTheme="majorEastAsia" w:hAnsiTheme="majorEastAsia" w:hint="eastAsia"/>
          <w:b/>
        </w:rPr>
        <w:t>为销售机构的公告</w:t>
      </w:r>
    </w:p>
    <w:p w:rsidR="00D6791A" w:rsidRDefault="00D6791A">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D6791A" w:rsidRDefault="00BB21D8">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根据平安基金管理有限公司（以下简称“本公司”）与</w:t>
      </w:r>
      <w:r>
        <w:rPr>
          <w:rFonts w:asciiTheme="minorEastAsia" w:eastAsiaTheme="minorEastAsia" w:hAnsiTheme="minorEastAsia" w:hint="eastAsia"/>
          <w:sz w:val="21"/>
          <w:szCs w:val="21"/>
        </w:rPr>
        <w:t>江苏银行股份有限公司</w:t>
      </w:r>
      <w:r>
        <w:rPr>
          <w:rFonts w:asciiTheme="minorEastAsia" w:eastAsiaTheme="minorEastAsia" w:hAnsiTheme="minorEastAsia" w:hint="eastAsia"/>
          <w:sz w:val="21"/>
          <w:szCs w:val="21"/>
        </w:rPr>
        <w:t>（以下简称“</w:t>
      </w:r>
      <w:r>
        <w:rPr>
          <w:rFonts w:asciiTheme="minorEastAsia" w:eastAsiaTheme="minorEastAsia" w:hAnsiTheme="minorEastAsia" w:hint="eastAsia"/>
          <w:sz w:val="21"/>
          <w:szCs w:val="21"/>
        </w:rPr>
        <w:t>江苏银行</w:t>
      </w:r>
      <w:r>
        <w:rPr>
          <w:rFonts w:asciiTheme="minorEastAsia" w:eastAsiaTheme="minorEastAsia" w:hAnsiTheme="minorEastAsia" w:hint="eastAsia"/>
          <w:sz w:val="21"/>
          <w:szCs w:val="21"/>
        </w:rPr>
        <w:t>”）签署的销售协议，自</w:t>
      </w:r>
      <w:r>
        <w:rPr>
          <w:rFonts w:asciiTheme="minorEastAsia" w:eastAsiaTheme="minorEastAsia" w:hAnsiTheme="minorEastAsia"/>
          <w:sz w:val="21"/>
          <w:szCs w:val="21"/>
        </w:rPr>
        <w:t>202</w:t>
      </w:r>
      <w:r>
        <w:rPr>
          <w:rFonts w:asciiTheme="minorEastAsia" w:eastAsiaTheme="minorEastAsia" w:hAnsiTheme="minorEastAsia" w:hint="eastAsia"/>
          <w:sz w:val="21"/>
          <w:szCs w:val="21"/>
        </w:rPr>
        <w:t>5</w:t>
      </w:r>
      <w:r>
        <w:rPr>
          <w:rFonts w:asciiTheme="minorEastAsia" w:eastAsiaTheme="minorEastAsia" w:hAnsiTheme="minorEastAsia"/>
          <w:sz w:val="21"/>
          <w:szCs w:val="21"/>
        </w:rPr>
        <w:t>年</w:t>
      </w:r>
      <w:r>
        <w:rPr>
          <w:rFonts w:asciiTheme="minorEastAsia" w:eastAsiaTheme="minorEastAsia" w:hAnsiTheme="minorEastAsia" w:hint="eastAsia"/>
          <w:sz w:val="21"/>
          <w:szCs w:val="21"/>
        </w:rPr>
        <w:t>11</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21</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起，本公司旗下部分基金新增</w:t>
      </w:r>
      <w:r>
        <w:rPr>
          <w:rFonts w:asciiTheme="minorEastAsia" w:eastAsiaTheme="minorEastAsia" w:hAnsiTheme="minorEastAsia" w:hint="eastAsia"/>
          <w:sz w:val="21"/>
          <w:szCs w:val="21"/>
        </w:rPr>
        <w:t>江苏银行</w:t>
      </w:r>
      <w:r>
        <w:rPr>
          <w:rFonts w:asciiTheme="minorEastAsia" w:eastAsiaTheme="minorEastAsia" w:hAnsiTheme="minorEastAsia" w:hint="eastAsia"/>
          <w:sz w:val="21"/>
          <w:szCs w:val="21"/>
        </w:rPr>
        <w:t>为销售机构</w:t>
      </w:r>
      <w:r>
        <w:rPr>
          <w:rFonts w:asciiTheme="minorEastAsia" w:eastAsiaTheme="minorEastAsia" w:hAnsiTheme="minorEastAsia"/>
          <w:sz w:val="21"/>
          <w:szCs w:val="21"/>
        </w:rPr>
        <w:t>。现将相关事项公告如下：</w:t>
      </w:r>
    </w:p>
    <w:p w:rsidR="00D6791A" w:rsidRDefault="00BB21D8" w:rsidP="00BB21D8">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一、新增销售基金名称及代码</w:t>
      </w:r>
    </w:p>
    <w:p w:rsidR="00D6791A" w:rsidRDefault="00BB21D8">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sz w:val="21"/>
          <w:szCs w:val="21"/>
        </w:rPr>
        <w:t>自</w:t>
      </w:r>
      <w:r>
        <w:rPr>
          <w:rFonts w:asciiTheme="minorEastAsia" w:eastAsiaTheme="minorEastAsia" w:hAnsiTheme="minorEastAsia" w:hint="eastAsia"/>
          <w:sz w:val="21"/>
          <w:szCs w:val="21"/>
        </w:rPr>
        <w:t>2025</w:t>
      </w:r>
      <w:r>
        <w:rPr>
          <w:rFonts w:asciiTheme="minorEastAsia" w:eastAsiaTheme="minorEastAsia" w:hAnsiTheme="minorEastAsia"/>
          <w:sz w:val="21"/>
          <w:szCs w:val="21"/>
        </w:rPr>
        <w:t>年</w:t>
      </w:r>
      <w:r>
        <w:rPr>
          <w:rFonts w:asciiTheme="minorEastAsia" w:eastAsiaTheme="minorEastAsia" w:hAnsiTheme="minorEastAsia" w:hint="eastAsia"/>
          <w:sz w:val="21"/>
          <w:szCs w:val="21"/>
        </w:rPr>
        <w:t>11</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21</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起，投资者可通过</w:t>
      </w:r>
      <w:r>
        <w:rPr>
          <w:rFonts w:asciiTheme="minorEastAsia" w:eastAsiaTheme="minorEastAsia" w:hAnsiTheme="minorEastAsia" w:hint="eastAsia"/>
          <w:sz w:val="21"/>
          <w:szCs w:val="21"/>
        </w:rPr>
        <w:t>上述销售机构</w:t>
      </w:r>
      <w:r>
        <w:rPr>
          <w:rFonts w:asciiTheme="minorEastAsia" w:eastAsiaTheme="minorEastAsia" w:hAnsiTheme="minorEastAsia"/>
          <w:sz w:val="21"/>
          <w:szCs w:val="21"/>
        </w:rPr>
        <w:t>办理</w:t>
      </w:r>
      <w:r>
        <w:rPr>
          <w:rFonts w:asciiTheme="minorEastAsia" w:eastAsiaTheme="minorEastAsia" w:hAnsiTheme="minorEastAsia" w:hint="eastAsia"/>
          <w:sz w:val="21"/>
          <w:szCs w:val="21"/>
        </w:rPr>
        <w:t>本公司基金账户的开户业务及下表中</w:t>
      </w:r>
      <w:r>
        <w:rPr>
          <w:rFonts w:asciiTheme="minorEastAsia" w:eastAsiaTheme="minorEastAsia" w:hAnsiTheme="minorEastAsia"/>
          <w:sz w:val="21"/>
          <w:szCs w:val="21"/>
        </w:rPr>
        <w:t>基金</w:t>
      </w:r>
      <w:r>
        <w:rPr>
          <w:rFonts w:asciiTheme="minorEastAsia" w:eastAsiaTheme="minorEastAsia" w:hAnsiTheme="minorEastAsia" w:hint="eastAsia"/>
          <w:sz w:val="21"/>
          <w:szCs w:val="21"/>
        </w:rPr>
        <w:t>产品</w:t>
      </w:r>
      <w:r>
        <w:rPr>
          <w:rFonts w:asciiTheme="minorEastAsia" w:eastAsiaTheme="minorEastAsia" w:hAnsiTheme="minorEastAsia"/>
          <w:sz w:val="21"/>
          <w:szCs w:val="21"/>
        </w:rPr>
        <w:t>的</w:t>
      </w:r>
      <w:r>
        <w:rPr>
          <w:rFonts w:asciiTheme="minorEastAsia" w:eastAsiaTheme="minorEastAsia" w:hAnsiTheme="minorEastAsia" w:hint="eastAsia"/>
          <w:sz w:val="21"/>
          <w:szCs w:val="21"/>
        </w:rPr>
        <w:t>申购、赎回、</w:t>
      </w:r>
      <w:r>
        <w:rPr>
          <w:rFonts w:asciiTheme="minorEastAsia" w:eastAsiaTheme="minorEastAsia" w:hAnsiTheme="minorEastAsia" w:hint="eastAsia"/>
          <w:sz w:val="21"/>
          <w:szCs w:val="21"/>
        </w:rPr>
        <w:t>定投、</w:t>
      </w:r>
      <w:r>
        <w:rPr>
          <w:rFonts w:asciiTheme="minorEastAsia" w:eastAsiaTheme="minorEastAsia" w:hAnsiTheme="minorEastAsia" w:hint="eastAsia"/>
          <w:sz w:val="21"/>
          <w:szCs w:val="21"/>
        </w:rPr>
        <w:t>转换等业务。</w:t>
      </w:r>
    </w:p>
    <w:tbl>
      <w:tblPr>
        <w:tblW w:w="8345" w:type="dxa"/>
        <w:jc w:val="center"/>
        <w:tblLayout w:type="fixed"/>
        <w:tblLook w:val="04A0"/>
      </w:tblPr>
      <w:tblGrid>
        <w:gridCol w:w="573"/>
        <w:gridCol w:w="950"/>
        <w:gridCol w:w="4752"/>
        <w:gridCol w:w="690"/>
        <w:gridCol w:w="690"/>
        <w:gridCol w:w="690"/>
      </w:tblGrid>
      <w:tr w:rsidR="00D6791A">
        <w:trPr>
          <w:trHeight w:val="198"/>
          <w:jc w:val="center"/>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D6791A" w:rsidRDefault="00BB21D8">
            <w:pPr>
              <w:adjustRightInd w:val="0"/>
              <w:snapToGrid w:val="0"/>
              <w:jc w:val="center"/>
              <w:rPr>
                <w:b/>
                <w:color w:val="000000"/>
                <w:sz w:val="21"/>
                <w:szCs w:val="21"/>
              </w:rPr>
            </w:pPr>
            <w:r>
              <w:rPr>
                <w:rFonts w:hint="eastAsia"/>
                <w:b/>
                <w:color w:val="000000"/>
                <w:sz w:val="21"/>
                <w:szCs w:val="21"/>
              </w:rPr>
              <w:t>序号</w:t>
            </w:r>
          </w:p>
        </w:tc>
        <w:tc>
          <w:tcPr>
            <w:tcW w:w="950" w:type="dxa"/>
            <w:tcBorders>
              <w:top w:val="single" w:sz="4" w:space="0" w:color="auto"/>
              <w:left w:val="nil"/>
              <w:bottom w:val="single" w:sz="4" w:space="0" w:color="auto"/>
              <w:right w:val="single" w:sz="4" w:space="0" w:color="auto"/>
            </w:tcBorders>
            <w:shd w:val="clear" w:color="auto" w:fill="auto"/>
            <w:vAlign w:val="center"/>
          </w:tcPr>
          <w:p w:rsidR="00D6791A" w:rsidRDefault="00BB21D8">
            <w:pPr>
              <w:adjustRightInd w:val="0"/>
              <w:snapToGrid w:val="0"/>
              <w:jc w:val="center"/>
              <w:rPr>
                <w:b/>
                <w:color w:val="000000"/>
                <w:sz w:val="21"/>
                <w:szCs w:val="21"/>
              </w:rPr>
            </w:pPr>
            <w:r>
              <w:rPr>
                <w:rFonts w:hint="eastAsia"/>
                <w:b/>
                <w:color w:val="000000"/>
                <w:sz w:val="21"/>
                <w:szCs w:val="21"/>
              </w:rPr>
              <w:t>基金</w:t>
            </w:r>
          </w:p>
          <w:p w:rsidR="00D6791A" w:rsidRDefault="00BB21D8">
            <w:pPr>
              <w:adjustRightInd w:val="0"/>
              <w:snapToGrid w:val="0"/>
              <w:jc w:val="center"/>
              <w:rPr>
                <w:b/>
                <w:color w:val="000000"/>
                <w:sz w:val="21"/>
                <w:szCs w:val="21"/>
              </w:rPr>
            </w:pPr>
            <w:r>
              <w:rPr>
                <w:rFonts w:hint="eastAsia"/>
                <w:b/>
                <w:color w:val="000000"/>
                <w:sz w:val="21"/>
                <w:szCs w:val="21"/>
              </w:rPr>
              <w:t>代码</w:t>
            </w:r>
          </w:p>
        </w:tc>
        <w:tc>
          <w:tcPr>
            <w:tcW w:w="4752" w:type="dxa"/>
            <w:tcBorders>
              <w:top w:val="single" w:sz="4" w:space="0" w:color="auto"/>
              <w:left w:val="nil"/>
              <w:bottom w:val="single" w:sz="4" w:space="0" w:color="auto"/>
              <w:right w:val="single" w:sz="4" w:space="0" w:color="auto"/>
            </w:tcBorders>
            <w:shd w:val="clear" w:color="auto" w:fill="auto"/>
            <w:vAlign w:val="center"/>
          </w:tcPr>
          <w:p w:rsidR="00D6791A" w:rsidRDefault="00BB21D8">
            <w:pPr>
              <w:adjustRightInd w:val="0"/>
              <w:snapToGrid w:val="0"/>
              <w:jc w:val="center"/>
              <w:rPr>
                <w:b/>
                <w:color w:val="000000"/>
                <w:sz w:val="21"/>
                <w:szCs w:val="21"/>
              </w:rPr>
            </w:pPr>
            <w:r>
              <w:rPr>
                <w:rFonts w:hint="eastAsia"/>
                <w:b/>
                <w:color w:val="000000"/>
                <w:sz w:val="21"/>
                <w:szCs w:val="21"/>
              </w:rPr>
              <w:t>基金名称</w:t>
            </w:r>
          </w:p>
        </w:tc>
        <w:tc>
          <w:tcPr>
            <w:tcW w:w="690" w:type="dxa"/>
            <w:tcBorders>
              <w:top w:val="single" w:sz="4" w:space="0" w:color="auto"/>
              <w:left w:val="nil"/>
              <w:bottom w:val="single" w:sz="4" w:space="0" w:color="auto"/>
              <w:right w:val="single" w:sz="4" w:space="0" w:color="auto"/>
            </w:tcBorders>
            <w:shd w:val="clear" w:color="auto" w:fill="auto"/>
            <w:vAlign w:val="center"/>
          </w:tcPr>
          <w:p w:rsidR="00D6791A" w:rsidRDefault="00BB21D8">
            <w:pPr>
              <w:adjustRightInd w:val="0"/>
              <w:snapToGrid w:val="0"/>
              <w:jc w:val="center"/>
              <w:rPr>
                <w:b/>
                <w:color w:val="000000"/>
                <w:sz w:val="21"/>
                <w:szCs w:val="21"/>
              </w:rPr>
            </w:pPr>
            <w:r>
              <w:rPr>
                <w:rFonts w:hint="eastAsia"/>
                <w:b/>
                <w:color w:val="000000"/>
                <w:sz w:val="21"/>
                <w:szCs w:val="21"/>
              </w:rPr>
              <w:t>定投</w:t>
            </w:r>
          </w:p>
          <w:p w:rsidR="00D6791A" w:rsidRDefault="00BB21D8">
            <w:pPr>
              <w:adjustRightInd w:val="0"/>
              <w:snapToGrid w:val="0"/>
              <w:jc w:val="center"/>
              <w:rPr>
                <w:b/>
                <w:color w:val="000000"/>
                <w:sz w:val="21"/>
                <w:szCs w:val="21"/>
              </w:rPr>
            </w:pPr>
            <w:r>
              <w:rPr>
                <w:rFonts w:hint="eastAsia"/>
                <w:b/>
                <w:color w:val="000000"/>
                <w:sz w:val="21"/>
                <w:szCs w:val="21"/>
              </w:rPr>
              <w:t>业务</w:t>
            </w:r>
          </w:p>
        </w:tc>
        <w:tc>
          <w:tcPr>
            <w:tcW w:w="690" w:type="dxa"/>
            <w:tcBorders>
              <w:top w:val="single" w:sz="4" w:space="0" w:color="auto"/>
              <w:left w:val="nil"/>
              <w:bottom w:val="single" w:sz="4" w:space="0" w:color="auto"/>
              <w:right w:val="single" w:sz="4" w:space="0" w:color="auto"/>
            </w:tcBorders>
            <w:shd w:val="clear" w:color="auto" w:fill="auto"/>
            <w:vAlign w:val="center"/>
          </w:tcPr>
          <w:p w:rsidR="00D6791A" w:rsidRDefault="00BB21D8">
            <w:pPr>
              <w:adjustRightInd w:val="0"/>
              <w:snapToGrid w:val="0"/>
              <w:jc w:val="center"/>
              <w:rPr>
                <w:b/>
                <w:color w:val="000000"/>
                <w:sz w:val="21"/>
                <w:szCs w:val="21"/>
              </w:rPr>
            </w:pPr>
            <w:r>
              <w:rPr>
                <w:rFonts w:hint="eastAsia"/>
                <w:b/>
                <w:color w:val="000000"/>
                <w:sz w:val="21"/>
                <w:szCs w:val="21"/>
              </w:rPr>
              <w:t>转换</w:t>
            </w:r>
          </w:p>
          <w:p w:rsidR="00D6791A" w:rsidRDefault="00BB21D8">
            <w:pPr>
              <w:adjustRightInd w:val="0"/>
              <w:snapToGrid w:val="0"/>
              <w:jc w:val="center"/>
              <w:rPr>
                <w:b/>
                <w:color w:val="000000"/>
                <w:sz w:val="21"/>
                <w:szCs w:val="21"/>
              </w:rPr>
            </w:pPr>
            <w:r>
              <w:rPr>
                <w:rFonts w:hint="eastAsia"/>
                <w:b/>
                <w:color w:val="000000"/>
                <w:sz w:val="21"/>
                <w:szCs w:val="21"/>
              </w:rPr>
              <w:t>业务</w:t>
            </w:r>
          </w:p>
        </w:tc>
        <w:tc>
          <w:tcPr>
            <w:tcW w:w="690" w:type="dxa"/>
            <w:tcBorders>
              <w:top w:val="single" w:sz="4" w:space="0" w:color="auto"/>
              <w:left w:val="nil"/>
              <w:bottom w:val="single" w:sz="4" w:space="0" w:color="auto"/>
              <w:right w:val="single" w:sz="4" w:space="0" w:color="auto"/>
            </w:tcBorders>
            <w:shd w:val="clear" w:color="auto" w:fill="auto"/>
            <w:vAlign w:val="center"/>
          </w:tcPr>
          <w:p w:rsidR="00D6791A" w:rsidRDefault="00BB21D8">
            <w:pPr>
              <w:adjustRightInd w:val="0"/>
              <w:snapToGrid w:val="0"/>
              <w:jc w:val="center"/>
              <w:rPr>
                <w:b/>
                <w:color w:val="000000"/>
                <w:sz w:val="21"/>
                <w:szCs w:val="21"/>
              </w:rPr>
            </w:pPr>
            <w:r>
              <w:rPr>
                <w:rFonts w:hint="eastAsia"/>
                <w:b/>
                <w:color w:val="000000"/>
                <w:sz w:val="21"/>
                <w:szCs w:val="21"/>
              </w:rPr>
              <w:t>费率</w:t>
            </w:r>
          </w:p>
          <w:p w:rsidR="00D6791A" w:rsidRDefault="00BB21D8">
            <w:pPr>
              <w:adjustRightInd w:val="0"/>
              <w:snapToGrid w:val="0"/>
              <w:jc w:val="center"/>
              <w:rPr>
                <w:b/>
                <w:color w:val="000000"/>
                <w:sz w:val="21"/>
                <w:szCs w:val="21"/>
              </w:rPr>
            </w:pPr>
            <w:r>
              <w:rPr>
                <w:rFonts w:hint="eastAsia"/>
                <w:b/>
                <w:color w:val="000000"/>
                <w:sz w:val="21"/>
                <w:szCs w:val="21"/>
              </w:rPr>
              <w:t>优惠</w:t>
            </w:r>
          </w:p>
        </w:tc>
      </w:tr>
      <w:tr w:rsidR="00D6791A">
        <w:trPr>
          <w:trHeight w:val="454"/>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791A" w:rsidRDefault="00BB21D8">
            <w:pPr>
              <w:jc w:val="center"/>
              <w:textAlignment w:val="center"/>
              <w:rPr>
                <w:color w:val="000000"/>
                <w:sz w:val="21"/>
                <w:szCs w:val="21"/>
              </w:rPr>
            </w:pPr>
            <w:r>
              <w:rPr>
                <w:rFonts w:hint="eastAsia"/>
                <w:color w:val="000000"/>
                <w:sz w:val="21"/>
                <w:szCs w:val="21"/>
                <w:lang/>
              </w:rPr>
              <w:t>1</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D6791A" w:rsidRDefault="00BB21D8">
            <w:pPr>
              <w:jc w:val="center"/>
              <w:textAlignment w:val="center"/>
              <w:rPr>
                <w:color w:val="000000"/>
                <w:sz w:val="21"/>
                <w:szCs w:val="21"/>
                <w:lang/>
              </w:rPr>
            </w:pPr>
            <w:r>
              <w:rPr>
                <w:rFonts w:hint="eastAsia"/>
                <w:color w:val="000000"/>
                <w:sz w:val="21"/>
                <w:szCs w:val="21"/>
                <w:lang/>
              </w:rPr>
              <w:t>006934</w:t>
            </w:r>
          </w:p>
        </w:tc>
        <w:tc>
          <w:tcPr>
            <w:tcW w:w="4752" w:type="dxa"/>
            <w:tcBorders>
              <w:top w:val="single" w:sz="4" w:space="0" w:color="auto"/>
              <w:left w:val="nil"/>
              <w:bottom w:val="single" w:sz="4" w:space="0" w:color="auto"/>
              <w:right w:val="single" w:sz="4" w:space="0" w:color="auto"/>
            </w:tcBorders>
            <w:shd w:val="clear" w:color="auto" w:fill="FFFFFF"/>
            <w:noWrap/>
            <w:vAlign w:val="center"/>
          </w:tcPr>
          <w:p w:rsidR="00D6791A" w:rsidRDefault="00BB21D8">
            <w:pPr>
              <w:jc w:val="center"/>
              <w:textAlignment w:val="center"/>
              <w:rPr>
                <w:rFonts w:ascii="等线" w:eastAsia="等线" w:hAnsi="等线" w:cs="等线"/>
                <w:color w:val="000000"/>
                <w:sz w:val="16"/>
                <w:szCs w:val="16"/>
              </w:rPr>
            </w:pPr>
            <w:r>
              <w:rPr>
                <w:rFonts w:hint="eastAsia"/>
                <w:color w:val="000000"/>
                <w:sz w:val="21"/>
                <w:szCs w:val="21"/>
                <w:lang/>
              </w:rPr>
              <w:t>平安</w:t>
            </w:r>
            <w:r>
              <w:rPr>
                <w:rFonts w:hint="eastAsia"/>
                <w:color w:val="000000"/>
                <w:sz w:val="21"/>
                <w:szCs w:val="21"/>
                <w:lang/>
              </w:rPr>
              <w:t>3-5</w:t>
            </w:r>
            <w:r>
              <w:rPr>
                <w:rFonts w:hint="eastAsia"/>
                <w:color w:val="000000"/>
                <w:sz w:val="21"/>
                <w:szCs w:val="21"/>
                <w:lang/>
              </w:rPr>
              <w:t>年期政策性金融债债券型证券投资基金</w:t>
            </w:r>
            <w:r>
              <w:rPr>
                <w:rFonts w:hint="eastAsia"/>
                <w:color w:val="000000"/>
                <w:sz w:val="21"/>
                <w:szCs w:val="21"/>
                <w:lang/>
              </w:rPr>
              <w:t>A</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D6791A" w:rsidRDefault="00BB21D8">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D6791A" w:rsidRDefault="00BB21D8">
            <w:pPr>
              <w:jc w:val="center"/>
              <w:textAlignment w:val="center"/>
              <w:rPr>
                <w:color w:val="000000"/>
                <w:sz w:val="21"/>
                <w:szCs w:val="21"/>
              </w:rPr>
            </w:pPr>
            <w:r>
              <w:rPr>
                <w:rFonts w:hint="eastAsia"/>
                <w:color w:val="000000"/>
                <w:sz w:val="21"/>
                <w:szCs w:val="21"/>
                <w:lang/>
              </w:rPr>
              <w:t>是</w:t>
            </w: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D6791A" w:rsidRDefault="00BB21D8">
            <w:pPr>
              <w:jc w:val="center"/>
              <w:textAlignment w:val="center"/>
              <w:rPr>
                <w:color w:val="000000"/>
                <w:sz w:val="21"/>
                <w:szCs w:val="21"/>
              </w:rPr>
            </w:pPr>
            <w:r>
              <w:rPr>
                <w:rFonts w:hint="eastAsia"/>
                <w:color w:val="000000"/>
                <w:sz w:val="21"/>
                <w:szCs w:val="21"/>
                <w:lang/>
              </w:rPr>
              <w:t>是</w:t>
            </w:r>
          </w:p>
        </w:tc>
      </w:tr>
    </w:tbl>
    <w:p w:rsidR="00D6791A" w:rsidRDefault="00BB21D8" w:rsidP="00BB21D8">
      <w:pPr>
        <w:pStyle w:val="Default"/>
        <w:kinsoku w:val="0"/>
        <w:overflowPunct w:val="0"/>
        <w:snapToGrid w:val="0"/>
        <w:spacing w:beforeLines="50" w:line="360" w:lineRule="auto"/>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注：同一产品各份额间不能相互转换。</w:t>
      </w:r>
    </w:p>
    <w:p w:rsidR="00D6791A" w:rsidRDefault="00BB21D8" w:rsidP="00BB21D8">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二、重要提示</w:t>
      </w:r>
    </w:p>
    <w:p w:rsidR="00D6791A" w:rsidRDefault="00BB21D8">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D6791A" w:rsidRDefault="00BB21D8">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基金转换是指基金份额持有人按照《基金合同》和基金管理人届时有效公告规定的条件，申请将其持有基金管理人管理的、某一基金的基金份额转为基金管理人管理的、且由同一注册登记机构办理注册登记的其他基金的基金份额的行为。基金转换业务规则与转换业务的收费计算公式参见本公司网站的《平安基金管理有限公司关于旗下开放式基金转换业务规则说明的公告》。</w:t>
      </w:r>
    </w:p>
    <w:p w:rsidR="00D6791A" w:rsidRDefault="00BB21D8" w:rsidP="00BB21D8">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三</w:t>
      </w:r>
      <w:r>
        <w:rPr>
          <w:rFonts w:asciiTheme="minorEastAsia" w:eastAsiaTheme="minorEastAsia" w:hAnsiTheme="minorEastAsia"/>
          <w:sz w:val="21"/>
          <w:szCs w:val="21"/>
        </w:rPr>
        <w:t>、费率优惠</w:t>
      </w:r>
    </w:p>
    <w:p w:rsidR="00D6791A" w:rsidRDefault="00BB21D8">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销售机构申购或定期定额申购、转换上述基金，享受费率优惠，优惠活动解释权归销售机构所有，请投资者咨询销售机构。本公司对其申购费率、定期定额申购费率以及转换业务的申购补差费率均不设折扣限制，优惠活动的费率折扣由销售机构决定和执行，本公司根据销售机构提供的费率折扣办理，若销售机构费率优惠活动内容变更，以销售机构的活动公告为准，本公司不再另行公告。</w:t>
      </w:r>
    </w:p>
    <w:p w:rsidR="00D6791A" w:rsidRDefault="00BB21D8" w:rsidP="00BB21D8">
      <w:pPr>
        <w:pStyle w:val="Default"/>
        <w:kinsoku w:val="0"/>
        <w:overflowPunct w:val="0"/>
        <w:snapToGrid w:val="0"/>
        <w:spacing w:beforeLines="50"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D6791A" w:rsidRDefault="00BB21D8">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bCs/>
          <w:sz w:val="21"/>
          <w:szCs w:val="21"/>
        </w:rPr>
        <w:t>江苏银行股份有限公司</w:t>
      </w:r>
    </w:p>
    <w:p w:rsidR="00D6791A" w:rsidRDefault="00BB21D8">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color w:val="000000"/>
          <w:sz w:val="21"/>
          <w:szCs w:val="21"/>
        </w:rPr>
      </w:pPr>
      <w:r>
        <w:rPr>
          <w:rFonts w:asciiTheme="minorEastAsia" w:eastAsiaTheme="minorEastAsia" w:hAnsiTheme="minorEastAsia" w:cs="Calibri" w:hint="eastAsia"/>
          <w:sz w:val="21"/>
          <w:szCs w:val="21"/>
        </w:rPr>
        <w:t>客服电话：</w:t>
      </w:r>
      <w:r>
        <w:rPr>
          <w:rFonts w:asciiTheme="minorEastAsia" w:eastAsiaTheme="minorEastAsia" w:hAnsiTheme="minorEastAsia" w:cs="Calibri" w:hint="eastAsia"/>
          <w:sz w:val="21"/>
          <w:szCs w:val="21"/>
        </w:rPr>
        <w:t>95</w:t>
      </w:r>
      <w:r>
        <w:rPr>
          <w:rFonts w:asciiTheme="minorEastAsia" w:eastAsiaTheme="minorEastAsia" w:hAnsiTheme="minorEastAsia" w:cs="Calibri" w:hint="eastAsia"/>
          <w:sz w:val="21"/>
          <w:szCs w:val="21"/>
        </w:rPr>
        <w:t>319</w:t>
      </w:r>
    </w:p>
    <w:p w:rsidR="00D6791A" w:rsidRDefault="00BB21D8">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cs="Calibri"/>
          <w:sz w:val="21"/>
          <w:szCs w:val="21"/>
        </w:rPr>
      </w:pPr>
      <w:r>
        <w:rPr>
          <w:rFonts w:asciiTheme="minorEastAsia" w:eastAsiaTheme="minorEastAsia" w:hAnsiTheme="minorEastAsia" w:cs="Calibri" w:hint="eastAsia"/>
          <w:sz w:val="21"/>
          <w:szCs w:val="21"/>
        </w:rPr>
        <w:t>网址：</w:t>
      </w:r>
      <w:r>
        <w:rPr>
          <w:rFonts w:asciiTheme="minorEastAsia" w:eastAsiaTheme="minorEastAsia" w:hAnsiTheme="minorEastAsia" w:cs="Calibri" w:hint="eastAsia"/>
          <w:sz w:val="21"/>
          <w:szCs w:val="21"/>
        </w:rPr>
        <w:t>www.jsbchina.cn</w:t>
      </w:r>
    </w:p>
    <w:p w:rsidR="00D6791A" w:rsidRDefault="00BB21D8">
      <w:pPr>
        <w:widowControl w:val="0"/>
        <w:kinsoku w:val="0"/>
        <w:overflowPunct w:val="0"/>
        <w:autoSpaceDE w:val="0"/>
        <w:autoSpaceDN w:val="0"/>
        <w:adjustRightInd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r>
        <w:rPr>
          <w:rFonts w:asciiTheme="minorEastAsia" w:eastAsiaTheme="minorEastAsia" w:hAnsiTheme="minorEastAsia" w:hint="eastAsia"/>
          <w:sz w:val="21"/>
          <w:szCs w:val="21"/>
        </w:rPr>
        <w:t>、平安基金管理有限公司</w:t>
      </w:r>
    </w:p>
    <w:p w:rsidR="00D6791A" w:rsidRDefault="00BB21D8">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400-800-4800</w:t>
      </w:r>
    </w:p>
    <w:p w:rsidR="00D6791A" w:rsidRDefault="00BB21D8">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sz w:val="21"/>
          <w:szCs w:val="21"/>
        </w:rPr>
        <w:t>fund.pingan.com</w:t>
      </w:r>
    </w:p>
    <w:p w:rsidR="00D6791A" w:rsidRDefault="00D6791A">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D6791A" w:rsidRDefault="00BB21D8">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w:t>
      </w:r>
      <w:r>
        <w:rPr>
          <w:rFonts w:asciiTheme="minorEastAsia" w:eastAsiaTheme="minorEastAsia" w:hAnsiTheme="minorEastAsia" w:hint="eastAsia"/>
          <w:sz w:val="21"/>
          <w:szCs w:val="21"/>
        </w:rPr>
        <w:t>金产品。</w:t>
      </w:r>
    </w:p>
    <w:p w:rsidR="00D6791A" w:rsidRDefault="00D6791A">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p>
    <w:p w:rsidR="00D6791A" w:rsidRDefault="00BB21D8">
      <w:pPr>
        <w:pStyle w:val="Default"/>
        <w:kinsoku w:val="0"/>
        <w:overflowPunct w:val="0"/>
        <w:snapToGrid w:val="0"/>
        <w:spacing w:line="360" w:lineRule="auto"/>
        <w:ind w:firstLineChars="200" w:firstLine="420"/>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D6791A" w:rsidRDefault="00BB21D8" w:rsidP="00BB21D8">
      <w:pPr>
        <w:pStyle w:val="Default"/>
        <w:kinsoku w:val="0"/>
        <w:overflowPunct w:val="0"/>
        <w:snapToGrid w:val="0"/>
        <w:spacing w:beforeLines="50" w:line="360" w:lineRule="auto"/>
        <w:ind w:leftChars="2400" w:left="5760" w:firstLineChars="200" w:firstLine="420"/>
        <w:jc w:val="center"/>
        <w:textAlignment w:val="top"/>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p>
    <w:p w:rsidR="00D6791A" w:rsidRDefault="00BB21D8">
      <w:pPr>
        <w:pStyle w:val="Default"/>
        <w:kinsoku w:val="0"/>
        <w:overflowPunct w:val="0"/>
        <w:snapToGrid w:val="0"/>
        <w:spacing w:line="360" w:lineRule="auto"/>
        <w:ind w:leftChars="2400" w:left="5760" w:firstLineChars="200" w:firstLine="420"/>
        <w:jc w:val="center"/>
        <w:textAlignment w:val="top"/>
        <w:rPr>
          <w:rFonts w:asciiTheme="minorEastAsia" w:eastAsiaTheme="minorEastAsia" w:hAnsiTheme="minorEastAsia"/>
          <w:sz w:val="21"/>
          <w:szCs w:val="21"/>
        </w:rPr>
      </w:pPr>
      <w:r>
        <w:rPr>
          <w:rFonts w:asciiTheme="minorEastAsia" w:eastAsiaTheme="minorEastAsia" w:hAnsiTheme="minorEastAsia"/>
          <w:sz w:val="21"/>
          <w:szCs w:val="21"/>
        </w:rPr>
        <w:t>202</w:t>
      </w: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11</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21</w:t>
      </w:r>
      <w:r>
        <w:rPr>
          <w:rFonts w:asciiTheme="minorEastAsia" w:eastAsiaTheme="minorEastAsia" w:hAnsiTheme="minorEastAsia" w:hint="eastAsia"/>
          <w:sz w:val="21"/>
          <w:szCs w:val="21"/>
        </w:rPr>
        <w:t>日</w:t>
      </w:r>
    </w:p>
    <w:sectPr w:rsidR="00D6791A" w:rsidSect="00D6791A">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00F6E"/>
    <w:rsid w:val="00012D9D"/>
    <w:rsid w:val="0002118E"/>
    <w:rsid w:val="00045F81"/>
    <w:rsid w:val="00047C11"/>
    <w:rsid w:val="00052628"/>
    <w:rsid w:val="000528A8"/>
    <w:rsid w:val="000909E4"/>
    <w:rsid w:val="00096844"/>
    <w:rsid w:val="000A17F3"/>
    <w:rsid w:val="000A429E"/>
    <w:rsid w:val="000A55E6"/>
    <w:rsid w:val="000A64E8"/>
    <w:rsid w:val="000A705E"/>
    <w:rsid w:val="000D3EAD"/>
    <w:rsid w:val="000F04AA"/>
    <w:rsid w:val="000F18A5"/>
    <w:rsid w:val="000F4E74"/>
    <w:rsid w:val="000F7983"/>
    <w:rsid w:val="00103B45"/>
    <w:rsid w:val="00121C7D"/>
    <w:rsid w:val="001248DF"/>
    <w:rsid w:val="00124C3D"/>
    <w:rsid w:val="0013685A"/>
    <w:rsid w:val="001653A4"/>
    <w:rsid w:val="0019277E"/>
    <w:rsid w:val="001A461E"/>
    <w:rsid w:val="001A4714"/>
    <w:rsid w:val="001A4F1C"/>
    <w:rsid w:val="001A7214"/>
    <w:rsid w:val="001A7949"/>
    <w:rsid w:val="001B41E7"/>
    <w:rsid w:val="001C2D9F"/>
    <w:rsid w:val="001C784F"/>
    <w:rsid w:val="001F0C8E"/>
    <w:rsid w:val="001F28AC"/>
    <w:rsid w:val="00204567"/>
    <w:rsid w:val="002177DC"/>
    <w:rsid w:val="002566F0"/>
    <w:rsid w:val="00262A33"/>
    <w:rsid w:val="00264C93"/>
    <w:rsid w:val="00264D5E"/>
    <w:rsid w:val="002668EB"/>
    <w:rsid w:val="002761E3"/>
    <w:rsid w:val="002814C9"/>
    <w:rsid w:val="00281CC0"/>
    <w:rsid w:val="002848FC"/>
    <w:rsid w:val="00292CE2"/>
    <w:rsid w:val="00296EE1"/>
    <w:rsid w:val="002A5DE9"/>
    <w:rsid w:val="002B7845"/>
    <w:rsid w:val="002D19FB"/>
    <w:rsid w:val="002D1E78"/>
    <w:rsid w:val="002D27A6"/>
    <w:rsid w:val="002D6C9B"/>
    <w:rsid w:val="002D7023"/>
    <w:rsid w:val="002E7B82"/>
    <w:rsid w:val="002F3FE0"/>
    <w:rsid w:val="0030137F"/>
    <w:rsid w:val="003078C7"/>
    <w:rsid w:val="003113D2"/>
    <w:rsid w:val="00320940"/>
    <w:rsid w:val="003361FA"/>
    <w:rsid w:val="00364908"/>
    <w:rsid w:val="00367D1F"/>
    <w:rsid w:val="0039533D"/>
    <w:rsid w:val="00396D5E"/>
    <w:rsid w:val="003974DA"/>
    <w:rsid w:val="003A0EA0"/>
    <w:rsid w:val="003A5787"/>
    <w:rsid w:val="003B0BB8"/>
    <w:rsid w:val="003B69AF"/>
    <w:rsid w:val="003C03A2"/>
    <w:rsid w:val="003C7281"/>
    <w:rsid w:val="003E054C"/>
    <w:rsid w:val="003F16BD"/>
    <w:rsid w:val="003F2CC3"/>
    <w:rsid w:val="003F6449"/>
    <w:rsid w:val="00415D50"/>
    <w:rsid w:val="00420A21"/>
    <w:rsid w:val="0044188B"/>
    <w:rsid w:val="00442141"/>
    <w:rsid w:val="004457BC"/>
    <w:rsid w:val="00450025"/>
    <w:rsid w:val="004577B0"/>
    <w:rsid w:val="004625FD"/>
    <w:rsid w:val="004722C2"/>
    <w:rsid w:val="004828DB"/>
    <w:rsid w:val="00484863"/>
    <w:rsid w:val="00485308"/>
    <w:rsid w:val="00491883"/>
    <w:rsid w:val="004946F6"/>
    <w:rsid w:val="00494AAF"/>
    <w:rsid w:val="004A2E14"/>
    <w:rsid w:val="004A6D03"/>
    <w:rsid w:val="004C0398"/>
    <w:rsid w:val="004C2106"/>
    <w:rsid w:val="004C37F7"/>
    <w:rsid w:val="004C7F47"/>
    <w:rsid w:val="004D24D2"/>
    <w:rsid w:val="004E21A9"/>
    <w:rsid w:val="004E5ACD"/>
    <w:rsid w:val="004E63BB"/>
    <w:rsid w:val="0050022C"/>
    <w:rsid w:val="00507E5F"/>
    <w:rsid w:val="00514E4C"/>
    <w:rsid w:val="00515018"/>
    <w:rsid w:val="00517AC6"/>
    <w:rsid w:val="00520295"/>
    <w:rsid w:val="00535B35"/>
    <w:rsid w:val="0054378D"/>
    <w:rsid w:val="005608B3"/>
    <w:rsid w:val="00567ADC"/>
    <w:rsid w:val="00571749"/>
    <w:rsid w:val="00572C09"/>
    <w:rsid w:val="005830D5"/>
    <w:rsid w:val="00587FDA"/>
    <w:rsid w:val="005B406E"/>
    <w:rsid w:val="005B5A0D"/>
    <w:rsid w:val="005C292F"/>
    <w:rsid w:val="005C3BB9"/>
    <w:rsid w:val="00607C40"/>
    <w:rsid w:val="0061168A"/>
    <w:rsid w:val="00640E9C"/>
    <w:rsid w:val="00642493"/>
    <w:rsid w:val="006445B0"/>
    <w:rsid w:val="00646164"/>
    <w:rsid w:val="00647985"/>
    <w:rsid w:val="00650FB2"/>
    <w:rsid w:val="00682BC8"/>
    <w:rsid w:val="00687341"/>
    <w:rsid w:val="00692141"/>
    <w:rsid w:val="006B3EF9"/>
    <w:rsid w:val="006C5A52"/>
    <w:rsid w:val="006D1671"/>
    <w:rsid w:val="006E32D4"/>
    <w:rsid w:val="00705A4C"/>
    <w:rsid w:val="00730407"/>
    <w:rsid w:val="00731963"/>
    <w:rsid w:val="00734F37"/>
    <w:rsid w:val="00740915"/>
    <w:rsid w:val="00753118"/>
    <w:rsid w:val="00780F14"/>
    <w:rsid w:val="007830D0"/>
    <w:rsid w:val="00791C3E"/>
    <w:rsid w:val="00794816"/>
    <w:rsid w:val="007A26C6"/>
    <w:rsid w:val="007A3DAC"/>
    <w:rsid w:val="007A3FE1"/>
    <w:rsid w:val="007A7B19"/>
    <w:rsid w:val="007F61CE"/>
    <w:rsid w:val="00810617"/>
    <w:rsid w:val="00811189"/>
    <w:rsid w:val="0081383C"/>
    <w:rsid w:val="00821B32"/>
    <w:rsid w:val="00823371"/>
    <w:rsid w:val="00826550"/>
    <w:rsid w:val="00831273"/>
    <w:rsid w:val="00845B08"/>
    <w:rsid w:val="00851F29"/>
    <w:rsid w:val="00854840"/>
    <w:rsid w:val="00872291"/>
    <w:rsid w:val="0088154B"/>
    <w:rsid w:val="00897F5C"/>
    <w:rsid w:val="008A3072"/>
    <w:rsid w:val="008C18C0"/>
    <w:rsid w:val="008C5F32"/>
    <w:rsid w:val="008D6265"/>
    <w:rsid w:val="008E0D07"/>
    <w:rsid w:val="008E48D7"/>
    <w:rsid w:val="008F3E97"/>
    <w:rsid w:val="008F64CD"/>
    <w:rsid w:val="009014EE"/>
    <w:rsid w:val="00904309"/>
    <w:rsid w:val="00920743"/>
    <w:rsid w:val="00921A70"/>
    <w:rsid w:val="00923E2A"/>
    <w:rsid w:val="00933B6D"/>
    <w:rsid w:val="00935F42"/>
    <w:rsid w:val="00937796"/>
    <w:rsid w:val="00954107"/>
    <w:rsid w:val="0095464E"/>
    <w:rsid w:val="009628BB"/>
    <w:rsid w:val="0097041B"/>
    <w:rsid w:val="00971EB8"/>
    <w:rsid w:val="009757C0"/>
    <w:rsid w:val="00976D41"/>
    <w:rsid w:val="009837DD"/>
    <w:rsid w:val="00987CD0"/>
    <w:rsid w:val="00990A32"/>
    <w:rsid w:val="00990EED"/>
    <w:rsid w:val="00992E80"/>
    <w:rsid w:val="0099601B"/>
    <w:rsid w:val="009A02A1"/>
    <w:rsid w:val="009A31D7"/>
    <w:rsid w:val="009A5270"/>
    <w:rsid w:val="009C281F"/>
    <w:rsid w:val="009C3006"/>
    <w:rsid w:val="009C78DA"/>
    <w:rsid w:val="009D4541"/>
    <w:rsid w:val="009E63D2"/>
    <w:rsid w:val="009F32F9"/>
    <w:rsid w:val="00A05723"/>
    <w:rsid w:val="00A07AAE"/>
    <w:rsid w:val="00A33C7C"/>
    <w:rsid w:val="00A60243"/>
    <w:rsid w:val="00A749F8"/>
    <w:rsid w:val="00A94C39"/>
    <w:rsid w:val="00AA3D8C"/>
    <w:rsid w:val="00AA75D7"/>
    <w:rsid w:val="00AB64F4"/>
    <w:rsid w:val="00AC23F6"/>
    <w:rsid w:val="00AC2AF0"/>
    <w:rsid w:val="00AD03C5"/>
    <w:rsid w:val="00AD5757"/>
    <w:rsid w:val="00AD7748"/>
    <w:rsid w:val="00AF3C06"/>
    <w:rsid w:val="00AF3D4F"/>
    <w:rsid w:val="00B03684"/>
    <w:rsid w:val="00B11ACB"/>
    <w:rsid w:val="00B17A38"/>
    <w:rsid w:val="00B2752D"/>
    <w:rsid w:val="00B27FEE"/>
    <w:rsid w:val="00B4563E"/>
    <w:rsid w:val="00B54026"/>
    <w:rsid w:val="00B55036"/>
    <w:rsid w:val="00B55F3A"/>
    <w:rsid w:val="00B70D53"/>
    <w:rsid w:val="00B817D0"/>
    <w:rsid w:val="00B96032"/>
    <w:rsid w:val="00BA05C0"/>
    <w:rsid w:val="00BA3477"/>
    <w:rsid w:val="00BB21D8"/>
    <w:rsid w:val="00BB5C21"/>
    <w:rsid w:val="00BD07D8"/>
    <w:rsid w:val="00BD1D4F"/>
    <w:rsid w:val="00BD48EC"/>
    <w:rsid w:val="00BD521C"/>
    <w:rsid w:val="00BE4B5B"/>
    <w:rsid w:val="00BE7300"/>
    <w:rsid w:val="00BF16E7"/>
    <w:rsid w:val="00C0069F"/>
    <w:rsid w:val="00C0406E"/>
    <w:rsid w:val="00C31032"/>
    <w:rsid w:val="00C40E64"/>
    <w:rsid w:val="00C46203"/>
    <w:rsid w:val="00C501F5"/>
    <w:rsid w:val="00C54632"/>
    <w:rsid w:val="00C56A04"/>
    <w:rsid w:val="00C5792F"/>
    <w:rsid w:val="00C65775"/>
    <w:rsid w:val="00C73DD4"/>
    <w:rsid w:val="00C76074"/>
    <w:rsid w:val="00C80A91"/>
    <w:rsid w:val="00C95347"/>
    <w:rsid w:val="00CB6964"/>
    <w:rsid w:val="00CD63D6"/>
    <w:rsid w:val="00CD6E9E"/>
    <w:rsid w:val="00CE0610"/>
    <w:rsid w:val="00D06F2F"/>
    <w:rsid w:val="00D272D6"/>
    <w:rsid w:val="00D36530"/>
    <w:rsid w:val="00D47829"/>
    <w:rsid w:val="00D62E26"/>
    <w:rsid w:val="00D63292"/>
    <w:rsid w:val="00D67132"/>
    <w:rsid w:val="00D67302"/>
    <w:rsid w:val="00D6791A"/>
    <w:rsid w:val="00D71DD1"/>
    <w:rsid w:val="00D748C9"/>
    <w:rsid w:val="00D82A62"/>
    <w:rsid w:val="00D94D1C"/>
    <w:rsid w:val="00DA76DA"/>
    <w:rsid w:val="00DB6046"/>
    <w:rsid w:val="00DC1281"/>
    <w:rsid w:val="00DC47D8"/>
    <w:rsid w:val="00DC5CC9"/>
    <w:rsid w:val="00DD069D"/>
    <w:rsid w:val="00DE053A"/>
    <w:rsid w:val="00DE72AA"/>
    <w:rsid w:val="00DF56C9"/>
    <w:rsid w:val="00DF60E5"/>
    <w:rsid w:val="00E21264"/>
    <w:rsid w:val="00E4451D"/>
    <w:rsid w:val="00E54EBA"/>
    <w:rsid w:val="00E73D77"/>
    <w:rsid w:val="00E80A8D"/>
    <w:rsid w:val="00E81878"/>
    <w:rsid w:val="00EB0034"/>
    <w:rsid w:val="00EB4D37"/>
    <w:rsid w:val="00EC1C6C"/>
    <w:rsid w:val="00EC65E6"/>
    <w:rsid w:val="00EE2E26"/>
    <w:rsid w:val="00EF2043"/>
    <w:rsid w:val="00F21B4C"/>
    <w:rsid w:val="00F23C71"/>
    <w:rsid w:val="00F35B69"/>
    <w:rsid w:val="00F40147"/>
    <w:rsid w:val="00F45200"/>
    <w:rsid w:val="00F61430"/>
    <w:rsid w:val="00F9569D"/>
    <w:rsid w:val="00FA2238"/>
    <w:rsid w:val="00FB347D"/>
    <w:rsid w:val="00FB4CAD"/>
    <w:rsid w:val="00FB7DF0"/>
    <w:rsid w:val="00FC2EDF"/>
    <w:rsid w:val="00FC462A"/>
    <w:rsid w:val="00FC4870"/>
    <w:rsid w:val="00FD5EA2"/>
    <w:rsid w:val="00FD69DB"/>
    <w:rsid w:val="00FD710A"/>
    <w:rsid w:val="098B5143"/>
    <w:rsid w:val="13403830"/>
    <w:rsid w:val="18266FAC"/>
    <w:rsid w:val="1D9D22B4"/>
    <w:rsid w:val="2091705E"/>
    <w:rsid w:val="24594203"/>
    <w:rsid w:val="24666382"/>
    <w:rsid w:val="24A03DEF"/>
    <w:rsid w:val="2D8C3D5F"/>
    <w:rsid w:val="3D566DBE"/>
    <w:rsid w:val="3EFD39D6"/>
    <w:rsid w:val="3F34039E"/>
    <w:rsid w:val="42712DB3"/>
    <w:rsid w:val="43071F86"/>
    <w:rsid w:val="472E670D"/>
    <w:rsid w:val="49996865"/>
    <w:rsid w:val="4A133393"/>
    <w:rsid w:val="512310EE"/>
    <w:rsid w:val="51CA6C76"/>
    <w:rsid w:val="52031818"/>
    <w:rsid w:val="5F595C51"/>
    <w:rsid w:val="647F0B6F"/>
    <w:rsid w:val="68157452"/>
    <w:rsid w:val="68B776BB"/>
    <w:rsid w:val="69351851"/>
    <w:rsid w:val="740C207D"/>
    <w:rsid w:val="7808157C"/>
    <w:rsid w:val="7AEC1CF8"/>
    <w:rsid w:val="7C242E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91A"/>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D6791A"/>
  </w:style>
  <w:style w:type="paragraph" w:styleId="a4">
    <w:name w:val="Balloon Text"/>
    <w:basedOn w:val="a"/>
    <w:link w:val="Char0"/>
    <w:semiHidden/>
    <w:unhideWhenUsed/>
    <w:qFormat/>
    <w:rsid w:val="00D6791A"/>
    <w:rPr>
      <w:sz w:val="18"/>
      <w:szCs w:val="18"/>
    </w:rPr>
  </w:style>
  <w:style w:type="paragraph" w:styleId="a5">
    <w:name w:val="footer"/>
    <w:basedOn w:val="a"/>
    <w:link w:val="Char1"/>
    <w:uiPriority w:val="99"/>
    <w:unhideWhenUsed/>
    <w:qFormat/>
    <w:rsid w:val="00D6791A"/>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D6791A"/>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D6791A"/>
    <w:rPr>
      <w:b/>
      <w:bCs/>
    </w:rPr>
  </w:style>
  <w:style w:type="character" w:styleId="a8">
    <w:name w:val="Hyperlink"/>
    <w:basedOn w:val="a0"/>
    <w:unhideWhenUsed/>
    <w:qFormat/>
    <w:rsid w:val="00D6791A"/>
    <w:rPr>
      <w:color w:val="0000FF" w:themeColor="hyperlink"/>
      <w:u w:val="single"/>
    </w:rPr>
  </w:style>
  <w:style w:type="character" w:styleId="a9">
    <w:name w:val="annotation reference"/>
    <w:basedOn w:val="a0"/>
    <w:semiHidden/>
    <w:unhideWhenUsed/>
    <w:qFormat/>
    <w:rsid w:val="00D6791A"/>
    <w:rPr>
      <w:sz w:val="21"/>
      <w:szCs w:val="21"/>
    </w:rPr>
  </w:style>
  <w:style w:type="paragraph" w:customStyle="1" w:styleId="Default">
    <w:name w:val="Default"/>
    <w:qFormat/>
    <w:rsid w:val="00D6791A"/>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D6791A"/>
    <w:rPr>
      <w:sz w:val="18"/>
      <w:szCs w:val="18"/>
    </w:rPr>
  </w:style>
  <w:style w:type="character" w:customStyle="1" w:styleId="Char1">
    <w:name w:val="页脚 Char"/>
    <w:basedOn w:val="a0"/>
    <w:link w:val="a5"/>
    <w:uiPriority w:val="99"/>
    <w:qFormat/>
    <w:rsid w:val="00D6791A"/>
    <w:rPr>
      <w:sz w:val="18"/>
      <w:szCs w:val="18"/>
    </w:rPr>
  </w:style>
  <w:style w:type="character" w:customStyle="1" w:styleId="Char0">
    <w:name w:val="批注框文本 Char"/>
    <w:basedOn w:val="a0"/>
    <w:link w:val="a4"/>
    <w:semiHidden/>
    <w:qFormat/>
    <w:rsid w:val="00D6791A"/>
    <w:rPr>
      <w:rFonts w:ascii="宋体" w:hAnsi="宋体" w:cs="宋体"/>
      <w:sz w:val="18"/>
      <w:szCs w:val="18"/>
    </w:rPr>
  </w:style>
  <w:style w:type="character" w:customStyle="1" w:styleId="Char">
    <w:name w:val="批注文字 Char"/>
    <w:basedOn w:val="a0"/>
    <w:link w:val="a3"/>
    <w:semiHidden/>
    <w:qFormat/>
    <w:rsid w:val="00D6791A"/>
    <w:rPr>
      <w:rFonts w:ascii="宋体" w:hAnsi="宋体" w:cs="宋体"/>
      <w:sz w:val="24"/>
      <w:szCs w:val="24"/>
    </w:rPr>
  </w:style>
  <w:style w:type="character" w:customStyle="1" w:styleId="Char3">
    <w:name w:val="批注主题 Char"/>
    <w:basedOn w:val="Char"/>
    <w:link w:val="a7"/>
    <w:semiHidden/>
    <w:qFormat/>
    <w:rsid w:val="00D6791A"/>
    <w:rPr>
      <w:rFonts w:ascii="宋体" w:hAnsi="宋体" w:cs="宋体"/>
      <w:b/>
      <w:bCs/>
      <w:sz w:val="24"/>
      <w:szCs w:val="24"/>
    </w:rPr>
  </w:style>
  <w:style w:type="paragraph" w:styleId="aa">
    <w:name w:val="List Paragraph"/>
    <w:basedOn w:val="a"/>
    <w:uiPriority w:val="34"/>
    <w:qFormat/>
    <w:rsid w:val="00D6791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1029</Characters>
  <Application>Microsoft Office Word</Application>
  <DocSecurity>4</DocSecurity>
  <Lines>8</Lines>
  <Paragraphs>2</Paragraphs>
  <ScaleCrop>false</ScaleCrop>
  <Company>PAIG</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邓豪(平安基金机构业务中心营销管理室)</dc:creator>
  <cp:lastModifiedBy>ZHONGM</cp:lastModifiedBy>
  <cp:revision>2</cp:revision>
  <dcterms:created xsi:type="dcterms:W3CDTF">2025-11-20T16:02:00Z</dcterms:created>
  <dcterms:modified xsi:type="dcterms:W3CDTF">2025-11-20T16:02:00Z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D3E30A061C084D86813209AEAA785695_13</vt:lpwstr>
  </property>
</Properties>
</file>