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A04" w:rsidRDefault="00BC071E">
      <w:pPr>
        <w:tabs>
          <w:tab w:val="right" w:leader="dot" w:pos="9080"/>
        </w:tabs>
        <w:jc w:val="center"/>
        <w:rPr>
          <w:rFonts w:ascii="宋体" w:hAnsi="宋体" w:cs="宋体"/>
          <w:b/>
          <w:bCs/>
          <w:sz w:val="28"/>
          <w:szCs w:val="28"/>
        </w:rPr>
      </w:pPr>
      <w:r>
        <w:rPr>
          <w:rFonts w:ascii="宋体" w:hAnsi="宋体" w:cs="宋体" w:hint="eastAsia"/>
          <w:b/>
          <w:bCs/>
          <w:sz w:val="28"/>
          <w:szCs w:val="28"/>
        </w:rPr>
        <w:t>金信民兴债券型证券投资基金暂停大额申购业务的公告</w:t>
      </w:r>
    </w:p>
    <w:p w:rsidR="00D30A04" w:rsidRDefault="00BC071E">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2025</w:t>
      </w:r>
      <w:r>
        <w:rPr>
          <w:rFonts w:ascii="宋体" w:hAnsi="宋体" w:cs="宋体"/>
          <w:sz w:val="24"/>
        </w:rPr>
        <w:t>年</w:t>
      </w:r>
      <w:r>
        <w:rPr>
          <w:rFonts w:ascii="宋体" w:hAnsi="宋体" w:cs="宋体"/>
          <w:sz w:val="24"/>
        </w:rPr>
        <w:t>11</w:t>
      </w:r>
      <w:r>
        <w:rPr>
          <w:rFonts w:ascii="宋体" w:hAnsi="宋体" w:cs="宋体"/>
          <w:sz w:val="24"/>
        </w:rPr>
        <w:t>月</w:t>
      </w:r>
      <w:r>
        <w:rPr>
          <w:rFonts w:ascii="宋体" w:hAnsi="宋体" w:cs="宋体"/>
          <w:sz w:val="24"/>
        </w:rPr>
        <w:t>21</w:t>
      </w:r>
      <w:r>
        <w:rPr>
          <w:rFonts w:ascii="宋体" w:hAnsi="宋体" w:cs="宋体"/>
          <w:sz w:val="24"/>
        </w:rPr>
        <w:t>日</w:t>
      </w:r>
    </w:p>
    <w:p w:rsidR="00D30A04" w:rsidRDefault="00D30A04"/>
    <w:p w:rsidR="00D30A04" w:rsidRDefault="00BC071E">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9"/>
        <w:gridCol w:w="2136"/>
        <w:gridCol w:w="1857"/>
        <w:gridCol w:w="1857"/>
        <w:gridCol w:w="1857"/>
      </w:tblGrid>
      <w:tr w:rsidR="00D30A04">
        <w:tc>
          <w:tcPr>
            <w:tcW w:w="1700" w:type="pct"/>
            <w:gridSpan w:val="2"/>
            <w:vAlign w:val="center"/>
          </w:tcPr>
          <w:p w:rsidR="00D30A04" w:rsidRDefault="00BC071E">
            <w:pPr>
              <w:spacing w:line="240" w:lineRule="auto"/>
              <w:jc w:val="left"/>
            </w:pPr>
            <w:r>
              <w:rPr>
                <w:rFonts w:ascii="宋体" w:hAnsi="宋体" w:cs="宋体"/>
              </w:rPr>
              <w:t>基金名称</w:t>
            </w:r>
          </w:p>
        </w:tc>
        <w:tc>
          <w:tcPr>
            <w:tcW w:w="3300" w:type="pct"/>
            <w:gridSpan w:val="3"/>
            <w:vAlign w:val="center"/>
          </w:tcPr>
          <w:p w:rsidR="00D30A04" w:rsidRDefault="00BC071E">
            <w:pPr>
              <w:spacing w:line="240" w:lineRule="auto"/>
              <w:jc w:val="left"/>
            </w:pPr>
            <w:r>
              <w:rPr>
                <w:rFonts w:ascii="宋体" w:hAnsi="宋体" w:cs="宋体"/>
              </w:rPr>
              <w:t>金信民兴债券型证券投资基金</w:t>
            </w:r>
          </w:p>
        </w:tc>
      </w:tr>
      <w:tr w:rsidR="00D30A04">
        <w:tc>
          <w:tcPr>
            <w:tcW w:w="0" w:type="dxa"/>
            <w:gridSpan w:val="2"/>
            <w:vAlign w:val="center"/>
          </w:tcPr>
          <w:p w:rsidR="00D30A04" w:rsidRDefault="00BC071E">
            <w:pPr>
              <w:spacing w:line="240" w:lineRule="auto"/>
              <w:jc w:val="left"/>
            </w:pPr>
            <w:r>
              <w:rPr>
                <w:rFonts w:ascii="宋体" w:hAnsi="宋体" w:cs="宋体"/>
              </w:rPr>
              <w:t>基金简称</w:t>
            </w:r>
          </w:p>
        </w:tc>
        <w:tc>
          <w:tcPr>
            <w:tcW w:w="0" w:type="dxa"/>
            <w:gridSpan w:val="3"/>
            <w:vAlign w:val="center"/>
          </w:tcPr>
          <w:p w:rsidR="00D30A04" w:rsidRDefault="00BC071E">
            <w:pPr>
              <w:spacing w:line="240" w:lineRule="auto"/>
              <w:jc w:val="left"/>
            </w:pPr>
            <w:r>
              <w:rPr>
                <w:rFonts w:ascii="宋体" w:hAnsi="宋体" w:cs="宋体"/>
              </w:rPr>
              <w:t>金信民兴债券</w:t>
            </w:r>
          </w:p>
        </w:tc>
      </w:tr>
      <w:tr w:rsidR="00D30A04">
        <w:tc>
          <w:tcPr>
            <w:tcW w:w="0" w:type="dxa"/>
            <w:gridSpan w:val="2"/>
            <w:vAlign w:val="center"/>
          </w:tcPr>
          <w:p w:rsidR="00D30A04" w:rsidRDefault="00BC071E">
            <w:pPr>
              <w:spacing w:line="240" w:lineRule="auto"/>
              <w:jc w:val="left"/>
            </w:pPr>
            <w:r>
              <w:rPr>
                <w:rFonts w:ascii="宋体" w:hAnsi="宋体" w:cs="宋体"/>
              </w:rPr>
              <w:t>基金主代码</w:t>
            </w:r>
          </w:p>
        </w:tc>
        <w:tc>
          <w:tcPr>
            <w:tcW w:w="0" w:type="dxa"/>
            <w:gridSpan w:val="3"/>
            <w:vAlign w:val="center"/>
          </w:tcPr>
          <w:p w:rsidR="00D30A04" w:rsidRDefault="00BC071E">
            <w:pPr>
              <w:spacing w:line="240" w:lineRule="auto"/>
              <w:jc w:val="left"/>
            </w:pPr>
            <w:r>
              <w:rPr>
                <w:rFonts w:ascii="宋体" w:hAnsi="宋体" w:cs="宋体"/>
              </w:rPr>
              <w:t>004400</w:t>
            </w:r>
          </w:p>
        </w:tc>
      </w:tr>
      <w:tr w:rsidR="00D30A04">
        <w:tc>
          <w:tcPr>
            <w:tcW w:w="0" w:type="dxa"/>
            <w:gridSpan w:val="2"/>
            <w:vAlign w:val="center"/>
          </w:tcPr>
          <w:p w:rsidR="00D30A04" w:rsidRDefault="00BC071E">
            <w:pPr>
              <w:spacing w:line="240" w:lineRule="auto"/>
              <w:jc w:val="left"/>
            </w:pPr>
            <w:r>
              <w:rPr>
                <w:rFonts w:ascii="宋体" w:hAnsi="宋体" w:cs="宋体"/>
              </w:rPr>
              <w:t>基金管理人名称</w:t>
            </w:r>
          </w:p>
        </w:tc>
        <w:tc>
          <w:tcPr>
            <w:tcW w:w="0" w:type="dxa"/>
            <w:gridSpan w:val="3"/>
            <w:vAlign w:val="center"/>
          </w:tcPr>
          <w:p w:rsidR="00D30A04" w:rsidRDefault="00BC071E">
            <w:pPr>
              <w:spacing w:line="240" w:lineRule="auto"/>
              <w:jc w:val="left"/>
            </w:pPr>
            <w:r>
              <w:rPr>
                <w:rFonts w:ascii="宋体" w:hAnsi="宋体" w:cs="宋体"/>
              </w:rPr>
              <w:t>金信基金管理有限公司</w:t>
            </w:r>
          </w:p>
        </w:tc>
      </w:tr>
      <w:tr w:rsidR="00D30A04">
        <w:tc>
          <w:tcPr>
            <w:tcW w:w="0" w:type="dxa"/>
            <w:gridSpan w:val="2"/>
            <w:vAlign w:val="center"/>
          </w:tcPr>
          <w:p w:rsidR="00D30A04" w:rsidRDefault="00BC071E">
            <w:pPr>
              <w:spacing w:line="240" w:lineRule="auto"/>
              <w:jc w:val="left"/>
            </w:pPr>
            <w:r>
              <w:rPr>
                <w:rFonts w:ascii="宋体" w:hAnsi="宋体" w:cs="宋体"/>
              </w:rPr>
              <w:t>公告依据</w:t>
            </w:r>
          </w:p>
        </w:tc>
        <w:tc>
          <w:tcPr>
            <w:tcW w:w="0" w:type="dxa"/>
            <w:gridSpan w:val="3"/>
            <w:vAlign w:val="center"/>
          </w:tcPr>
          <w:p w:rsidR="00D30A04" w:rsidRDefault="00BC071E">
            <w:pPr>
              <w:spacing w:line="240" w:lineRule="auto"/>
              <w:jc w:val="left"/>
            </w:pPr>
            <w:r>
              <w:rPr>
                <w:rFonts w:ascii="宋体" w:hAnsi="宋体" w:cs="宋体"/>
              </w:rPr>
              <w:t>根据有关法律法规及《金信民兴债券型证券投资基金基金合同》、《金信民兴债券型证券投资基金招募说明书》等的规定。</w:t>
            </w:r>
          </w:p>
        </w:tc>
      </w:tr>
      <w:tr w:rsidR="00D30A04">
        <w:tc>
          <w:tcPr>
            <w:tcW w:w="850" w:type="pct"/>
            <w:vMerge w:val="restart"/>
            <w:vAlign w:val="center"/>
          </w:tcPr>
          <w:p w:rsidR="00D30A04" w:rsidRDefault="00BC071E">
            <w:pPr>
              <w:spacing w:line="240" w:lineRule="auto"/>
              <w:jc w:val="left"/>
            </w:pPr>
            <w:r>
              <w:rPr>
                <w:rFonts w:ascii="宋体" w:hAnsi="宋体" w:cs="宋体"/>
              </w:rPr>
              <w:t>暂停相关业务的起始日、金额及原因说明</w:t>
            </w:r>
          </w:p>
        </w:tc>
        <w:tc>
          <w:tcPr>
            <w:tcW w:w="0" w:type="dxa"/>
            <w:vAlign w:val="center"/>
          </w:tcPr>
          <w:p w:rsidR="00D30A04" w:rsidRDefault="00BC071E">
            <w:pPr>
              <w:spacing w:line="240" w:lineRule="auto"/>
              <w:jc w:val="left"/>
            </w:pPr>
            <w:r>
              <w:rPr>
                <w:rFonts w:ascii="宋体" w:hAnsi="宋体" w:cs="宋体"/>
              </w:rPr>
              <w:t>暂停大额申购起始日</w:t>
            </w:r>
            <w:r>
              <w:rPr>
                <w:rFonts w:ascii="宋体" w:hAnsi="宋体" w:cs="宋体"/>
              </w:rPr>
              <w:t xml:space="preserve"> </w:t>
            </w:r>
          </w:p>
        </w:tc>
        <w:tc>
          <w:tcPr>
            <w:tcW w:w="0" w:type="dxa"/>
            <w:gridSpan w:val="3"/>
            <w:vAlign w:val="center"/>
          </w:tcPr>
          <w:p w:rsidR="00D30A04" w:rsidRDefault="00BC071E">
            <w:pPr>
              <w:spacing w:line="240" w:lineRule="auto"/>
              <w:jc w:val="left"/>
            </w:pPr>
            <w:r>
              <w:rPr>
                <w:rFonts w:ascii="宋体" w:hAnsi="宋体" w:cs="宋体"/>
              </w:rPr>
              <w:t>2025-11-22</w:t>
            </w:r>
          </w:p>
        </w:tc>
      </w:tr>
      <w:tr w:rsidR="00D30A04">
        <w:tc>
          <w:tcPr>
            <w:tcW w:w="0" w:type="auto"/>
            <w:vMerge/>
          </w:tcPr>
          <w:p w:rsidR="00D30A04" w:rsidRDefault="00D30A04">
            <w:pPr>
              <w:jc w:val="left"/>
            </w:pPr>
          </w:p>
        </w:tc>
        <w:tc>
          <w:tcPr>
            <w:tcW w:w="0" w:type="dxa"/>
            <w:vAlign w:val="center"/>
          </w:tcPr>
          <w:p w:rsidR="00D30A04" w:rsidRDefault="00BC071E">
            <w:pPr>
              <w:spacing w:line="240" w:lineRule="auto"/>
              <w:jc w:val="left"/>
            </w:pPr>
            <w:r>
              <w:rPr>
                <w:rFonts w:ascii="宋体" w:hAnsi="宋体" w:cs="宋体"/>
              </w:rPr>
              <w:t>限制申购金额（单位：人民币元）</w:t>
            </w:r>
          </w:p>
        </w:tc>
        <w:tc>
          <w:tcPr>
            <w:tcW w:w="0" w:type="dxa"/>
            <w:gridSpan w:val="3"/>
            <w:vAlign w:val="center"/>
          </w:tcPr>
          <w:p w:rsidR="00D30A04" w:rsidRDefault="00BC071E">
            <w:pPr>
              <w:spacing w:line="240" w:lineRule="auto"/>
              <w:jc w:val="left"/>
            </w:pPr>
            <w:r>
              <w:rPr>
                <w:rFonts w:ascii="宋体" w:hAnsi="宋体" w:cs="宋体"/>
              </w:rPr>
              <w:t>3,000.00</w:t>
            </w:r>
          </w:p>
        </w:tc>
      </w:tr>
      <w:tr w:rsidR="00D30A04">
        <w:tc>
          <w:tcPr>
            <w:tcW w:w="0" w:type="auto"/>
            <w:vMerge/>
          </w:tcPr>
          <w:p w:rsidR="00D30A04" w:rsidRDefault="00D30A04">
            <w:pPr>
              <w:jc w:val="left"/>
            </w:pPr>
          </w:p>
        </w:tc>
        <w:tc>
          <w:tcPr>
            <w:tcW w:w="0" w:type="dxa"/>
            <w:vAlign w:val="center"/>
          </w:tcPr>
          <w:p w:rsidR="00D30A04" w:rsidRDefault="00BC071E">
            <w:pPr>
              <w:spacing w:line="240" w:lineRule="auto"/>
              <w:jc w:val="left"/>
            </w:pPr>
            <w:r>
              <w:rPr>
                <w:rFonts w:ascii="宋体" w:hAnsi="宋体" w:cs="宋体"/>
              </w:rPr>
              <w:t>暂停大额申购的原因说明</w:t>
            </w:r>
          </w:p>
        </w:tc>
        <w:tc>
          <w:tcPr>
            <w:tcW w:w="0" w:type="dxa"/>
            <w:gridSpan w:val="3"/>
            <w:vAlign w:val="center"/>
          </w:tcPr>
          <w:p w:rsidR="00D30A04" w:rsidRDefault="00BC071E">
            <w:pPr>
              <w:spacing w:line="240" w:lineRule="auto"/>
              <w:jc w:val="left"/>
            </w:pPr>
            <w:r>
              <w:rPr>
                <w:rFonts w:ascii="宋体" w:hAnsi="宋体" w:cs="宋体"/>
              </w:rPr>
              <w:t>为保护基金份额持有人利益，保持基金的平稳运行。</w:t>
            </w:r>
          </w:p>
        </w:tc>
      </w:tr>
      <w:tr w:rsidR="00D30A04">
        <w:tc>
          <w:tcPr>
            <w:tcW w:w="2000" w:type="pct"/>
            <w:gridSpan w:val="2"/>
            <w:vAlign w:val="center"/>
          </w:tcPr>
          <w:p w:rsidR="00D30A04" w:rsidRDefault="00BC071E">
            <w:pPr>
              <w:spacing w:line="240" w:lineRule="auto"/>
              <w:jc w:val="left"/>
            </w:pPr>
            <w:r>
              <w:rPr>
                <w:rFonts w:ascii="宋体" w:hAnsi="宋体" w:cs="宋体"/>
              </w:rPr>
              <w:t>下属分级基金的基金简称</w:t>
            </w:r>
            <w:r>
              <w:rPr>
                <w:rFonts w:ascii="宋体" w:hAnsi="宋体" w:cs="宋体"/>
              </w:rPr>
              <w:t xml:space="preserve"> </w:t>
            </w:r>
          </w:p>
        </w:tc>
        <w:tc>
          <w:tcPr>
            <w:tcW w:w="1000" w:type="pct"/>
            <w:vAlign w:val="center"/>
          </w:tcPr>
          <w:p w:rsidR="00D30A04" w:rsidRDefault="00BC071E">
            <w:pPr>
              <w:spacing w:line="240" w:lineRule="auto"/>
              <w:jc w:val="left"/>
            </w:pPr>
            <w:r>
              <w:rPr>
                <w:rFonts w:ascii="宋体" w:hAnsi="宋体" w:cs="宋体"/>
              </w:rPr>
              <w:t>金信民兴债券</w:t>
            </w:r>
            <w:r>
              <w:rPr>
                <w:rFonts w:ascii="宋体" w:hAnsi="宋体" w:cs="宋体"/>
              </w:rPr>
              <w:t xml:space="preserve">A </w:t>
            </w:r>
          </w:p>
        </w:tc>
        <w:tc>
          <w:tcPr>
            <w:tcW w:w="1000" w:type="pct"/>
            <w:vAlign w:val="center"/>
          </w:tcPr>
          <w:p w:rsidR="00D30A04" w:rsidRDefault="00BC071E">
            <w:pPr>
              <w:spacing w:line="240" w:lineRule="auto"/>
              <w:jc w:val="left"/>
            </w:pPr>
            <w:r>
              <w:rPr>
                <w:rFonts w:ascii="宋体" w:hAnsi="宋体" w:cs="宋体"/>
              </w:rPr>
              <w:t>金信民兴债券</w:t>
            </w:r>
            <w:r>
              <w:rPr>
                <w:rFonts w:ascii="宋体" w:hAnsi="宋体" w:cs="宋体"/>
              </w:rPr>
              <w:t xml:space="preserve">C </w:t>
            </w:r>
          </w:p>
        </w:tc>
        <w:tc>
          <w:tcPr>
            <w:tcW w:w="1000" w:type="pct"/>
            <w:vAlign w:val="center"/>
          </w:tcPr>
          <w:p w:rsidR="00D30A04" w:rsidRDefault="00BC071E">
            <w:pPr>
              <w:spacing w:line="240" w:lineRule="auto"/>
              <w:jc w:val="left"/>
            </w:pPr>
            <w:r>
              <w:rPr>
                <w:rFonts w:ascii="宋体" w:hAnsi="宋体" w:cs="宋体"/>
              </w:rPr>
              <w:t>金信民兴债券</w:t>
            </w:r>
            <w:r>
              <w:rPr>
                <w:rFonts w:ascii="宋体" w:hAnsi="宋体" w:cs="宋体"/>
              </w:rPr>
              <w:t xml:space="preserve">E </w:t>
            </w:r>
          </w:p>
        </w:tc>
      </w:tr>
      <w:tr w:rsidR="00D30A04">
        <w:tc>
          <w:tcPr>
            <w:tcW w:w="0" w:type="dxa"/>
            <w:gridSpan w:val="2"/>
            <w:vAlign w:val="center"/>
          </w:tcPr>
          <w:p w:rsidR="00D30A04" w:rsidRDefault="00BC071E">
            <w:pPr>
              <w:spacing w:line="240" w:lineRule="auto"/>
              <w:jc w:val="left"/>
            </w:pPr>
            <w:r>
              <w:rPr>
                <w:rFonts w:ascii="宋体" w:hAnsi="宋体" w:cs="宋体"/>
              </w:rPr>
              <w:t>下属分级基金的交易代码</w:t>
            </w:r>
          </w:p>
        </w:tc>
        <w:tc>
          <w:tcPr>
            <w:tcW w:w="1000" w:type="pct"/>
            <w:vAlign w:val="center"/>
          </w:tcPr>
          <w:p w:rsidR="00D30A04" w:rsidRDefault="00BC071E">
            <w:pPr>
              <w:spacing w:line="240" w:lineRule="auto"/>
              <w:jc w:val="left"/>
            </w:pPr>
            <w:r>
              <w:rPr>
                <w:rFonts w:ascii="宋体" w:hAnsi="宋体" w:cs="宋体"/>
              </w:rPr>
              <w:t>004400</w:t>
            </w:r>
          </w:p>
        </w:tc>
        <w:tc>
          <w:tcPr>
            <w:tcW w:w="1000" w:type="pct"/>
            <w:vAlign w:val="center"/>
          </w:tcPr>
          <w:p w:rsidR="00D30A04" w:rsidRDefault="00BC071E">
            <w:pPr>
              <w:spacing w:line="240" w:lineRule="auto"/>
              <w:jc w:val="left"/>
            </w:pPr>
            <w:r>
              <w:rPr>
                <w:rFonts w:ascii="宋体" w:hAnsi="宋体" w:cs="宋体"/>
              </w:rPr>
              <w:t>004401</w:t>
            </w:r>
          </w:p>
        </w:tc>
        <w:tc>
          <w:tcPr>
            <w:tcW w:w="1000" w:type="pct"/>
            <w:vAlign w:val="center"/>
          </w:tcPr>
          <w:p w:rsidR="00D30A04" w:rsidRDefault="00BC071E">
            <w:pPr>
              <w:spacing w:line="240" w:lineRule="auto"/>
              <w:jc w:val="left"/>
            </w:pPr>
            <w:r>
              <w:rPr>
                <w:rFonts w:ascii="宋体" w:hAnsi="宋体" w:cs="宋体"/>
              </w:rPr>
              <w:t>023910</w:t>
            </w:r>
          </w:p>
        </w:tc>
      </w:tr>
      <w:tr w:rsidR="00D30A04">
        <w:tc>
          <w:tcPr>
            <w:tcW w:w="0" w:type="dxa"/>
            <w:gridSpan w:val="2"/>
            <w:vAlign w:val="center"/>
          </w:tcPr>
          <w:p w:rsidR="00D30A04" w:rsidRDefault="00BC071E">
            <w:pPr>
              <w:spacing w:line="240" w:lineRule="auto"/>
              <w:jc w:val="left"/>
            </w:pPr>
            <w:r>
              <w:rPr>
                <w:rFonts w:ascii="宋体" w:hAnsi="宋体" w:cs="宋体"/>
              </w:rPr>
              <w:t>该分级基金是否暂停大额申购</w:t>
            </w:r>
          </w:p>
        </w:tc>
        <w:tc>
          <w:tcPr>
            <w:tcW w:w="1000" w:type="pct"/>
            <w:vAlign w:val="center"/>
          </w:tcPr>
          <w:p w:rsidR="00D30A04" w:rsidRDefault="00BC071E">
            <w:pPr>
              <w:spacing w:line="240" w:lineRule="auto"/>
              <w:jc w:val="left"/>
            </w:pPr>
            <w:r>
              <w:rPr>
                <w:rFonts w:ascii="宋体" w:hAnsi="宋体" w:cs="宋体"/>
              </w:rPr>
              <w:t>是</w:t>
            </w:r>
          </w:p>
        </w:tc>
        <w:tc>
          <w:tcPr>
            <w:tcW w:w="1000" w:type="pct"/>
            <w:vAlign w:val="center"/>
          </w:tcPr>
          <w:p w:rsidR="00D30A04" w:rsidRDefault="00BC071E">
            <w:pPr>
              <w:spacing w:line="240" w:lineRule="auto"/>
              <w:jc w:val="left"/>
            </w:pPr>
            <w:r>
              <w:rPr>
                <w:rFonts w:ascii="宋体" w:hAnsi="宋体" w:cs="宋体"/>
              </w:rPr>
              <w:t>是</w:t>
            </w:r>
          </w:p>
        </w:tc>
        <w:tc>
          <w:tcPr>
            <w:tcW w:w="1000" w:type="pct"/>
            <w:vAlign w:val="center"/>
          </w:tcPr>
          <w:p w:rsidR="00D30A04" w:rsidRDefault="00BC071E">
            <w:pPr>
              <w:spacing w:line="240" w:lineRule="auto"/>
              <w:jc w:val="left"/>
            </w:pPr>
            <w:r>
              <w:rPr>
                <w:rFonts w:ascii="宋体" w:hAnsi="宋体" w:cs="宋体"/>
              </w:rPr>
              <w:t>是</w:t>
            </w:r>
          </w:p>
        </w:tc>
      </w:tr>
      <w:tr w:rsidR="00D30A04">
        <w:tc>
          <w:tcPr>
            <w:tcW w:w="0" w:type="dxa"/>
            <w:gridSpan w:val="2"/>
            <w:vAlign w:val="center"/>
          </w:tcPr>
          <w:p w:rsidR="00D30A04" w:rsidRDefault="00BC071E">
            <w:pPr>
              <w:spacing w:line="240" w:lineRule="auto"/>
              <w:jc w:val="left"/>
            </w:pPr>
            <w:r>
              <w:rPr>
                <w:rFonts w:ascii="宋体" w:hAnsi="宋体" w:cs="宋体"/>
              </w:rPr>
              <w:t>下属分级基金的限制申购金额（单位：人民币元）</w:t>
            </w:r>
            <w:r>
              <w:rPr>
                <w:rFonts w:ascii="宋体" w:hAnsi="宋体" w:cs="宋体"/>
              </w:rPr>
              <w:t xml:space="preserve"> </w:t>
            </w:r>
          </w:p>
        </w:tc>
        <w:tc>
          <w:tcPr>
            <w:tcW w:w="1000" w:type="pct"/>
            <w:vAlign w:val="center"/>
          </w:tcPr>
          <w:p w:rsidR="00D30A04" w:rsidRDefault="00BC071E">
            <w:pPr>
              <w:spacing w:line="240" w:lineRule="auto"/>
              <w:jc w:val="left"/>
            </w:pPr>
            <w:r>
              <w:rPr>
                <w:rFonts w:ascii="宋体" w:hAnsi="宋体" w:cs="宋体"/>
              </w:rPr>
              <w:t>3,000.00</w:t>
            </w:r>
          </w:p>
        </w:tc>
        <w:tc>
          <w:tcPr>
            <w:tcW w:w="1000" w:type="pct"/>
            <w:vAlign w:val="center"/>
          </w:tcPr>
          <w:p w:rsidR="00D30A04" w:rsidRDefault="00BC071E">
            <w:pPr>
              <w:spacing w:line="240" w:lineRule="auto"/>
              <w:jc w:val="left"/>
            </w:pPr>
            <w:r>
              <w:rPr>
                <w:rFonts w:ascii="宋体" w:hAnsi="宋体" w:cs="宋体"/>
              </w:rPr>
              <w:t>3,000.00</w:t>
            </w:r>
          </w:p>
        </w:tc>
        <w:tc>
          <w:tcPr>
            <w:tcW w:w="1000" w:type="pct"/>
            <w:vAlign w:val="center"/>
          </w:tcPr>
          <w:p w:rsidR="00D30A04" w:rsidRDefault="00BC071E">
            <w:pPr>
              <w:spacing w:line="240" w:lineRule="auto"/>
              <w:jc w:val="left"/>
            </w:pPr>
            <w:r>
              <w:rPr>
                <w:rFonts w:ascii="宋体" w:hAnsi="宋体" w:cs="宋体"/>
              </w:rPr>
              <w:t>3,000.00</w:t>
            </w:r>
          </w:p>
        </w:tc>
      </w:tr>
    </w:tbl>
    <w:p w:rsidR="00D30A04" w:rsidRDefault="00BC071E">
      <w:r>
        <w:rPr>
          <w:rFonts w:ascii="宋体" w:hAnsi="宋体" w:cs="宋体"/>
        </w:rPr>
        <w:t>注：（</w:t>
      </w:r>
      <w:r>
        <w:rPr>
          <w:rFonts w:ascii="宋体" w:hAnsi="宋体" w:cs="宋体"/>
        </w:rPr>
        <w:t>1</w:t>
      </w:r>
      <w:r>
        <w:rPr>
          <w:rFonts w:ascii="宋体" w:hAnsi="宋体" w:cs="宋体"/>
        </w:rPr>
        <w:t>）金信民兴债券以下简称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w:t>
      </w:r>
      <w:r>
        <w:rPr>
          <w:rFonts w:ascii="宋体" w:hAnsi="宋体" w:cs="宋体"/>
        </w:rPr>
        <w:cr/>
      </w:r>
      <w:r>
        <w:rPr>
          <w:rFonts w:ascii="宋体" w:hAnsi="宋体" w:cs="宋体"/>
        </w:rPr>
        <w:t xml:space="preserve">　　（</w:t>
      </w:r>
      <w:r>
        <w:rPr>
          <w:rFonts w:ascii="宋体" w:hAnsi="宋体" w:cs="宋体"/>
        </w:rPr>
        <w:t>2</w:t>
      </w:r>
      <w:r>
        <w:rPr>
          <w:rFonts w:ascii="宋体" w:hAnsi="宋体" w:cs="宋体"/>
        </w:rPr>
        <w:t>）金信基金管理有限公司以下简称</w:t>
      </w:r>
      <w:r>
        <w:rPr>
          <w:rFonts w:ascii="宋体" w:hAnsi="宋体" w:cs="宋体"/>
        </w:rPr>
        <w:t>“</w:t>
      </w:r>
      <w:r>
        <w:rPr>
          <w:rFonts w:ascii="宋体" w:hAnsi="宋体" w:cs="宋体"/>
        </w:rPr>
        <w:t>本公司</w:t>
      </w:r>
      <w:r>
        <w:rPr>
          <w:rFonts w:ascii="宋体" w:hAnsi="宋体" w:cs="宋体"/>
        </w:rPr>
        <w:t>”</w:t>
      </w:r>
      <w:r>
        <w:rPr>
          <w:rFonts w:ascii="宋体" w:hAnsi="宋体" w:cs="宋体"/>
        </w:rPr>
        <w:t>。</w:t>
      </w:r>
    </w:p>
    <w:p w:rsidR="00D30A04" w:rsidRDefault="00D30A04"/>
    <w:p w:rsidR="00D30A04" w:rsidRDefault="00BC071E">
      <w:pPr>
        <w:pStyle w:val="2"/>
      </w:pPr>
      <w:r>
        <w:rPr>
          <w:rFonts w:ascii="宋体" w:hAnsi="宋体" w:cs="宋体"/>
        </w:rPr>
        <w:t xml:space="preserve">2 </w:t>
      </w:r>
      <w:r>
        <w:rPr>
          <w:rFonts w:ascii="宋体" w:hAnsi="宋体" w:cs="宋体"/>
        </w:rPr>
        <w:t>其他需要提示的事项</w:t>
      </w:r>
    </w:p>
    <w:p w:rsidR="00D30A04" w:rsidRDefault="00BC071E">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）根据法律法规和基金合同的相关约定，本公司决定从</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22</w:t>
      </w:r>
      <w:r>
        <w:rPr>
          <w:rFonts w:ascii="宋体" w:hAnsi="宋体" w:cs="宋体"/>
        </w:rPr>
        <w:t>日起调整投资者在本基金代销机构的大额申购金额限制，限制申购金额从</w:t>
      </w:r>
      <w:r>
        <w:rPr>
          <w:rFonts w:ascii="宋体" w:hAnsi="宋体" w:cs="宋体"/>
        </w:rPr>
        <w:t>10,000.00</w:t>
      </w:r>
      <w:r>
        <w:rPr>
          <w:rFonts w:ascii="宋体" w:hAnsi="宋体" w:cs="宋体"/>
        </w:rPr>
        <w:t>元调整为</w:t>
      </w:r>
      <w:r>
        <w:rPr>
          <w:rFonts w:ascii="宋体" w:hAnsi="宋体" w:cs="宋体"/>
        </w:rPr>
        <w:t>3,000.00</w:t>
      </w:r>
      <w:r>
        <w:rPr>
          <w:rFonts w:ascii="宋体" w:hAnsi="宋体" w:cs="宋体"/>
        </w:rPr>
        <w:t>元，投资者于</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21</w:t>
      </w:r>
      <w:r>
        <w:rPr>
          <w:rFonts w:ascii="宋体" w:hAnsi="宋体" w:cs="宋体"/>
        </w:rPr>
        <w:t>日</w:t>
      </w:r>
      <w:r>
        <w:rPr>
          <w:rFonts w:ascii="宋体" w:hAnsi="宋体" w:cs="宋体"/>
        </w:rPr>
        <w:t>15:00</w:t>
      </w:r>
      <w:r>
        <w:rPr>
          <w:rFonts w:ascii="宋体" w:hAnsi="宋体" w:cs="宋体"/>
        </w:rPr>
        <w:t>后提交的单笔金额在</w:t>
      </w:r>
      <w:r>
        <w:rPr>
          <w:rFonts w:ascii="宋体" w:hAnsi="宋体" w:cs="宋体"/>
        </w:rPr>
        <w:t>3,000.00</w:t>
      </w:r>
      <w:r>
        <w:rPr>
          <w:rFonts w:ascii="宋体" w:hAnsi="宋体" w:cs="宋体"/>
        </w:rPr>
        <w:t>元以上（不含</w:t>
      </w:r>
      <w:r>
        <w:rPr>
          <w:rFonts w:ascii="宋体" w:hAnsi="宋体" w:cs="宋体"/>
        </w:rPr>
        <w:t>3,000.00</w:t>
      </w:r>
      <w:r>
        <w:rPr>
          <w:rFonts w:ascii="宋体" w:hAnsi="宋体" w:cs="宋体"/>
        </w:rPr>
        <w:t>元）的申购申请，或单日单个投资者基金账户累计超过</w:t>
      </w:r>
      <w:r>
        <w:rPr>
          <w:rFonts w:ascii="宋体" w:hAnsi="宋体" w:cs="宋体"/>
        </w:rPr>
        <w:t>3,000.00</w:t>
      </w:r>
      <w:r>
        <w:rPr>
          <w:rFonts w:ascii="宋体" w:hAnsi="宋体" w:cs="宋体"/>
        </w:rPr>
        <w:t>元（不含</w:t>
      </w:r>
      <w:r>
        <w:rPr>
          <w:rFonts w:ascii="宋体" w:hAnsi="宋体" w:cs="宋体"/>
        </w:rPr>
        <w:t>3,000.00</w:t>
      </w:r>
      <w:r>
        <w:rPr>
          <w:rFonts w:ascii="宋体" w:hAnsi="宋体" w:cs="宋体"/>
        </w:rPr>
        <w:t>元）的申购申请，本公司将本着保护基金份额持有人合法权益的原则根据基金资产运作情况进行评估，本公司将有权部分或全部拒绝。在本基金暂停投</w:t>
      </w:r>
      <w:r>
        <w:rPr>
          <w:rFonts w:ascii="宋体" w:hAnsi="宋体" w:cs="宋体"/>
        </w:rPr>
        <w:t>资者大额申购业务期间，本基金赎回业务照常办理。本基金恢复为投资者办理大额申购业务的具体时间将另行公告；</w:t>
      </w:r>
      <w:bookmarkStart w:id="0" w:name="_GoBack"/>
      <w:bookmarkEnd w:id="0"/>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）投资者如欲了解详情，可登陆本公司网站（</w:t>
      </w:r>
      <w:r>
        <w:rPr>
          <w:rFonts w:ascii="宋体" w:hAnsi="宋体" w:cs="宋体"/>
        </w:rPr>
        <w:t>www.jxfunds.com.cn</w:t>
      </w:r>
      <w:r>
        <w:rPr>
          <w:rFonts w:ascii="宋体" w:hAnsi="宋体" w:cs="宋体"/>
        </w:rPr>
        <w:t>）或拨打客户服务电话：</w:t>
      </w:r>
      <w:r>
        <w:rPr>
          <w:rFonts w:ascii="宋体" w:hAnsi="宋体" w:cs="宋体"/>
        </w:rPr>
        <w:t>400-900-8336</w:t>
      </w:r>
      <w:r>
        <w:rPr>
          <w:rFonts w:ascii="宋体" w:hAnsi="宋体" w:cs="宋体"/>
        </w:rPr>
        <w:t>；</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风险提示：基金管理人承诺依照诚实信用、勤勉尽职的原则管理和运用基金资产，但不保证基金一定盈利，也不保证最低收益。本基金的过往业绩及其净值高低并不预示其未来业绩表现。投资者投资本基金前应认真阅读基金合同、招募说明书、产品资料概要等法律文件，了解拟投资基金的风</w:t>
      </w:r>
      <w:r>
        <w:rPr>
          <w:rFonts w:ascii="宋体" w:hAnsi="宋体" w:cs="宋体"/>
        </w:rPr>
        <w:t>险收益特征，并根据自身投资目的、投资期限、投资经验、资产状况等判断基金是否和投资</w:t>
      </w:r>
      <w:r>
        <w:rPr>
          <w:rFonts w:ascii="宋体" w:hAnsi="宋体" w:cs="宋体"/>
        </w:rPr>
        <w:lastRenderedPageBreak/>
        <w:t>者风险承受能力相匹配。</w:t>
      </w:r>
    </w:p>
    <w:p w:rsidR="00D30A04" w:rsidRDefault="00D30A04"/>
    <w:p w:rsidR="00D30A04" w:rsidRDefault="00BC071E">
      <w:pPr>
        <w:jc w:val="right"/>
      </w:pPr>
      <w:r>
        <w:rPr>
          <w:rFonts w:ascii="宋体" w:hAnsi="宋体" w:cs="宋体"/>
        </w:rPr>
        <w:t>金信基金管理有限公司</w:t>
      </w:r>
    </w:p>
    <w:p w:rsidR="00D30A04" w:rsidRDefault="00BC071E">
      <w:pPr>
        <w:jc w:val="righ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21</w:t>
      </w:r>
      <w:r>
        <w:rPr>
          <w:rFonts w:ascii="宋体" w:hAnsi="宋体" w:cs="宋体"/>
        </w:rPr>
        <w:t>日</w:t>
      </w:r>
    </w:p>
    <w:sectPr w:rsidR="00D30A04" w:rsidSect="00D30A04">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A04" w:rsidRDefault="00BC071E">
      <w:pPr>
        <w:spacing w:line="240" w:lineRule="auto"/>
      </w:pPr>
      <w:r>
        <w:separator/>
      </w:r>
    </w:p>
  </w:endnote>
  <w:endnote w:type="continuationSeparator" w:id="0">
    <w:p w:rsidR="00D30A04" w:rsidRDefault="00BC07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4" w:rsidRDefault="00D30A04">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4" w:rsidRDefault="00BC071E">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D30A04" w:rsidRPr="00D30A04">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D30A04" w:rsidRPr="00D30A04">
      <w:rPr>
        <w:rFonts w:ascii="宋体" w:hAnsi="宋体" w:cs="Times New Roman" w:hint="eastAsia"/>
        <w:sz w:val="20"/>
        <w:szCs w:val="20"/>
        <w:lang/>
      </w:rPr>
      <w:fldChar w:fldCharType="separate"/>
    </w:r>
    <w:r>
      <w:rPr>
        <w:rFonts w:ascii="宋体" w:hAnsi="宋体" w:cs="宋体"/>
        <w:noProof/>
        <w:sz w:val="20"/>
        <w:szCs w:val="20"/>
        <w:lang/>
      </w:rPr>
      <w:t>1</w:t>
    </w:r>
    <w:r w:rsidR="00D30A04">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2</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4" w:rsidRDefault="00D30A04">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A04" w:rsidRDefault="00BC071E">
      <w:r>
        <w:separator/>
      </w:r>
    </w:p>
  </w:footnote>
  <w:footnote w:type="continuationSeparator" w:id="0">
    <w:p w:rsidR="00D30A04" w:rsidRDefault="00BC0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4" w:rsidRDefault="00D30A0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4" w:rsidRDefault="00BC071E">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金信民兴债券型证券投资基金暂停大额申购业务的公告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4" w:rsidRDefault="00D30A0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JjNjc5ODQxZmE3MmEyNmVlODIwMGRkYzE5NTE2NDUifQ=="/>
  </w:docVars>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308A"/>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5F2D"/>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C071E"/>
    <w:rsid w:val="00BD2190"/>
    <w:rsid w:val="00BD2BC1"/>
    <w:rsid w:val="00C05CA1"/>
    <w:rsid w:val="00C06BEF"/>
    <w:rsid w:val="00C15EFA"/>
    <w:rsid w:val="00C563A3"/>
    <w:rsid w:val="00C6706A"/>
    <w:rsid w:val="00C84B5D"/>
    <w:rsid w:val="00C90B80"/>
    <w:rsid w:val="00CC4CE4"/>
    <w:rsid w:val="00D04B24"/>
    <w:rsid w:val="00D22996"/>
    <w:rsid w:val="00D30A0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28773DFC"/>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04"/>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D30A04"/>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D30A04"/>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D30A04"/>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D30A0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D30A04"/>
    <w:pPr>
      <w:ind w:left="1260"/>
      <w:jc w:val="left"/>
    </w:pPr>
    <w:rPr>
      <w:sz w:val="18"/>
      <w:szCs w:val="18"/>
    </w:rPr>
  </w:style>
  <w:style w:type="paragraph" w:styleId="a3">
    <w:name w:val="Normal Indent"/>
    <w:basedOn w:val="a"/>
    <w:link w:val="Char"/>
    <w:uiPriority w:val="99"/>
    <w:semiHidden/>
    <w:unhideWhenUsed/>
    <w:qFormat/>
    <w:rsid w:val="00D30A04"/>
    <w:pPr>
      <w:ind w:firstLineChars="200" w:firstLine="420"/>
    </w:pPr>
  </w:style>
  <w:style w:type="paragraph" w:styleId="a4">
    <w:name w:val="Document Map"/>
    <w:basedOn w:val="a"/>
    <w:link w:val="Char0"/>
    <w:uiPriority w:val="99"/>
    <w:semiHidden/>
    <w:unhideWhenUsed/>
    <w:qFormat/>
    <w:rsid w:val="00D30A04"/>
    <w:rPr>
      <w:rFonts w:ascii="宋体"/>
      <w:sz w:val="18"/>
      <w:szCs w:val="18"/>
    </w:rPr>
  </w:style>
  <w:style w:type="paragraph" w:styleId="a5">
    <w:name w:val="annotation text"/>
    <w:basedOn w:val="a"/>
    <w:link w:val="Char1"/>
    <w:uiPriority w:val="99"/>
    <w:semiHidden/>
    <w:unhideWhenUsed/>
    <w:qFormat/>
    <w:rsid w:val="00D30A04"/>
    <w:pPr>
      <w:jc w:val="left"/>
    </w:pPr>
  </w:style>
  <w:style w:type="paragraph" w:styleId="a6">
    <w:name w:val="Body Text"/>
    <w:basedOn w:val="a"/>
    <w:link w:val="Char2"/>
    <w:uiPriority w:val="99"/>
    <w:semiHidden/>
    <w:unhideWhenUsed/>
    <w:qFormat/>
    <w:rsid w:val="00D30A04"/>
    <w:pPr>
      <w:spacing w:after="120"/>
    </w:pPr>
  </w:style>
  <w:style w:type="paragraph" w:styleId="5">
    <w:name w:val="toc 5"/>
    <w:basedOn w:val="a"/>
    <w:next w:val="a"/>
    <w:autoRedefine/>
    <w:uiPriority w:val="39"/>
    <w:unhideWhenUsed/>
    <w:qFormat/>
    <w:rsid w:val="00D30A04"/>
    <w:pPr>
      <w:ind w:left="840"/>
      <w:jc w:val="left"/>
    </w:pPr>
    <w:rPr>
      <w:sz w:val="18"/>
      <w:szCs w:val="18"/>
    </w:rPr>
  </w:style>
  <w:style w:type="paragraph" w:styleId="30">
    <w:name w:val="toc 3"/>
    <w:basedOn w:val="a"/>
    <w:next w:val="a"/>
    <w:autoRedefine/>
    <w:uiPriority w:val="39"/>
    <w:unhideWhenUsed/>
    <w:rsid w:val="00D30A04"/>
    <w:pPr>
      <w:spacing w:line="240" w:lineRule="auto"/>
      <w:ind w:left="420"/>
      <w:jc w:val="left"/>
    </w:pPr>
    <w:rPr>
      <w:i/>
      <w:iCs/>
      <w:szCs w:val="20"/>
    </w:rPr>
  </w:style>
  <w:style w:type="paragraph" w:styleId="a7">
    <w:name w:val="Plain Text"/>
    <w:basedOn w:val="a"/>
    <w:link w:val="Char3"/>
    <w:uiPriority w:val="99"/>
    <w:semiHidden/>
    <w:unhideWhenUsed/>
    <w:qFormat/>
    <w:rsid w:val="00D30A04"/>
    <w:rPr>
      <w:rFonts w:asciiTheme="minorEastAsia" w:hAnsi="Courier New" w:cs="Courier New"/>
    </w:rPr>
  </w:style>
  <w:style w:type="paragraph" w:styleId="8">
    <w:name w:val="toc 8"/>
    <w:basedOn w:val="a"/>
    <w:next w:val="a"/>
    <w:autoRedefine/>
    <w:uiPriority w:val="39"/>
    <w:unhideWhenUsed/>
    <w:qFormat/>
    <w:rsid w:val="00D30A04"/>
    <w:pPr>
      <w:ind w:left="1470"/>
      <w:jc w:val="left"/>
    </w:pPr>
    <w:rPr>
      <w:rFonts w:eastAsiaTheme="minorHAnsi"/>
      <w:sz w:val="18"/>
      <w:szCs w:val="18"/>
    </w:rPr>
  </w:style>
  <w:style w:type="paragraph" w:styleId="a8">
    <w:name w:val="Date"/>
    <w:basedOn w:val="a"/>
    <w:next w:val="a"/>
    <w:link w:val="Char4"/>
    <w:uiPriority w:val="99"/>
    <w:semiHidden/>
    <w:unhideWhenUsed/>
    <w:qFormat/>
    <w:rsid w:val="00D30A04"/>
    <w:pPr>
      <w:ind w:leftChars="2500" w:left="100"/>
    </w:pPr>
  </w:style>
  <w:style w:type="paragraph" w:styleId="a9">
    <w:name w:val="Balloon Text"/>
    <w:basedOn w:val="a"/>
    <w:link w:val="Char5"/>
    <w:uiPriority w:val="99"/>
    <w:semiHidden/>
    <w:unhideWhenUsed/>
    <w:qFormat/>
    <w:rsid w:val="00D30A04"/>
    <w:rPr>
      <w:sz w:val="18"/>
      <w:szCs w:val="18"/>
    </w:rPr>
  </w:style>
  <w:style w:type="paragraph" w:styleId="aa">
    <w:name w:val="footer"/>
    <w:basedOn w:val="a"/>
    <w:link w:val="Char6"/>
    <w:uiPriority w:val="99"/>
    <w:unhideWhenUsed/>
    <w:qFormat/>
    <w:rsid w:val="00D30A04"/>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D30A04"/>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D30A04"/>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D30A04"/>
    <w:pPr>
      <w:ind w:left="630"/>
      <w:jc w:val="left"/>
    </w:pPr>
    <w:rPr>
      <w:sz w:val="18"/>
      <w:szCs w:val="18"/>
    </w:rPr>
  </w:style>
  <w:style w:type="paragraph" w:styleId="6">
    <w:name w:val="toc 6"/>
    <w:basedOn w:val="a"/>
    <w:next w:val="a"/>
    <w:autoRedefine/>
    <w:uiPriority w:val="39"/>
    <w:unhideWhenUsed/>
    <w:qFormat/>
    <w:rsid w:val="00D30A04"/>
    <w:pPr>
      <w:ind w:left="1050"/>
      <w:jc w:val="left"/>
    </w:pPr>
    <w:rPr>
      <w:sz w:val="18"/>
      <w:szCs w:val="18"/>
    </w:rPr>
  </w:style>
  <w:style w:type="paragraph" w:styleId="20">
    <w:name w:val="toc 2"/>
    <w:basedOn w:val="a"/>
    <w:next w:val="a"/>
    <w:autoRedefine/>
    <w:uiPriority w:val="39"/>
    <w:unhideWhenUsed/>
    <w:qFormat/>
    <w:rsid w:val="00D30A04"/>
    <w:pPr>
      <w:spacing w:line="240" w:lineRule="auto"/>
      <w:ind w:left="210"/>
      <w:jc w:val="left"/>
    </w:pPr>
    <w:rPr>
      <w:smallCaps/>
      <w:szCs w:val="20"/>
    </w:rPr>
  </w:style>
  <w:style w:type="paragraph" w:styleId="9">
    <w:name w:val="toc 9"/>
    <w:basedOn w:val="a"/>
    <w:next w:val="a"/>
    <w:autoRedefine/>
    <w:uiPriority w:val="39"/>
    <w:unhideWhenUsed/>
    <w:qFormat/>
    <w:rsid w:val="00D30A04"/>
    <w:pPr>
      <w:ind w:left="1680"/>
      <w:jc w:val="left"/>
    </w:pPr>
    <w:rPr>
      <w:rFonts w:eastAsiaTheme="minorHAnsi"/>
      <w:sz w:val="18"/>
      <w:szCs w:val="18"/>
    </w:rPr>
  </w:style>
  <w:style w:type="paragraph" w:styleId="ac">
    <w:name w:val="Normal (Web)"/>
    <w:basedOn w:val="a"/>
    <w:uiPriority w:val="99"/>
    <w:semiHidden/>
    <w:unhideWhenUsed/>
    <w:qFormat/>
    <w:rsid w:val="00D30A04"/>
    <w:rPr>
      <w:rFonts w:ascii="Times New Roman" w:hAnsi="Times New Roman" w:cs="宋体"/>
      <w:sz w:val="24"/>
      <w:szCs w:val="24"/>
    </w:rPr>
  </w:style>
  <w:style w:type="paragraph" w:styleId="ad">
    <w:name w:val="Title"/>
    <w:basedOn w:val="a"/>
    <w:next w:val="a"/>
    <w:link w:val="Char8"/>
    <w:uiPriority w:val="10"/>
    <w:qFormat/>
    <w:rsid w:val="00D30A04"/>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D30A04"/>
    <w:rPr>
      <w:b/>
      <w:bCs/>
    </w:rPr>
  </w:style>
  <w:style w:type="table" w:styleId="af">
    <w:name w:val="Table Grid"/>
    <w:basedOn w:val="a1"/>
    <w:uiPriority w:val="39"/>
    <w:qFormat/>
    <w:rsid w:val="00D30A0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D30A04"/>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D30A04"/>
    <w:rPr>
      <w:b/>
      <w:bCs/>
    </w:rPr>
  </w:style>
  <w:style w:type="character" w:styleId="af1">
    <w:name w:val="Hyperlink"/>
    <w:basedOn w:val="a0"/>
    <w:uiPriority w:val="99"/>
    <w:unhideWhenUsed/>
    <w:qFormat/>
    <w:rsid w:val="00D30A04"/>
    <w:rPr>
      <w:color w:val="0000FF"/>
      <w:u w:val="single"/>
    </w:rPr>
  </w:style>
  <w:style w:type="character" w:styleId="HTML">
    <w:name w:val="HTML Code"/>
    <w:basedOn w:val="a0"/>
    <w:uiPriority w:val="99"/>
    <w:semiHidden/>
    <w:unhideWhenUsed/>
    <w:qFormat/>
    <w:rsid w:val="00D30A04"/>
    <w:rPr>
      <w:rFonts w:ascii="Courier New" w:hAnsi="Courier New" w:cs="Courier New"/>
      <w:sz w:val="20"/>
      <w:szCs w:val="20"/>
    </w:rPr>
  </w:style>
  <w:style w:type="character" w:styleId="af2">
    <w:name w:val="annotation reference"/>
    <w:basedOn w:val="a0"/>
    <w:uiPriority w:val="99"/>
    <w:semiHidden/>
    <w:unhideWhenUsed/>
    <w:qFormat/>
    <w:rsid w:val="00D30A04"/>
    <w:rPr>
      <w:sz w:val="21"/>
      <w:szCs w:val="21"/>
    </w:rPr>
  </w:style>
  <w:style w:type="paragraph" w:customStyle="1" w:styleId="af3">
    <w:name w:val="代码样式"/>
    <w:link w:val="Chara"/>
    <w:qFormat/>
    <w:rsid w:val="00D30A04"/>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D30A04"/>
    <w:rPr>
      <w:shd w:val="clear" w:color="auto" w:fill="A8D08D" w:themeFill="accent6" w:themeFillTint="99"/>
    </w:rPr>
  </w:style>
  <w:style w:type="character" w:customStyle="1" w:styleId="1Char">
    <w:name w:val="标题 1 Char"/>
    <w:basedOn w:val="a0"/>
    <w:link w:val="1"/>
    <w:uiPriority w:val="9"/>
    <w:qFormat/>
    <w:rsid w:val="00D30A04"/>
    <w:rPr>
      <w:rFonts w:eastAsia="宋体"/>
      <w:b/>
      <w:bCs/>
      <w:sz w:val="24"/>
      <w:szCs w:val="44"/>
    </w:rPr>
  </w:style>
  <w:style w:type="character" w:customStyle="1" w:styleId="2Char">
    <w:name w:val="标题 2 Char"/>
    <w:basedOn w:val="a0"/>
    <w:link w:val="2"/>
    <w:uiPriority w:val="9"/>
    <w:qFormat/>
    <w:rsid w:val="00D30A04"/>
    <w:rPr>
      <w:rFonts w:asciiTheme="majorHAnsi" w:eastAsia="宋体" w:hAnsiTheme="majorHAnsi" w:cstheme="majorBidi"/>
      <w:b/>
      <w:bCs/>
      <w:sz w:val="24"/>
      <w:szCs w:val="32"/>
    </w:rPr>
  </w:style>
  <w:style w:type="character" w:customStyle="1" w:styleId="3Char">
    <w:name w:val="标题 3 Char"/>
    <w:basedOn w:val="a0"/>
    <w:link w:val="3"/>
    <w:uiPriority w:val="9"/>
    <w:qFormat/>
    <w:rsid w:val="00D30A04"/>
    <w:rPr>
      <w:rFonts w:eastAsia="宋体"/>
      <w:b/>
      <w:bCs/>
      <w:sz w:val="24"/>
      <w:szCs w:val="32"/>
    </w:rPr>
  </w:style>
  <w:style w:type="character" w:customStyle="1" w:styleId="4Char">
    <w:name w:val="标题 4 Char"/>
    <w:basedOn w:val="a0"/>
    <w:link w:val="4"/>
    <w:uiPriority w:val="9"/>
    <w:semiHidden/>
    <w:rsid w:val="00D30A04"/>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D30A04"/>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D30A04"/>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D30A04"/>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D30A04"/>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D30A04"/>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D30A04"/>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D30A04"/>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D30A04"/>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D30A04"/>
    <w:rPr>
      <w:rFonts w:asciiTheme="minorHAnsi" w:eastAsiaTheme="minorEastAsia" w:hAnsiTheme="minorHAnsi" w:cstheme="minorBidi"/>
      <w:sz w:val="18"/>
      <w:szCs w:val="18"/>
    </w:rPr>
  </w:style>
  <w:style w:type="paragraph" w:styleId="af4">
    <w:name w:val="List Paragraph"/>
    <w:basedOn w:val="a"/>
    <w:uiPriority w:val="34"/>
    <w:qFormat/>
    <w:rsid w:val="00D30A04"/>
    <w:pPr>
      <w:ind w:firstLineChars="200" w:firstLine="420"/>
    </w:pPr>
  </w:style>
  <w:style w:type="character" w:customStyle="1" w:styleId="Char8">
    <w:name w:val="标题 Char"/>
    <w:basedOn w:val="a0"/>
    <w:link w:val="ad"/>
    <w:uiPriority w:val="10"/>
    <w:qFormat/>
    <w:rsid w:val="00D30A04"/>
    <w:rPr>
      <w:rFonts w:asciiTheme="majorHAnsi" w:eastAsiaTheme="majorEastAsia" w:hAnsiTheme="majorHAnsi" w:cstheme="majorBidi"/>
      <w:b/>
      <w:bCs/>
      <w:sz w:val="32"/>
      <w:szCs w:val="32"/>
    </w:rPr>
  </w:style>
  <w:style w:type="paragraph" w:customStyle="1" w:styleId="biaogeleft">
    <w:name w:val="biaoge_left"/>
    <w:basedOn w:val="a"/>
    <w:qFormat/>
    <w:rsid w:val="00D30A04"/>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D30A04"/>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D30A04"/>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D30A04"/>
    <w:rPr>
      <w:rFonts w:ascii="宋体" w:eastAsia="宋体" w:hAnsi="宋体"/>
      <w:color w:val="000000" w:themeColor="text1"/>
      <w:sz w:val="21"/>
    </w:rPr>
  </w:style>
  <w:style w:type="paragraph" w:customStyle="1" w:styleId="TOC1">
    <w:name w:val="TOC 标题1"/>
    <w:basedOn w:val="1"/>
    <w:next w:val="a"/>
    <w:uiPriority w:val="39"/>
    <w:unhideWhenUsed/>
    <w:qFormat/>
    <w:rsid w:val="00D30A04"/>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D30A0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4</DocSecurity>
  <Lines>7</Lines>
  <Paragraphs>2</Paragraphs>
  <ScaleCrop>false</ScaleCrop>
  <Company>CNSTOCK</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2025-11-20T16:02:00Z</dcterms:created>
  <dcterms:modified xsi:type="dcterms:W3CDTF">2025-11-20T16:02:00Z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28566CE78C6918B966EB2066D65C6581_42</vt:lpwstr>
  </property>
</Properties>
</file>