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C57A1" w:rsidRDefault="00893436" w:rsidP="00AC3CC5">
      <w:pPr>
        <w:widowControl/>
        <w:jc w:val="center"/>
        <w:rPr>
          <w:rFonts w:asciiTheme="minorEastAsia" w:eastAsiaTheme="minorEastAsia" w:hAnsiTheme="minorEastAsia" w:cs="宋体"/>
          <w:b/>
          <w:kern w:val="0"/>
          <w:sz w:val="30"/>
          <w:szCs w:val="30"/>
        </w:rPr>
      </w:pPr>
      <w:bookmarkStart w:id="0" w:name="_GoBack"/>
      <w:bookmarkEnd w:id="0"/>
      <w:r w:rsidRPr="005C57A1">
        <w:rPr>
          <w:rFonts w:asciiTheme="minorEastAsia" w:eastAsiaTheme="minorEastAsia" w:hAnsiTheme="minorEastAsia" w:cs="宋体" w:hint="eastAsia"/>
          <w:b/>
          <w:kern w:val="0"/>
          <w:sz w:val="30"/>
          <w:szCs w:val="30"/>
        </w:rPr>
        <w:t>广发汇佳定期开放债券型发起式证券投资基金分红公告</w:t>
      </w:r>
    </w:p>
    <w:p w:rsidR="00893436" w:rsidRPr="002825C8" w:rsidRDefault="00893436" w:rsidP="00AC3CC5">
      <w:pPr>
        <w:jc w:val="cente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公告送出日期：</w:t>
      </w:r>
      <w:r w:rsidRPr="002825C8">
        <w:rPr>
          <w:rFonts w:asciiTheme="minorEastAsia" w:eastAsiaTheme="minorEastAsia" w:hAnsiTheme="minorEastAsia" w:cs="宋体"/>
          <w:bCs/>
          <w:sz w:val="24"/>
          <w:szCs w:val="24"/>
        </w:rPr>
        <w:t>2025年11月21日</w:t>
      </w:r>
    </w:p>
    <w:p w:rsidR="00893436" w:rsidRPr="002825C8" w:rsidRDefault="00893436" w:rsidP="00AC3CC5">
      <w:pPr>
        <w:jc w:val="center"/>
        <w:rPr>
          <w:rFonts w:asciiTheme="minorEastAsia" w:eastAsiaTheme="minorEastAsia" w:hAnsiTheme="minorEastAsia"/>
          <w:color w:val="000000"/>
          <w:sz w:val="24"/>
          <w:szCs w:val="24"/>
        </w:rPr>
      </w:pPr>
    </w:p>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1" w:name="_Toc275961418"/>
      <w:r w:rsidRPr="002825C8">
        <w:rPr>
          <w:rFonts w:asciiTheme="minorEastAsia" w:eastAsiaTheme="minorEastAsia" w:hAnsiTheme="minorEastAsia"/>
          <w:bCs w:val="0"/>
          <w:color w:val="000000"/>
          <w:sz w:val="24"/>
          <w:szCs w:val="24"/>
        </w:rPr>
        <w:t>1</w:t>
      </w:r>
      <w:r w:rsidR="00F15128">
        <w:rPr>
          <w:rFonts w:asciiTheme="minorEastAsia" w:eastAsiaTheme="minorEastAsia" w:hAnsiTheme="minorEastAsia" w:hint="eastAsia"/>
          <w:bCs w:val="0"/>
          <w:color w:val="000000"/>
          <w:sz w:val="24"/>
          <w:szCs w:val="24"/>
        </w:rPr>
        <w:t>.</w:t>
      </w:r>
      <w:r w:rsidRPr="002825C8">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3130"/>
        <w:gridCol w:w="4861"/>
      </w:tblGrid>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广发汇佳定期开放债券型发起式证券投资基金</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基金简称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广发汇佳定期开放债券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基金主代码</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005647</w:t>
            </w:r>
          </w:p>
        </w:tc>
      </w:tr>
      <w:tr w:rsidR="0039192C" w:rsidRPr="002825C8" w:rsidTr="001E1256">
        <w:trPr>
          <w:jc w:val="center"/>
        </w:trPr>
        <w:tc>
          <w:tcPr>
            <w:tcW w:w="4778" w:type="dxa"/>
            <w:gridSpan w:val="2"/>
            <w:vAlign w:val="center"/>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基金合同生效日</w:t>
            </w:r>
          </w:p>
        </w:tc>
        <w:tc>
          <w:tcPr>
            <w:tcW w:w="4861" w:type="dxa"/>
            <w:vAlign w:val="center"/>
          </w:tcPr>
          <w:p w:rsidR="0039192C" w:rsidRPr="002825C8" w:rsidRDefault="003E51F2"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2018年3月12日</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基金管理人名称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广发基金管理有限公司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基金托管人名称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浙商银行股份有限公司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公告依据</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《中华人民共和国证券投资基金法》及其配套法规、《广发汇佳定期开放债券型发起式证券投资基金基金合同》《广发汇佳定期开放债券型发起式证券投资基金招募说明书》</w:t>
            </w:r>
          </w:p>
        </w:tc>
      </w:tr>
      <w:tr w:rsidR="00893436" w:rsidRPr="002825C8" w:rsidTr="001E1256">
        <w:trPr>
          <w:jc w:val="center"/>
        </w:trPr>
        <w:tc>
          <w:tcPr>
            <w:tcW w:w="4778" w:type="dxa"/>
            <w:gridSpan w:val="2"/>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收益分配基准日</w:t>
            </w:r>
          </w:p>
        </w:tc>
        <w:tc>
          <w:tcPr>
            <w:tcW w:w="4861" w:type="dxa"/>
          </w:tcPr>
          <w:p w:rsidR="00893436"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2025年11月17日</w:t>
            </w:r>
          </w:p>
        </w:tc>
      </w:tr>
      <w:tr w:rsidR="00B232B4" w:rsidRPr="0007182D" w:rsidTr="00252EA1">
        <w:trPr>
          <w:jc w:val="center"/>
        </w:trPr>
        <w:tc>
          <w:tcPr>
            <w:tcW w:w="1648" w:type="dxa"/>
            <w:vMerge w:val="restart"/>
            <w:vAlign w:val="center"/>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截止收益分配基准日的相关指标</w:t>
            </w: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基准日基金份额净值</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1.0433</w:t>
            </w:r>
          </w:p>
        </w:tc>
      </w:tr>
      <w:tr w:rsidR="00B232B4" w:rsidRPr="0007182D" w:rsidTr="00252EA1">
        <w:trPr>
          <w:jc w:val="center"/>
        </w:trPr>
        <w:tc>
          <w:tcPr>
            <w:tcW w:w="1648" w:type="dxa"/>
            <w:vMerge/>
          </w:tcPr>
          <w:p w:rsidR="00B232B4" w:rsidRPr="002F7561" w:rsidRDefault="00B232B4" w:rsidP="002F7561">
            <w:pPr>
              <w:rPr>
                <w:rFonts w:asciiTheme="minorEastAsia" w:eastAsiaTheme="minorEastAsia" w:hAnsiTheme="minorEastAsia"/>
                <w:color w:val="000000"/>
                <w:sz w:val="24"/>
                <w:szCs w:val="24"/>
              </w:rPr>
            </w:pP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基准日基金可供分配利润</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74,904,583.45</w:t>
            </w:r>
          </w:p>
        </w:tc>
      </w:tr>
      <w:tr w:rsidR="00252EA1" w:rsidRPr="002825C8" w:rsidTr="002C68F9">
        <w:trPr>
          <w:jc w:val="center"/>
        </w:trPr>
        <w:tc>
          <w:tcPr>
            <w:tcW w:w="4778" w:type="dxa"/>
            <w:gridSpan w:val="2"/>
            <w:vAlign w:val="center"/>
          </w:tcPr>
          <w:p w:rsidR="00252EA1" w:rsidRPr="002825C8" w:rsidRDefault="00252EA1" w:rsidP="002C68F9">
            <w:pPr>
              <w:rPr>
                <w:rFonts w:asciiTheme="minorEastAsia" w:eastAsiaTheme="minorEastAsia" w:hAnsiTheme="minorEastAsia"/>
                <w:color w:val="000000"/>
                <w:sz w:val="24"/>
                <w:szCs w:val="24"/>
              </w:rPr>
            </w:pPr>
            <w:r w:rsidRPr="003C2C83">
              <w:rPr>
                <w:rFonts w:asciiTheme="minorEastAsia" w:eastAsiaTheme="minorEastAsia" w:hAnsiTheme="minorEastAsia"/>
                <w:sz w:val="24"/>
                <w:szCs w:val="24"/>
              </w:rPr>
              <w:t>本次分红方案（单位：元/10份基金份额）</w:t>
            </w:r>
          </w:p>
        </w:tc>
        <w:tc>
          <w:tcPr>
            <w:tcW w:w="4861" w:type="dxa"/>
            <w:vAlign w:val="center"/>
          </w:tcPr>
          <w:p w:rsidR="00252EA1" w:rsidRPr="002825C8" w:rsidRDefault="00252EA1" w:rsidP="002C68F9">
            <w:pPr>
              <w:rPr>
                <w:rFonts w:asciiTheme="minorEastAsia" w:eastAsiaTheme="minorEastAsia" w:hAnsiTheme="minorEastAsia"/>
                <w:sz w:val="24"/>
                <w:szCs w:val="24"/>
              </w:rPr>
            </w:pPr>
            <w:r w:rsidRPr="003C2C83">
              <w:rPr>
                <w:rFonts w:asciiTheme="minorEastAsia" w:eastAsiaTheme="minorEastAsia" w:hAnsiTheme="minorEastAsia"/>
                <w:sz w:val="24"/>
                <w:szCs w:val="24"/>
              </w:rPr>
              <w:t>0.209</w:t>
            </w:r>
          </w:p>
        </w:tc>
      </w:tr>
      <w:tr w:rsidR="00B232B4" w:rsidRPr="002825C8" w:rsidTr="002C68F9">
        <w:trPr>
          <w:jc w:val="center"/>
        </w:trPr>
        <w:tc>
          <w:tcPr>
            <w:tcW w:w="4778" w:type="dxa"/>
            <w:gridSpan w:val="2"/>
            <w:vAlign w:val="center"/>
          </w:tcPr>
          <w:p w:rsidR="00B232B4" w:rsidRPr="002825C8" w:rsidRDefault="00B232B4" w:rsidP="002C68F9">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有关年度分红次数的说明</w:t>
            </w:r>
          </w:p>
        </w:tc>
        <w:tc>
          <w:tcPr>
            <w:tcW w:w="4861" w:type="dxa"/>
            <w:vAlign w:val="center"/>
          </w:tcPr>
          <w:p w:rsidR="00B232B4" w:rsidRPr="002825C8" w:rsidRDefault="00B232B4" w:rsidP="002C68F9">
            <w:pPr>
              <w:rPr>
                <w:rFonts w:asciiTheme="minorEastAsia" w:eastAsiaTheme="minorEastAsia" w:hAnsiTheme="minorEastAsia"/>
                <w:sz w:val="24"/>
                <w:szCs w:val="24"/>
              </w:rPr>
            </w:pPr>
            <w:r w:rsidRPr="002825C8">
              <w:rPr>
                <w:rFonts w:asciiTheme="minorEastAsia" w:eastAsiaTheme="minorEastAsia" w:hAnsiTheme="minorEastAsia"/>
                <w:sz w:val="24"/>
                <w:szCs w:val="24"/>
              </w:rPr>
              <w:t>本次分红为2025年度的第2次分红</w:t>
            </w:r>
          </w:p>
        </w:tc>
      </w:tr>
    </w:tbl>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2" w:name="_Toc275961419"/>
      <w:r w:rsidRPr="002825C8">
        <w:rPr>
          <w:rFonts w:asciiTheme="minorEastAsia" w:eastAsiaTheme="minorEastAsia" w:hAnsiTheme="minorEastAsia"/>
          <w:bCs w:val="0"/>
          <w:color w:val="000000"/>
          <w:sz w:val="24"/>
          <w:szCs w:val="24"/>
        </w:rPr>
        <w:t>2</w:t>
      </w:r>
      <w:r w:rsidR="00F15128">
        <w:rPr>
          <w:rFonts w:asciiTheme="minorEastAsia" w:eastAsiaTheme="minorEastAsia" w:hAnsiTheme="minorEastAsia" w:hint="eastAsia"/>
          <w:bCs w:val="0"/>
          <w:color w:val="000000"/>
          <w:sz w:val="24"/>
          <w:szCs w:val="24"/>
        </w:rPr>
        <w:t>.</w:t>
      </w:r>
      <w:r w:rsidRPr="002825C8">
        <w:rPr>
          <w:rFonts w:asciiTheme="minorEastAsia" w:eastAsiaTheme="minorEastAsia" w:hAnsiTheme="minorEastAsia"/>
          <w:bCs w:val="0"/>
          <w:color w:val="000000"/>
          <w:sz w:val="24"/>
          <w:szCs w:val="24"/>
        </w:rPr>
        <w:t xml:space="preserve"> 与分红相关的其他信息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9"/>
        <w:gridCol w:w="1"/>
        <w:gridCol w:w="4819"/>
      </w:tblGrid>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权益登记日</w:t>
            </w:r>
          </w:p>
        </w:tc>
        <w:tc>
          <w:tcPr>
            <w:tcW w:w="4355" w:type="dxa"/>
            <w:gridSpan w:val="2"/>
          </w:tcPr>
          <w:p w:rsidR="00893436" w:rsidRPr="002825C8" w:rsidRDefault="00362297"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2025年11月24日</w:t>
            </w:r>
          </w:p>
        </w:tc>
      </w:tr>
      <w:tr w:rsidR="0009778C" w:rsidRPr="002825C8" w:rsidTr="007C142C">
        <w:trPr>
          <w:jc w:val="center"/>
        </w:trPr>
        <w:tc>
          <w:tcPr>
            <w:tcW w:w="4355" w:type="dxa"/>
          </w:tcPr>
          <w:p w:rsidR="0009778C" w:rsidRPr="002825C8" w:rsidRDefault="0009778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除息日</w:t>
            </w:r>
          </w:p>
        </w:tc>
        <w:tc>
          <w:tcPr>
            <w:tcW w:w="4355" w:type="dxa"/>
            <w:hMerge w:val="restart"/>
          </w:tcPr>
          <w:p w:rsidR="0009778C" w:rsidRPr="002825C8" w:rsidRDefault="00E16B6D"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2025年11月24日（场外）</w:t>
            </w:r>
          </w:p>
        </w:tc>
        <w:tc>
          <w:tcPr>
            <w:tcW w:w="4355" w:type="dxa"/>
            <w:hMerge/>
          </w:tcPr>
          <w:p w:rsidR="0009778C" w:rsidRPr="002825C8" w:rsidRDefault="00D421E2" w:rsidP="00D421E2">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2025年11月24日（场外）</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现金红利发放日</w:t>
            </w:r>
          </w:p>
        </w:tc>
        <w:tc>
          <w:tcPr>
            <w:tcW w:w="4355" w:type="dxa"/>
            <w:gridSpan w:val="2"/>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2025年11月25日</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lastRenderedPageBreak/>
              <w:t>分红对象</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权益登记日在本公司登记在册的本基金份额的全体持有人</w:t>
            </w:r>
          </w:p>
        </w:tc>
      </w:tr>
      <w:tr w:rsidR="00893436" w:rsidRPr="002825C8" w:rsidTr="007C142C">
        <w:trPr>
          <w:jc w:val="center"/>
        </w:trPr>
        <w:tc>
          <w:tcPr>
            <w:tcW w:w="4355" w:type="dxa"/>
            <w:shd w:val="clear" w:color="auto" w:fill="auto"/>
            <w:vAlign w:val="center"/>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红利再投资相关事项的说明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选择红利再投资方式的投资者由红利转得的基金份额将以2025年11月24日的基金份额净值为计算基准确定。2025年11月26日起投资者可以查询。</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税收相关事项的说明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根据相关法律法规规定，基金向投资者分配的基金收益，暂免征收所得税。</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费用相关事项的说明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本基金本次分红免收分红手续费。</w:t>
            </w:r>
          </w:p>
        </w:tc>
      </w:tr>
    </w:tbl>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3" w:name="_Toc275961420"/>
      <w:r w:rsidRPr="002825C8">
        <w:rPr>
          <w:rFonts w:asciiTheme="minorEastAsia" w:eastAsiaTheme="minorEastAsia" w:hAnsiTheme="minorEastAsia"/>
          <w:bCs w:val="0"/>
          <w:color w:val="000000"/>
          <w:sz w:val="24"/>
          <w:szCs w:val="24"/>
        </w:rPr>
        <w:t>3</w:t>
      </w:r>
      <w:r w:rsidR="00F15128">
        <w:rPr>
          <w:rFonts w:asciiTheme="minorEastAsia" w:eastAsiaTheme="minorEastAsia" w:hAnsiTheme="minorEastAsia"/>
          <w:bCs w:val="0"/>
          <w:color w:val="000000"/>
          <w:sz w:val="24"/>
          <w:szCs w:val="24"/>
        </w:rPr>
        <w:t>.</w:t>
      </w:r>
      <w:r w:rsidRPr="002825C8">
        <w:rPr>
          <w:rFonts w:asciiTheme="minorEastAsia" w:eastAsiaTheme="minorEastAsia" w:hAnsiTheme="minorEastAsia"/>
          <w:bCs w:val="0"/>
          <w:color w:val="000000"/>
          <w:sz w:val="24"/>
          <w:szCs w:val="24"/>
        </w:rPr>
        <w:t xml:space="preserve"> 其他需要提示的事项</w:t>
      </w:r>
      <w:bookmarkEnd w:id="3"/>
    </w:p>
    <w:p w:rsidR="00B7776B" w:rsidRDefault="00ED6AA3">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B7776B" w:rsidRDefault="00ED6AA3">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）本基金以定期开放的方式运作，即采用封闭运作和开放运作交替循环的方式。在封闭期内，本基金不办理申购、赎回和转换业务（红利再投资除外）。</w:t>
      </w:r>
    </w:p>
    <w:p w:rsidR="00B7776B" w:rsidRDefault="00ED6AA3">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）对于未选择具体分红方式的投资者，本基金默认的分红方式为现金分红。</w:t>
      </w:r>
    </w:p>
    <w:p w:rsidR="00B7776B" w:rsidRDefault="00ED6AA3">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w:t>
      </w:r>
      <w:r>
        <w:rPr>
          <w:rFonts w:asciiTheme="minorEastAsia" w:eastAsiaTheme="minorEastAsia" w:hAnsiTheme="minorEastAsia"/>
          <w:sz w:val="24"/>
          <w:szCs w:val="24"/>
        </w:rPr>
        <w:t>5</w:t>
      </w:r>
      <w:r>
        <w:rPr>
          <w:rFonts w:asciiTheme="minorEastAsia" w:eastAsiaTheme="minorEastAsia" w:hAnsiTheme="minorEastAsia"/>
          <w:sz w:val="24"/>
          <w:szCs w:val="24"/>
        </w:rPr>
        <w:t>年</w:t>
      </w:r>
      <w:r>
        <w:rPr>
          <w:rFonts w:asciiTheme="minorEastAsia" w:eastAsiaTheme="minorEastAsia" w:hAnsiTheme="minorEastAsia"/>
          <w:sz w:val="24"/>
          <w:szCs w:val="24"/>
        </w:rPr>
        <w:t>11</w:t>
      </w:r>
      <w:r>
        <w:rPr>
          <w:rFonts w:asciiTheme="minorEastAsia" w:eastAsiaTheme="minorEastAsia" w:hAnsiTheme="minorEastAsia"/>
          <w:sz w:val="24"/>
          <w:szCs w:val="24"/>
        </w:rPr>
        <w:t>月</w:t>
      </w:r>
      <w:r>
        <w:rPr>
          <w:rFonts w:asciiTheme="minorEastAsia" w:eastAsiaTheme="minorEastAsia" w:hAnsiTheme="minorEastAsia"/>
          <w:sz w:val="24"/>
          <w:szCs w:val="24"/>
        </w:rPr>
        <w:t>24</w:t>
      </w:r>
      <w:r>
        <w:rPr>
          <w:rFonts w:asciiTheme="minorEastAsia" w:eastAsiaTheme="minorEastAsia" w:hAnsiTheme="minorEastAsia"/>
          <w:sz w:val="24"/>
          <w:szCs w:val="24"/>
        </w:rPr>
        <w:t>日）最后一次选择的分红方式为准。请投资者到销售网点或通过本公司客户服务电话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确认分红方式是否正确，如不正确或希望修改分红方式的，请务必在规定时间前到销售网点办理变更手续。</w:t>
      </w:r>
    </w:p>
    <w:p w:rsidR="00B7776B" w:rsidRDefault="00ED6AA3">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5</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他销售机构下的基金份额的分红方式。如投资者希望变更该销售机构其他交易账户或其他销售机构下的基金份额的分红方式，需分别按</w:t>
      </w:r>
      <w:r>
        <w:rPr>
          <w:rFonts w:asciiTheme="minorEastAsia" w:eastAsiaTheme="minorEastAsia" w:hAnsiTheme="minorEastAsia"/>
          <w:sz w:val="24"/>
          <w:szCs w:val="24"/>
        </w:rPr>
        <w:t>基金代码通过各销售机构交易账户逐一提交变更分红方式的业务申请。详见本公司于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日发布的《广发基金管理有限公司关于调整旗下部分开放式基金分红方式变更规则的公告》。</w:t>
      </w:r>
    </w:p>
    <w:p w:rsidR="00B7776B" w:rsidRDefault="00ED6AA3">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w:t>
      </w:r>
      <w:r>
        <w:rPr>
          <w:rFonts w:asciiTheme="minorEastAsia" w:eastAsiaTheme="minorEastAsia" w:hAnsiTheme="minorEastAsia"/>
          <w:sz w:val="24"/>
          <w:szCs w:val="24"/>
        </w:rPr>
        <w:t>6</w:t>
      </w:r>
      <w:r>
        <w:rPr>
          <w:rFonts w:asciiTheme="minorEastAsia" w:eastAsiaTheme="minorEastAsia" w:hAnsiTheme="minorEastAsia"/>
          <w:sz w:val="24"/>
          <w:szCs w:val="24"/>
        </w:rPr>
        <w:t>）建议基金份额持有人在修改分红方式后，在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B7776B" w:rsidRDefault="00ED6AA3">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风险或提高基金投资收益。基金管理人承诺以诚实信用、勤勉尽责的原则管理和运用基金资产，但不保证基金一定盈利，也不保证最低</w:t>
      </w:r>
      <w:r>
        <w:rPr>
          <w:rFonts w:asciiTheme="minorEastAsia" w:eastAsiaTheme="minorEastAsia" w:hAnsiTheme="minorEastAsia"/>
          <w:sz w:val="24"/>
          <w:szCs w:val="24"/>
        </w:rPr>
        <w:t>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w:t>
      </w:r>
      <w:r>
        <w:rPr>
          <w:rFonts w:asciiTheme="minorEastAsia" w:eastAsiaTheme="minorEastAsia" w:hAnsiTheme="minorEastAsia"/>
          <w:sz w:val="24"/>
          <w:szCs w:val="24"/>
        </w:rPr>
        <w:t>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A3175B">
      <w:pPr>
        <w:ind w:firstLineChars="200" w:firstLine="480"/>
        <w:rPr>
          <w:rFonts w:asciiTheme="minorEastAsia" w:eastAsiaTheme="minorEastAsia" w:hAnsiTheme="minorEastAsia"/>
          <w:sz w:val="24"/>
          <w:szCs w:val="24"/>
        </w:rPr>
      </w:pPr>
      <w:r w:rsidRPr="002825C8">
        <w:rPr>
          <w:rFonts w:asciiTheme="minorEastAsia" w:eastAsiaTheme="minorEastAsia" w:hAnsiTheme="minorEastAsia"/>
          <w:sz w:val="24"/>
          <w:szCs w:val="24"/>
        </w:rPr>
        <w:t>特此公告。</w:t>
      </w:r>
    </w:p>
    <w:p w:rsidR="00971CCF" w:rsidRDefault="00971CCF" w:rsidP="007C142C">
      <w:pPr>
        <w:ind w:firstLineChars="200" w:firstLine="480"/>
        <w:rPr>
          <w:rFonts w:asciiTheme="minorEastAsia" w:eastAsiaTheme="minorEastAsia" w:hAnsiTheme="minorEastAsia"/>
          <w:sz w:val="24"/>
          <w:szCs w:val="24"/>
        </w:rPr>
      </w:pPr>
    </w:p>
    <w:p w:rsidR="00971CCF" w:rsidRDefault="00971CCF" w:rsidP="007C142C">
      <w:pPr>
        <w:ind w:firstLineChars="200" w:firstLine="480"/>
        <w:rPr>
          <w:rFonts w:asciiTheme="minorEastAsia" w:eastAsiaTheme="minorEastAsia" w:hAnsiTheme="minorEastAsia"/>
          <w:sz w:val="24"/>
          <w:szCs w:val="24"/>
        </w:rPr>
      </w:pPr>
    </w:p>
    <w:p w:rsidR="00971CCF" w:rsidRPr="005F1BF7" w:rsidRDefault="00971CCF" w:rsidP="00971CCF">
      <w:pPr>
        <w:jc w:val="right"/>
        <w:rPr>
          <w:rFonts w:asciiTheme="minorEastAsia" w:eastAsiaTheme="minorEastAsia" w:hAnsiTheme="minorEastAsia"/>
          <w:bCs/>
          <w:color w:val="000000" w:themeColor="text1"/>
          <w:sz w:val="24"/>
          <w:szCs w:val="24"/>
        </w:rPr>
      </w:pPr>
      <w:r w:rsidRPr="005F1BF7">
        <w:rPr>
          <w:rFonts w:asciiTheme="minorEastAsia" w:eastAsiaTheme="minorEastAsia" w:hAnsiTheme="minorEastAsia"/>
          <w:bCs/>
          <w:color w:val="000000" w:themeColor="text1"/>
          <w:sz w:val="24"/>
          <w:szCs w:val="24"/>
        </w:rPr>
        <w:t>广发基金管理有限公司</w:t>
      </w:r>
    </w:p>
    <w:p w:rsidR="00971CCF" w:rsidRPr="005F1BF7" w:rsidRDefault="00971CCF" w:rsidP="00971CCF">
      <w:pPr>
        <w:jc w:val="right"/>
        <w:rPr>
          <w:rFonts w:asciiTheme="minorEastAsia" w:eastAsiaTheme="minorEastAsia" w:hAnsiTheme="minorEastAsia"/>
          <w:color w:val="000000"/>
          <w:sz w:val="24"/>
          <w:szCs w:val="24"/>
        </w:rPr>
      </w:pPr>
      <w:r w:rsidRPr="005F1BF7">
        <w:rPr>
          <w:rFonts w:asciiTheme="minorEastAsia" w:eastAsiaTheme="minorEastAsia" w:hAnsiTheme="minorEastAsia"/>
          <w:bCs/>
          <w:color w:val="000000" w:themeColor="text1"/>
          <w:sz w:val="24"/>
          <w:szCs w:val="24"/>
        </w:rPr>
        <w:t>2025年11月21日</w:t>
      </w:r>
    </w:p>
    <w:sectPr w:rsidR="00971CCF" w:rsidRPr="005F1BF7"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1C7" w:rsidRDefault="007621C7" w:rsidP="00893436">
      <w:r>
        <w:separator/>
      </w:r>
    </w:p>
  </w:endnote>
  <w:endnote w:type="continuationSeparator" w:id="0">
    <w:p w:rsidR="007621C7" w:rsidRDefault="007621C7"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1C7" w:rsidRDefault="007621C7" w:rsidP="00893436">
      <w:r>
        <w:separator/>
      </w:r>
    </w:p>
  </w:footnote>
  <w:footnote w:type="continuationSeparator" w:id="0">
    <w:p w:rsidR="007621C7" w:rsidRDefault="007621C7"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0D5"/>
    <w:rsid w:val="00041353"/>
    <w:rsid w:val="00057AC1"/>
    <w:rsid w:val="00083B7C"/>
    <w:rsid w:val="00085F5C"/>
    <w:rsid w:val="0009778C"/>
    <w:rsid w:val="000A19B2"/>
    <w:rsid w:val="000C39F6"/>
    <w:rsid w:val="00111BD0"/>
    <w:rsid w:val="00135CA1"/>
    <w:rsid w:val="00141AEC"/>
    <w:rsid w:val="00171C1F"/>
    <w:rsid w:val="001B4A9D"/>
    <w:rsid w:val="001E1256"/>
    <w:rsid w:val="002068E1"/>
    <w:rsid w:val="00226206"/>
    <w:rsid w:val="00242E4D"/>
    <w:rsid w:val="00252EA1"/>
    <w:rsid w:val="002641B7"/>
    <w:rsid w:val="002744A0"/>
    <w:rsid w:val="002825C8"/>
    <w:rsid w:val="00284B1B"/>
    <w:rsid w:val="002A63B7"/>
    <w:rsid w:val="002B676D"/>
    <w:rsid w:val="002C08C5"/>
    <w:rsid w:val="002F7561"/>
    <w:rsid w:val="003023D8"/>
    <w:rsid w:val="0030796A"/>
    <w:rsid w:val="003160F8"/>
    <w:rsid w:val="00362297"/>
    <w:rsid w:val="00386931"/>
    <w:rsid w:val="0039192C"/>
    <w:rsid w:val="0039535C"/>
    <w:rsid w:val="003C2386"/>
    <w:rsid w:val="003E51F2"/>
    <w:rsid w:val="00410642"/>
    <w:rsid w:val="00411A38"/>
    <w:rsid w:val="004523D1"/>
    <w:rsid w:val="00462525"/>
    <w:rsid w:val="00482539"/>
    <w:rsid w:val="00486934"/>
    <w:rsid w:val="004966BA"/>
    <w:rsid w:val="004C0AC4"/>
    <w:rsid w:val="00506E3A"/>
    <w:rsid w:val="005439EC"/>
    <w:rsid w:val="00552BD4"/>
    <w:rsid w:val="005624E5"/>
    <w:rsid w:val="005715B6"/>
    <w:rsid w:val="005A515B"/>
    <w:rsid w:val="005B087C"/>
    <w:rsid w:val="005B7CBF"/>
    <w:rsid w:val="005C57A1"/>
    <w:rsid w:val="005E3F2A"/>
    <w:rsid w:val="005F1BF7"/>
    <w:rsid w:val="00601001"/>
    <w:rsid w:val="00602C3F"/>
    <w:rsid w:val="0064129A"/>
    <w:rsid w:val="00646FDE"/>
    <w:rsid w:val="006A2E06"/>
    <w:rsid w:val="006E41A5"/>
    <w:rsid w:val="00721B55"/>
    <w:rsid w:val="00751BA5"/>
    <w:rsid w:val="007621C7"/>
    <w:rsid w:val="007C142C"/>
    <w:rsid w:val="007D01E7"/>
    <w:rsid w:val="007F6075"/>
    <w:rsid w:val="00834BAE"/>
    <w:rsid w:val="00893436"/>
    <w:rsid w:val="008D1F66"/>
    <w:rsid w:val="00901C58"/>
    <w:rsid w:val="00903944"/>
    <w:rsid w:val="009117E2"/>
    <w:rsid w:val="009603BA"/>
    <w:rsid w:val="00971CCF"/>
    <w:rsid w:val="009732A4"/>
    <w:rsid w:val="00A3175B"/>
    <w:rsid w:val="00A81C93"/>
    <w:rsid w:val="00AA27A8"/>
    <w:rsid w:val="00AA7C92"/>
    <w:rsid w:val="00AB5DA4"/>
    <w:rsid w:val="00AB6B8A"/>
    <w:rsid w:val="00AC3CC5"/>
    <w:rsid w:val="00B232B4"/>
    <w:rsid w:val="00B36EEF"/>
    <w:rsid w:val="00B44BBE"/>
    <w:rsid w:val="00B71DA2"/>
    <w:rsid w:val="00B7776B"/>
    <w:rsid w:val="00BA6FE9"/>
    <w:rsid w:val="00BA7F58"/>
    <w:rsid w:val="00BD2B72"/>
    <w:rsid w:val="00BD7533"/>
    <w:rsid w:val="00BF5698"/>
    <w:rsid w:val="00C11CA3"/>
    <w:rsid w:val="00C25D5E"/>
    <w:rsid w:val="00C31B5B"/>
    <w:rsid w:val="00C33DDD"/>
    <w:rsid w:val="00CA643D"/>
    <w:rsid w:val="00CB3D18"/>
    <w:rsid w:val="00CC001C"/>
    <w:rsid w:val="00D05601"/>
    <w:rsid w:val="00D421E2"/>
    <w:rsid w:val="00DB7CD4"/>
    <w:rsid w:val="00DD0EC0"/>
    <w:rsid w:val="00DD2A30"/>
    <w:rsid w:val="00E05BEC"/>
    <w:rsid w:val="00E16B6D"/>
    <w:rsid w:val="00E24390"/>
    <w:rsid w:val="00E379B4"/>
    <w:rsid w:val="00EA12C9"/>
    <w:rsid w:val="00ED6AA3"/>
    <w:rsid w:val="00EF727C"/>
    <w:rsid w:val="00F0033B"/>
    <w:rsid w:val="00F0261D"/>
    <w:rsid w:val="00F15128"/>
    <w:rsid w:val="00F42CA6"/>
    <w:rsid w:val="00F45E48"/>
    <w:rsid w:val="00F645EE"/>
    <w:rsid w:val="00F75283"/>
    <w:rsid w:val="00FF0A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B72"/>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72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1549</Characters>
  <Application>Microsoft Office Word</Application>
  <DocSecurity>4</DocSecurity>
  <Lines>12</Lines>
  <Paragraphs>3</Paragraphs>
  <ScaleCrop>false</ScaleCrop>
  <Company>微软中国</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2025-11-20T16:01:00Z</dcterms:created>
  <dcterms:modified xsi:type="dcterms:W3CDTF">2025-11-20T16:01:00Z</dcterms:modified>
</cp:coreProperties>
</file>