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0B29">
      <w:pPr>
        <w:adjustRightInd w:val="0"/>
        <w:snapToGrid w:val="0"/>
        <w:spacing w:line="360" w:lineRule="auto"/>
        <w:jc w:val="center"/>
        <w:rPr>
          <w:rFonts w:ascii="黑体" w:eastAsia="黑体" w:hAnsi="黑体" w:cs="黑体t.祯畴." w:hint="eastAsia"/>
          <w:b/>
          <w:color w:val="000000"/>
          <w:kern w:val="0"/>
          <w:sz w:val="30"/>
          <w:szCs w:val="30"/>
        </w:rPr>
      </w:pPr>
      <w:r>
        <w:rPr>
          <w:rFonts w:ascii="黑体" w:eastAsia="黑体" w:hAnsi="黑体" w:cs="黑体t.祯畴." w:hint="eastAsia"/>
          <w:b/>
          <w:color w:val="000000"/>
          <w:kern w:val="0"/>
          <w:sz w:val="30"/>
          <w:szCs w:val="30"/>
        </w:rPr>
        <w:t>前海开源基金管理有限公司</w:t>
      </w:r>
    </w:p>
    <w:p w:rsidR="00000000" w:rsidRDefault="006F0B29">
      <w:pPr>
        <w:adjustRightInd w:val="0"/>
        <w:snapToGrid w:val="0"/>
        <w:spacing w:line="360" w:lineRule="auto"/>
        <w:jc w:val="center"/>
        <w:rPr>
          <w:rFonts w:ascii="黑体" w:eastAsia="黑体" w:hAnsi="黑体" w:cs="黑体t.祯畴."/>
          <w:b/>
          <w:color w:val="000000"/>
          <w:kern w:val="0"/>
          <w:sz w:val="30"/>
          <w:szCs w:val="30"/>
        </w:rPr>
      </w:pPr>
      <w:r>
        <w:rPr>
          <w:rFonts w:ascii="黑体" w:eastAsia="黑体" w:hAnsi="黑体" w:cs="黑体t.祯畴." w:hint="eastAsia"/>
          <w:b/>
          <w:color w:val="000000"/>
          <w:kern w:val="0"/>
          <w:sz w:val="30"/>
          <w:szCs w:val="30"/>
        </w:rPr>
        <w:t>关于调整旗下部分基金风险等级的公告</w:t>
      </w:r>
    </w:p>
    <w:p w:rsidR="00000000" w:rsidRDefault="006F0B29">
      <w:pPr>
        <w:adjustRightInd w:val="0"/>
        <w:snapToGrid w:val="0"/>
        <w:spacing w:line="360" w:lineRule="auto"/>
        <w:ind w:firstLineChars="200" w:firstLine="480"/>
        <w:rPr>
          <w:rFonts w:ascii="宋体" w:eastAsia="宋体" w:hAnsi="宋体"/>
          <w:sz w:val="24"/>
          <w:szCs w:val="21"/>
        </w:rPr>
      </w:pPr>
    </w:p>
    <w:p w:rsidR="00000000" w:rsidRDefault="006F0B29">
      <w:pPr>
        <w:adjustRightInd w:val="0"/>
        <w:snapToGrid w:val="0"/>
        <w:spacing w:line="360" w:lineRule="auto"/>
        <w:ind w:firstLineChars="200" w:firstLine="480"/>
        <w:rPr>
          <w:rFonts w:hint="eastAsia"/>
          <w:sz w:val="24"/>
          <w:szCs w:val="21"/>
        </w:rPr>
      </w:pPr>
      <w:r>
        <w:rPr>
          <w:rFonts w:ascii="宋体" w:eastAsia="宋体" w:hAnsi="宋体" w:hint="eastAsia"/>
          <w:sz w:val="24"/>
          <w:szCs w:val="21"/>
        </w:rPr>
        <w:t>根据《证券期货投资者适当性管理办法》、《证券投资基金销售适用性指导意见》及《基金募集机构投资者适当性管理实施指引（试行）》等法规要求，做好投资者适当性管理安排，本公司委托独立第三方评价机构中国银河证券股份有限公司（以下简称“银河证券”）对本公司旗下所有公募基金进行适当性风险等级评价。</w:t>
      </w:r>
    </w:p>
    <w:p w:rsidR="00000000" w:rsidRDefault="006F0B29">
      <w:pPr>
        <w:adjustRightInd w:val="0"/>
        <w:snapToGrid w:val="0"/>
        <w:spacing w:line="360" w:lineRule="auto"/>
        <w:ind w:firstLineChars="200" w:firstLine="480"/>
        <w:rPr>
          <w:rFonts w:ascii="宋体" w:eastAsia="宋体" w:hAnsi="宋体" w:hint="eastAsia"/>
          <w:sz w:val="24"/>
          <w:szCs w:val="21"/>
        </w:rPr>
      </w:pPr>
      <w:r>
        <w:rPr>
          <w:rFonts w:ascii="宋体" w:eastAsia="宋体" w:hAnsi="宋体" w:hint="eastAsia"/>
          <w:sz w:val="24"/>
          <w:szCs w:val="21"/>
        </w:rPr>
        <w:t>根据银河证券发布的《关于拟调整权益基金等基金产品适当性风险等级的通知》，本公司决定自</w:t>
      </w:r>
      <w:r>
        <w:rPr>
          <w:rFonts w:hint="eastAsia"/>
          <w:sz w:val="24"/>
          <w:szCs w:val="21"/>
        </w:rPr>
        <w:t xml:space="preserve"> 2025</w:t>
      </w:r>
      <w:r>
        <w:rPr>
          <w:rFonts w:ascii="宋体" w:eastAsia="宋体" w:hAnsi="宋体" w:hint="eastAsia"/>
          <w:sz w:val="24"/>
          <w:szCs w:val="21"/>
        </w:rPr>
        <w:t>年</w:t>
      </w:r>
      <w:r>
        <w:rPr>
          <w:rFonts w:hint="eastAsia"/>
          <w:sz w:val="24"/>
          <w:szCs w:val="21"/>
        </w:rPr>
        <w:t>11</w:t>
      </w:r>
      <w:r>
        <w:rPr>
          <w:rFonts w:ascii="宋体" w:eastAsia="宋体" w:hAnsi="宋体" w:hint="eastAsia"/>
          <w:sz w:val="24"/>
          <w:szCs w:val="21"/>
        </w:rPr>
        <w:t>月</w:t>
      </w:r>
      <w:r>
        <w:rPr>
          <w:rFonts w:hint="eastAsia"/>
          <w:sz w:val="24"/>
          <w:szCs w:val="21"/>
        </w:rPr>
        <w:t>25</w:t>
      </w:r>
      <w:r>
        <w:rPr>
          <w:rFonts w:ascii="宋体" w:eastAsia="宋体" w:hAnsi="宋体" w:hint="eastAsia"/>
          <w:sz w:val="24"/>
          <w:szCs w:val="21"/>
        </w:rPr>
        <w:t>日起调整下列基金的风险等级（详见下表“风险等级变化一览表</w:t>
      </w:r>
      <w:r>
        <w:rPr>
          <w:rFonts w:ascii="宋体" w:eastAsia="宋体" w:hAnsi="宋体" w:hint="eastAsia"/>
          <w:sz w:val="24"/>
          <w:szCs w:val="21"/>
        </w:rPr>
        <w:t>”），敬请广大投资者关注基金风险等级的变化以及对投资决策</w:t>
      </w:r>
      <w:r>
        <w:rPr>
          <w:rFonts w:ascii="宋体" w:eastAsia="宋体" w:hAnsi="宋体" w:hint="eastAsia"/>
          <w:sz w:val="24"/>
          <w:szCs w:val="21"/>
        </w:rPr>
        <w:t>带来的影响。</w:t>
      </w:r>
    </w:p>
    <w:p w:rsidR="00000000" w:rsidRDefault="006F0B29">
      <w:pPr>
        <w:adjustRightInd w:val="0"/>
        <w:snapToGrid w:val="0"/>
        <w:spacing w:line="360" w:lineRule="auto"/>
        <w:ind w:firstLineChars="200" w:firstLine="480"/>
        <w:jc w:val="center"/>
        <w:rPr>
          <w:rFonts w:ascii="宋体" w:eastAsia="宋体" w:hAnsi="宋体" w:hint="eastAsia"/>
          <w:sz w:val="24"/>
          <w:szCs w:val="21"/>
        </w:rPr>
      </w:pPr>
      <w:r>
        <w:rPr>
          <w:rFonts w:ascii="宋体" w:eastAsia="宋体" w:hAnsi="宋体" w:hint="eastAsia"/>
          <w:sz w:val="24"/>
          <w:szCs w:val="21"/>
        </w:rPr>
        <w:t>表：风险等级变化一览表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277"/>
        <w:gridCol w:w="4110"/>
        <w:gridCol w:w="1701"/>
        <w:gridCol w:w="1610"/>
      </w:tblGrid>
      <w:tr w:rsidR="00000000">
        <w:trPr>
          <w:cantSplit/>
          <w:trHeight w:val="528"/>
          <w:tblHeader/>
          <w:jc w:val="center"/>
        </w:trPr>
        <w:tc>
          <w:tcPr>
            <w:tcW w:w="709" w:type="dxa"/>
            <w:vAlign w:val="center"/>
          </w:tcPr>
          <w:p w:rsidR="00000000" w:rsidRDefault="006F0B29">
            <w:pPr>
              <w:widowControl/>
              <w:jc w:val="center"/>
              <w:rPr>
                <w:rFonts w:ascii="宋体" w:eastAsia="宋体" w:hAnsi="宋体" w:cs="Arial" w:hint="eastAsia"/>
                <w:b/>
                <w:bCs/>
                <w:kern w:val="0"/>
                <w:sz w:val="22"/>
                <w:szCs w:val="22"/>
              </w:rPr>
            </w:pPr>
            <w:r>
              <w:rPr>
                <w:rFonts w:ascii="宋体" w:eastAsia="宋体" w:hAnsi="宋体" w:cs="Arial"/>
                <w:b/>
                <w:bCs/>
                <w:kern w:val="0"/>
                <w:sz w:val="22"/>
                <w:szCs w:val="22"/>
              </w:rPr>
              <w:t>序号</w:t>
            </w:r>
          </w:p>
        </w:tc>
        <w:tc>
          <w:tcPr>
            <w:tcW w:w="1277" w:type="dxa"/>
            <w:vAlign w:val="center"/>
          </w:tcPr>
          <w:p w:rsidR="00000000" w:rsidRDefault="006F0B29">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基金代码</w:t>
            </w:r>
          </w:p>
        </w:tc>
        <w:tc>
          <w:tcPr>
            <w:tcW w:w="4110" w:type="dxa"/>
            <w:vAlign w:val="center"/>
          </w:tcPr>
          <w:p w:rsidR="00000000" w:rsidRDefault="006F0B29">
            <w:pPr>
              <w:widowControl/>
              <w:jc w:val="center"/>
              <w:rPr>
                <w:rFonts w:ascii="宋体" w:eastAsia="宋体" w:hAnsi="宋体" w:cs="Arial" w:hint="eastAsia"/>
                <w:b/>
                <w:bCs/>
                <w:kern w:val="0"/>
                <w:sz w:val="22"/>
                <w:szCs w:val="22"/>
              </w:rPr>
            </w:pPr>
            <w:r>
              <w:rPr>
                <w:rFonts w:ascii="宋体" w:eastAsia="宋体" w:hAnsi="宋体" w:cs="Arial"/>
                <w:b/>
                <w:bCs/>
                <w:kern w:val="0"/>
                <w:sz w:val="22"/>
                <w:szCs w:val="22"/>
              </w:rPr>
              <w:t>基金名称</w:t>
            </w:r>
          </w:p>
        </w:tc>
        <w:tc>
          <w:tcPr>
            <w:tcW w:w="1701" w:type="dxa"/>
            <w:vAlign w:val="center"/>
          </w:tcPr>
          <w:p w:rsidR="00000000" w:rsidRDefault="006F0B29">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调整前风险等级</w:t>
            </w:r>
          </w:p>
        </w:tc>
        <w:tc>
          <w:tcPr>
            <w:tcW w:w="1610" w:type="dxa"/>
            <w:vAlign w:val="center"/>
          </w:tcPr>
          <w:p w:rsidR="00000000" w:rsidRDefault="006F0B29">
            <w:pPr>
              <w:widowControl/>
              <w:jc w:val="center"/>
              <w:rPr>
                <w:rFonts w:ascii="宋体" w:eastAsia="宋体" w:hAnsi="宋体" w:cs="宋体" w:hint="eastAsia"/>
                <w:b/>
                <w:bCs/>
                <w:kern w:val="0"/>
                <w:sz w:val="22"/>
                <w:szCs w:val="22"/>
              </w:rPr>
            </w:pPr>
            <w:r>
              <w:rPr>
                <w:rFonts w:ascii="宋体" w:eastAsia="宋体" w:hAnsi="宋体" w:cs="宋体" w:hint="eastAsia"/>
                <w:b/>
                <w:bCs/>
                <w:kern w:val="0"/>
                <w:sz w:val="22"/>
                <w:szCs w:val="22"/>
              </w:rPr>
              <w:t>调整后风险等级</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hint="eastAsia"/>
                <w:color w:val="000000"/>
                <w:kern w:val="0"/>
                <w:sz w:val="22"/>
                <w:szCs w:val="22"/>
              </w:rPr>
            </w:pPr>
            <w:r>
              <w:rPr>
                <w:rFonts w:ascii="宋体" w:eastAsia="宋体" w:hAnsi="宋体" w:cs="Segoe UI"/>
                <w:color w:val="000000"/>
                <w:kern w:val="0"/>
                <w:sz w:val="22"/>
                <w:szCs w:val="22"/>
              </w:rPr>
              <w:t>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000916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前海开源股息率</w:t>
            </w:r>
            <w:r>
              <w:rPr>
                <w:rFonts w:ascii="宋体" w:eastAsia="宋体" w:hAnsi="宋体" w:cs="Segoe UI"/>
                <w:color w:val="000000"/>
                <w:kern w:val="0"/>
                <w:sz w:val="22"/>
                <w:szCs w:val="22"/>
              </w:rPr>
              <w:t>100</w:t>
            </w:r>
            <w:r>
              <w:rPr>
                <w:rFonts w:ascii="宋体" w:eastAsia="宋体" w:hAnsi="宋体" w:cs="Segoe UI" w:hint="eastAsia"/>
                <w:color w:val="000000"/>
                <w:kern w:val="0"/>
                <w:sz w:val="22"/>
                <w:szCs w:val="22"/>
              </w:rPr>
              <w:t>强等权重股票型证券投资基金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021784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前海开源股息率</w:t>
            </w:r>
            <w:r>
              <w:rPr>
                <w:rFonts w:ascii="宋体" w:eastAsia="宋体" w:hAnsi="宋体" w:cs="Segoe UI"/>
                <w:color w:val="000000"/>
                <w:kern w:val="0"/>
                <w:sz w:val="22"/>
                <w:szCs w:val="22"/>
              </w:rPr>
              <w:t>100</w:t>
            </w:r>
            <w:r>
              <w:rPr>
                <w:rFonts w:ascii="宋体" w:eastAsia="宋体" w:hAnsi="宋体" w:cs="Segoe UI" w:hint="eastAsia"/>
                <w:color w:val="000000"/>
                <w:kern w:val="0"/>
                <w:sz w:val="22"/>
                <w:szCs w:val="22"/>
              </w:rPr>
              <w:t>强等权重股票型证券投资基金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005328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前海开源价值策略股票型证券投资基金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001849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前海开源强势共识</w:t>
            </w:r>
            <w:r>
              <w:rPr>
                <w:rFonts w:ascii="宋体" w:eastAsia="宋体" w:hAnsi="宋体" w:cs="Segoe UI"/>
                <w:color w:val="000000"/>
                <w:kern w:val="0"/>
                <w:sz w:val="22"/>
                <w:szCs w:val="22"/>
              </w:rPr>
              <w:t>100</w:t>
            </w:r>
            <w:r>
              <w:rPr>
                <w:rFonts w:ascii="宋体" w:eastAsia="宋体" w:hAnsi="宋体" w:cs="Segoe UI"/>
                <w:color w:val="000000"/>
                <w:kern w:val="0"/>
                <w:sz w:val="22"/>
                <w:szCs w:val="22"/>
              </w:rPr>
              <w:t>强等权重</w:t>
            </w:r>
            <w:r>
              <w:rPr>
                <w:rFonts w:ascii="宋体" w:eastAsia="宋体" w:hAnsi="宋体" w:cs="Segoe UI"/>
                <w:color w:val="000000"/>
                <w:kern w:val="0"/>
                <w:sz w:val="22"/>
                <w:szCs w:val="22"/>
              </w:rPr>
              <w:t>股票型证券投资基金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011722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前海开源深圳特区精选股票型证券投资基金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011723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前海开源深圳特区精选股票型证券投资基金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001162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前海开源优势蓝筹股票型证券投资基金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001638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前海开源优势蓝筹股票型证券投资基金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022292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前海开源优选领航股票型发起式证券投资基</w:t>
            </w:r>
            <w:r>
              <w:rPr>
                <w:rFonts w:ascii="宋体" w:eastAsia="宋体" w:hAnsi="宋体" w:cs="Segoe UI" w:hint="eastAsia"/>
                <w:color w:val="000000"/>
                <w:kern w:val="0"/>
                <w:sz w:val="22"/>
                <w:szCs w:val="22"/>
              </w:rPr>
              <w:t>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022293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前海开源优选领航股票型发起式证券投资基金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lastRenderedPageBreak/>
              <w:t>11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001178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前海开源再融资主题精选股票型证券投资基金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006524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w:t>
            </w:r>
            <w:r>
              <w:rPr>
                <w:rFonts w:ascii="宋体" w:eastAsia="宋体" w:hAnsi="宋体" w:cs="Segoe UI"/>
                <w:color w:val="000000"/>
                <w:kern w:val="0"/>
                <w:sz w:val="22"/>
                <w:szCs w:val="22"/>
              </w:rPr>
              <w:t>MSCI</w:t>
            </w:r>
            <w:r>
              <w:rPr>
                <w:rFonts w:ascii="宋体" w:eastAsia="宋体" w:hAnsi="宋体" w:cs="Segoe UI" w:hint="eastAsia"/>
                <w:color w:val="000000"/>
                <w:kern w:val="0"/>
                <w:sz w:val="22"/>
                <w:szCs w:val="22"/>
              </w:rPr>
              <w:t>中国</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股指数型证券投资基金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006525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w:t>
            </w:r>
            <w:r>
              <w:rPr>
                <w:rFonts w:ascii="宋体" w:eastAsia="宋体" w:hAnsi="宋体" w:cs="Segoe UI"/>
                <w:color w:val="000000"/>
                <w:kern w:val="0"/>
                <w:sz w:val="22"/>
                <w:szCs w:val="22"/>
              </w:rPr>
              <w:t>MSCI</w:t>
            </w:r>
            <w:r>
              <w:rPr>
                <w:rFonts w:ascii="宋体" w:eastAsia="宋体" w:hAnsi="宋体" w:cs="Segoe UI" w:hint="eastAsia"/>
                <w:color w:val="000000"/>
                <w:kern w:val="0"/>
                <w:sz w:val="22"/>
                <w:szCs w:val="22"/>
              </w:rPr>
              <w:t>中国</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股指数型证券投资基金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000656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前海开源沪深</w:t>
            </w:r>
            <w:r>
              <w:rPr>
                <w:rFonts w:ascii="宋体" w:eastAsia="宋体" w:hAnsi="宋体" w:cs="Segoe UI"/>
                <w:color w:val="000000"/>
                <w:kern w:val="0"/>
                <w:sz w:val="22"/>
                <w:szCs w:val="22"/>
              </w:rPr>
              <w:t>300</w:t>
            </w:r>
            <w:r>
              <w:rPr>
                <w:rFonts w:ascii="宋体" w:eastAsia="宋体" w:hAnsi="宋体" w:cs="Segoe UI" w:hint="eastAsia"/>
                <w:color w:val="000000"/>
                <w:kern w:val="0"/>
                <w:sz w:val="22"/>
                <w:szCs w:val="22"/>
              </w:rPr>
              <w:t>指数型</w:t>
            </w:r>
            <w:r>
              <w:rPr>
                <w:rFonts w:ascii="宋体" w:eastAsia="宋体" w:hAnsi="宋体" w:cs="Segoe UI" w:hint="eastAsia"/>
                <w:color w:val="000000"/>
                <w:kern w:val="0"/>
                <w:sz w:val="22"/>
                <w:szCs w:val="22"/>
              </w:rPr>
              <w:t>证券投</w:t>
            </w:r>
            <w:r>
              <w:rPr>
                <w:rFonts w:ascii="宋体" w:eastAsia="宋体" w:hAnsi="宋体" w:cs="Segoe UI" w:hint="eastAsia"/>
                <w:color w:val="000000"/>
                <w:kern w:val="0"/>
                <w:sz w:val="22"/>
                <w:szCs w:val="22"/>
              </w:rPr>
              <w:t>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015671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前海开源沪深</w:t>
            </w:r>
            <w:r>
              <w:rPr>
                <w:rFonts w:ascii="宋体" w:eastAsia="宋体" w:hAnsi="宋体" w:cs="Segoe UI"/>
                <w:color w:val="000000"/>
                <w:kern w:val="0"/>
                <w:sz w:val="22"/>
                <w:szCs w:val="22"/>
              </w:rPr>
              <w:t>300</w:t>
            </w:r>
            <w:r>
              <w:rPr>
                <w:rFonts w:ascii="宋体" w:eastAsia="宋体" w:hAnsi="宋体" w:cs="Segoe UI" w:hint="eastAsia"/>
                <w:color w:val="000000"/>
                <w:kern w:val="0"/>
                <w:sz w:val="22"/>
                <w:szCs w:val="22"/>
              </w:rPr>
              <w:t>指数型证券投资基金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024650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前海开源中证</w:t>
            </w:r>
            <w:r>
              <w:rPr>
                <w:rFonts w:ascii="宋体" w:eastAsia="宋体" w:hAnsi="宋体" w:cs="Segoe UI"/>
                <w:color w:val="000000"/>
                <w:kern w:val="0"/>
                <w:sz w:val="22"/>
                <w:szCs w:val="22"/>
              </w:rPr>
              <w:t>A500</w:t>
            </w:r>
            <w:r>
              <w:rPr>
                <w:rFonts w:ascii="宋体" w:eastAsia="宋体" w:hAnsi="宋体" w:cs="Segoe UI" w:hint="eastAsia"/>
                <w:color w:val="000000"/>
                <w:kern w:val="0"/>
                <w:sz w:val="22"/>
                <w:szCs w:val="22"/>
              </w:rPr>
              <w:t>指数增强型证券投资基金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024651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前海开源中证</w:t>
            </w:r>
            <w:r>
              <w:rPr>
                <w:rFonts w:ascii="宋体" w:eastAsia="宋体" w:hAnsi="宋体" w:cs="Segoe UI"/>
                <w:color w:val="000000"/>
                <w:kern w:val="0"/>
                <w:sz w:val="22"/>
                <w:szCs w:val="22"/>
              </w:rPr>
              <w:t>A500</w:t>
            </w:r>
            <w:r>
              <w:rPr>
                <w:rFonts w:ascii="宋体" w:eastAsia="宋体" w:hAnsi="宋体" w:cs="Segoe UI" w:hint="eastAsia"/>
                <w:color w:val="000000"/>
                <w:kern w:val="0"/>
                <w:sz w:val="22"/>
                <w:szCs w:val="22"/>
              </w:rPr>
              <w:t>指数增强型证券投资基金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515590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前海开源中证</w:t>
            </w:r>
            <w:r>
              <w:rPr>
                <w:rFonts w:ascii="宋体" w:eastAsia="宋体" w:hAnsi="宋体" w:cs="Segoe UI"/>
                <w:color w:val="000000"/>
                <w:kern w:val="0"/>
                <w:sz w:val="22"/>
                <w:szCs w:val="22"/>
              </w:rPr>
              <w:t>500</w:t>
            </w:r>
            <w:r>
              <w:rPr>
                <w:rFonts w:ascii="宋体" w:eastAsia="宋体" w:hAnsi="宋体" w:cs="Segoe UI"/>
                <w:color w:val="000000"/>
                <w:kern w:val="0"/>
                <w:sz w:val="22"/>
                <w:szCs w:val="22"/>
              </w:rPr>
              <w:t>等权重交易型开放式指数证券投资基金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023444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w:t>
            </w:r>
            <w:r>
              <w:rPr>
                <w:rFonts w:ascii="宋体" w:eastAsia="宋体" w:hAnsi="宋体" w:cs="Segoe UI" w:hint="eastAsia"/>
                <w:color w:val="000000"/>
                <w:kern w:val="0"/>
                <w:sz w:val="22"/>
                <w:szCs w:val="22"/>
              </w:rPr>
              <w:t>源中证</w:t>
            </w:r>
            <w:r>
              <w:rPr>
                <w:rFonts w:ascii="宋体" w:eastAsia="宋体" w:hAnsi="宋体" w:cs="Segoe UI"/>
                <w:color w:val="000000"/>
                <w:kern w:val="0"/>
                <w:sz w:val="22"/>
                <w:szCs w:val="22"/>
              </w:rPr>
              <w:t>500</w:t>
            </w:r>
            <w:r>
              <w:rPr>
                <w:rFonts w:ascii="宋体" w:eastAsia="宋体" w:hAnsi="宋体" w:cs="Segoe UI" w:hint="eastAsia"/>
                <w:color w:val="000000"/>
                <w:kern w:val="0"/>
                <w:sz w:val="22"/>
                <w:szCs w:val="22"/>
              </w:rPr>
              <w:t>等权重交易型开放式指数证券投资基金联接基金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023445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前海开源中证</w:t>
            </w:r>
            <w:r>
              <w:rPr>
                <w:rFonts w:ascii="宋体" w:eastAsia="宋体" w:hAnsi="宋体" w:cs="Segoe UI"/>
                <w:color w:val="000000"/>
                <w:kern w:val="0"/>
                <w:sz w:val="22"/>
                <w:szCs w:val="22"/>
              </w:rPr>
              <w:t>500</w:t>
            </w:r>
            <w:r>
              <w:rPr>
                <w:rFonts w:ascii="宋体" w:eastAsia="宋体" w:hAnsi="宋体" w:cs="Segoe UI" w:hint="eastAsia"/>
                <w:color w:val="000000"/>
                <w:kern w:val="0"/>
                <w:sz w:val="22"/>
                <w:szCs w:val="22"/>
              </w:rPr>
              <w:t>等权重交易型开放式指数证券投资基金联接基金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011588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前海开源成份精选混合型证券投资基金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022414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前海开源国企精选混合型发起式证券投资基金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022415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前海开源国企精选混合型发起式证券投资基金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w:t>
            </w:r>
            <w:r>
              <w:rPr>
                <w:rFonts w:ascii="宋体" w:eastAsia="宋体" w:hAnsi="宋体" w:cs="Segoe UI"/>
                <w:color w:val="000000"/>
                <w:kern w:val="0"/>
                <w:sz w:val="22"/>
                <w:szCs w:val="22"/>
              </w:rPr>
              <w:t>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011287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前海开源聚慧三年持有期混合型证券投资基金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013270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前海开源聚利一年持有期混合型证券投资基金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013271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前海开源聚利一年持有期混合型证券投资基金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011429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前海开源民裕进取混合型证券投资基金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008188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前海开源稳健增长三年持有期混合型发起式证券投资基金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29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008381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前海开源新兴产业混合型证券投资基金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014729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前海开源新兴产业混合型证券投资基金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024317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前海开源研究驱动混合型证券投资基金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lastRenderedPageBreak/>
              <w:t>32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024318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前海开源研究驱动混合型证券投资基金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023457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前海开源研究优选混合型证券投资基金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023458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前海开源研究优选混合型证券投资基金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006775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前海开源优质成长混合型证券投资基金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012483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前海开源优质龙头</w:t>
            </w:r>
            <w:r>
              <w:rPr>
                <w:rFonts w:ascii="宋体" w:eastAsia="宋体" w:hAnsi="宋体" w:cs="Segoe UI"/>
                <w:color w:val="000000"/>
                <w:kern w:val="0"/>
                <w:sz w:val="22"/>
                <w:szCs w:val="22"/>
              </w:rPr>
              <w:t>6</w:t>
            </w:r>
            <w:r>
              <w:rPr>
                <w:rFonts w:ascii="宋体" w:eastAsia="宋体" w:hAnsi="宋体" w:cs="Segoe UI" w:hint="eastAsia"/>
                <w:color w:val="000000"/>
                <w:kern w:val="0"/>
                <w:sz w:val="22"/>
                <w:szCs w:val="22"/>
              </w:rPr>
              <w:t>个月持有期混合型证券投资基金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012484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前海开源优质龙头</w:t>
            </w:r>
            <w:r>
              <w:rPr>
                <w:rFonts w:ascii="宋体" w:eastAsia="宋体" w:hAnsi="宋体" w:cs="Segoe UI"/>
                <w:color w:val="000000"/>
                <w:kern w:val="0"/>
                <w:sz w:val="22"/>
                <w:szCs w:val="22"/>
              </w:rPr>
              <w:t>6</w:t>
            </w:r>
            <w:r>
              <w:rPr>
                <w:rFonts w:ascii="宋体" w:eastAsia="宋体" w:hAnsi="宋体" w:cs="Segoe UI" w:hint="eastAsia"/>
                <w:color w:val="000000"/>
                <w:kern w:val="0"/>
                <w:sz w:val="22"/>
                <w:szCs w:val="22"/>
              </w:rPr>
              <w:t>个月持有期混合型证券投资基金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010717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前海开源优质企业</w:t>
            </w:r>
            <w:r>
              <w:rPr>
                <w:rFonts w:ascii="宋体" w:eastAsia="宋体" w:hAnsi="宋体" w:cs="Segoe UI"/>
                <w:color w:val="000000"/>
                <w:kern w:val="0"/>
                <w:sz w:val="22"/>
                <w:szCs w:val="22"/>
              </w:rPr>
              <w:t>6</w:t>
            </w:r>
            <w:r>
              <w:rPr>
                <w:rFonts w:ascii="宋体" w:eastAsia="宋体" w:hAnsi="宋体" w:cs="Segoe UI" w:hint="eastAsia"/>
                <w:color w:val="000000"/>
                <w:kern w:val="0"/>
                <w:sz w:val="22"/>
                <w:szCs w:val="22"/>
              </w:rPr>
              <w:t>个月持有期混合型证券投资基金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39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010718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前海开源优质企业</w:t>
            </w:r>
            <w:r>
              <w:rPr>
                <w:rFonts w:ascii="宋体" w:eastAsia="宋体" w:hAnsi="宋体" w:cs="Segoe UI"/>
                <w:color w:val="000000"/>
                <w:kern w:val="0"/>
                <w:sz w:val="22"/>
                <w:szCs w:val="22"/>
              </w:rPr>
              <w:t>6</w:t>
            </w:r>
            <w:r>
              <w:rPr>
                <w:rFonts w:ascii="宋体" w:eastAsia="宋体" w:hAnsi="宋体" w:cs="Segoe UI" w:hint="eastAsia"/>
                <w:color w:val="000000"/>
                <w:kern w:val="0"/>
                <w:sz w:val="22"/>
                <w:szCs w:val="22"/>
              </w:rPr>
              <w:t>个月持有期混合型证券投资基金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000969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前海开源大安全核心精选灵活配置混合型证券投资基金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000690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前海开源大海洋战略经济灵活配置混合型证券投资基金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004496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前海开源多元策略灵活配置混合型证券投资基金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004497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前海开源多元策略灵活配置混合型证券投资基</w:t>
            </w:r>
            <w:r>
              <w:rPr>
                <w:rFonts w:ascii="宋体" w:eastAsia="宋体" w:hAnsi="宋体" w:cs="Segoe UI" w:hint="eastAsia"/>
                <w:color w:val="000000"/>
                <w:kern w:val="0"/>
                <w:sz w:val="22"/>
                <w:szCs w:val="22"/>
              </w:rPr>
              <w:t>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001060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前海开源高端装备制造灵活配置混合型证券投资基金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016721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前海开源高端装备制造灵活配置混合型证券投资基金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001103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前海开源工业革命</w:t>
            </w:r>
            <w:r>
              <w:rPr>
                <w:rFonts w:ascii="宋体" w:eastAsia="宋体" w:hAnsi="宋体" w:cs="Segoe UI"/>
                <w:color w:val="000000"/>
                <w:kern w:val="0"/>
                <w:sz w:val="22"/>
                <w:szCs w:val="22"/>
              </w:rPr>
              <w:t>4.0</w:t>
            </w:r>
            <w:r>
              <w:rPr>
                <w:rFonts w:ascii="宋体" w:eastAsia="宋体" w:hAnsi="宋体" w:cs="Segoe UI"/>
                <w:color w:val="000000"/>
                <w:kern w:val="0"/>
                <w:sz w:val="22"/>
                <w:szCs w:val="22"/>
              </w:rPr>
              <w:t>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001102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前海开源国家比较优势灵活配置混合型证券投资基金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011870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w:t>
            </w:r>
            <w:r>
              <w:rPr>
                <w:rFonts w:ascii="宋体" w:eastAsia="宋体" w:hAnsi="宋体" w:cs="Segoe UI" w:hint="eastAsia"/>
                <w:color w:val="000000"/>
                <w:kern w:val="0"/>
                <w:sz w:val="22"/>
                <w:szCs w:val="22"/>
              </w:rPr>
              <w:t>海</w:t>
            </w:r>
            <w:r>
              <w:rPr>
                <w:rFonts w:ascii="宋体" w:eastAsia="宋体" w:hAnsi="宋体" w:cs="Segoe UI" w:hint="eastAsia"/>
                <w:color w:val="000000"/>
                <w:kern w:val="0"/>
                <w:sz w:val="22"/>
                <w:szCs w:val="22"/>
              </w:rPr>
              <w:t>开源国家比较优势灵活配置混合型证券投资基金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49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002407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前海开源恒远灵活配置混合型证券投资基金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002666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前海开源沪港深创新成长灵活配置混合型证券投资基金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002667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前海开源沪港深创新成长灵活配置混合型证券投资基金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002662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前海开源沪港深大消费主题精选灵活配置混合型证券投资基金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002663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前海开源沪港深大消费主题精选灵活配置混合型证券投资基金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003993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前海开源沪港深核心驱动灵活配置混合型证券投资基金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003304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前海开源沪港深核心资源灵活配置混合型证券投资基金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003305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前海开源沪港深核心资源灵活配置混合型证券投资基金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001942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前海开源沪港深汇鑫灵活配置混合型</w:t>
            </w:r>
            <w:r>
              <w:rPr>
                <w:rFonts w:ascii="宋体" w:eastAsia="宋体" w:hAnsi="宋体" w:cs="Segoe UI" w:hint="eastAsia"/>
                <w:color w:val="000000"/>
                <w:kern w:val="0"/>
                <w:sz w:val="22"/>
                <w:szCs w:val="22"/>
              </w:rPr>
              <w:t>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001943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前海开源沪港深汇鑫灵活配置混合型证券投资基金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59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001874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前海开源沪港深价值精选灵活配置混合型证券投资基金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004099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前海开源沪港深景气行业精选灵活配置混合型证券投资基金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001837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前海开源沪港深蓝筹精选灵活配置混合型证券投资基金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w:t>
            </w:r>
            <w:r>
              <w:rPr>
                <w:rFonts w:ascii="宋体" w:eastAsia="宋体" w:hAnsi="宋体" w:cs="Segoe UI"/>
                <w:color w:val="000000"/>
                <w:kern w:val="0"/>
                <w:sz w:val="22"/>
                <w:szCs w:val="22"/>
              </w:rPr>
              <w:t>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012711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前海开源沪港深蓝筹精选灵活配置混合型证券投资基金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004320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前海开源沪港深乐享生活灵活配置混合型证券投资基金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002443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前海开源沪港深龙头精选灵活配置混合型证券投资基金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018006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前海开源沪港深龙头精选灵活配置混合型证券投资基金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001901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前海开源沪港深隆鑫灵活配置</w:t>
            </w:r>
            <w:r>
              <w:rPr>
                <w:rFonts w:ascii="宋体" w:eastAsia="宋体" w:hAnsi="宋体" w:cs="Segoe UI" w:hint="eastAsia"/>
                <w:color w:val="000000"/>
                <w:kern w:val="0"/>
                <w:sz w:val="22"/>
                <w:szCs w:val="22"/>
              </w:rPr>
              <w:t>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001902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前海开源沪港深隆鑫灵活配置混合型证券投资基金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004321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前海开源沪港深强国产业灵活配置混合型证券投资基金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69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002860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前海开源沪港深新机遇灵活配置混合型证券投资基金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017929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前海开源沪港深新机遇灵活配置混合型证券投资基金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w:t>
            </w:r>
            <w:r>
              <w:rPr>
                <w:rFonts w:ascii="宋体" w:eastAsia="宋体" w:hAnsi="宋体" w:cs="Segoe UI"/>
                <w:color w:val="000000"/>
                <w:kern w:val="0"/>
                <w:sz w:val="22"/>
                <w:szCs w:val="22"/>
              </w:rPr>
              <w:t>04314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前海开源沪港深新硬件主题灵活配置混合型证券投资基金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004315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前海开源沪港深新硬件主题灵活配置混合型证券投资基金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001875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前海开源沪港深优势精选灵活配置混合型证券投资基金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011871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前海开源沪港深优势精选灵活配置混合型证券投资基金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004316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前海开源沪港深裕鑫灵活配置混合型证券投资</w:t>
            </w:r>
            <w:r>
              <w:rPr>
                <w:rFonts w:ascii="宋体" w:eastAsia="宋体" w:hAnsi="宋体" w:cs="Segoe UI" w:hint="eastAsia"/>
                <w:color w:val="000000"/>
                <w:kern w:val="0"/>
                <w:sz w:val="22"/>
                <w:szCs w:val="22"/>
              </w:rPr>
              <w:t>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004317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前海开源沪港深裕鑫灵活配置混合型证券投资基金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025188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前海开源沪港深裕鑫灵活配置混合型证券投资基金</w:t>
            </w:r>
            <w:r>
              <w:rPr>
                <w:rFonts w:ascii="宋体" w:eastAsia="宋体" w:hAnsi="宋体" w:cs="Segoe UI"/>
                <w:color w:val="000000"/>
                <w:kern w:val="0"/>
                <w:sz w:val="22"/>
                <w:szCs w:val="22"/>
              </w:rPr>
              <w:t>(D</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001972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前海开源沪港深智慧生活优选灵活配置混合型证券投资基金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79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001765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前海开源嘉鑫灵活配置混合型证券投资基金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001770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w:t>
            </w:r>
            <w:r>
              <w:rPr>
                <w:rFonts w:ascii="宋体" w:eastAsia="宋体" w:hAnsi="宋体" w:cs="Segoe UI" w:hint="eastAsia"/>
                <w:color w:val="000000"/>
                <w:kern w:val="0"/>
                <w:sz w:val="22"/>
                <w:szCs w:val="22"/>
              </w:rPr>
              <w:t>嘉鑫灵活配置混合型证券投资基金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006216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前海开源价值成长灵活配置混合型证券投资基金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006217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前海开源价值成长灵活配置混合型证券投资基金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001302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前海开源金银珠宝主题精选灵活配置混合型证券投资基金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002207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前海开源金银珠宝主题精选灵活配置混合型证券投资基金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w:t>
            </w:r>
            <w:r>
              <w:rPr>
                <w:rFonts w:ascii="宋体" w:eastAsia="宋体" w:hAnsi="宋体" w:cs="Segoe UI"/>
                <w:color w:val="000000"/>
                <w:kern w:val="0"/>
                <w:sz w:val="22"/>
                <w:szCs w:val="22"/>
              </w:rPr>
              <w:t>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002495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前海开源量化优选灵活配置混合型证券投资基金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002496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前海开源量化优选灵活配置混合型证券投资基金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001278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前海开源清洁能源主题精选灵活配置混合型证券投资基金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002360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前海开源清洁能源主题精选灵活配置混合型证券投资基金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89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001986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前海开源人工智能主题灵活配置混合</w:t>
            </w:r>
            <w:r>
              <w:rPr>
                <w:rFonts w:ascii="宋体" w:eastAsia="宋体" w:hAnsi="宋体" w:cs="Segoe UI" w:hint="eastAsia"/>
                <w:color w:val="000000"/>
                <w:kern w:val="0"/>
                <w:sz w:val="22"/>
                <w:szCs w:val="22"/>
              </w:rPr>
              <w:t>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023286</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前海开源人工智能主题灵活配置混合型证券投资基金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005541</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前海开源盛鑫灵活配置混合型证券投资基金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005542</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前海开源盛鑫灵活配置混合型证券投资基金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000423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前海开源事件驱动灵活配置混合型发起式证券投资基金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001865</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前海开源事件驱动灵活配置混合型发起式证券投资基金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000689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前海开源新经济灵活配置混合型证券投资基金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96</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013157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前海开源新经济灵活配置混合型证券投资基金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97</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001209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前海开源一带一路主题精选灵活配置混合型证券投资基金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98</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002080</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前海开源一带一路主题精选灵活配置混合型证券投资基金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w:t>
            </w:r>
            <w:r>
              <w:rPr>
                <w:rFonts w:ascii="宋体" w:eastAsia="宋体" w:hAnsi="宋体" w:cs="Segoe UI"/>
                <w:color w:val="000000"/>
                <w:kern w:val="0"/>
                <w:sz w:val="22"/>
                <w:szCs w:val="22"/>
              </w:rPr>
              <w:t>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99</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004453</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前海开源盈鑫灵活配置混合型证券投资基金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100</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004454</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前海开源盈鑫灵活配置混合型证券投资基金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101</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000788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color w:val="000000"/>
                <w:kern w:val="0"/>
                <w:sz w:val="22"/>
                <w:szCs w:val="22"/>
              </w:rPr>
              <w:t>前海开源中国成长灵活配置混合型证券投资基金</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102</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001679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前海开源中国稀缺资产灵活配置混合型证券投资基金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103</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002079</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前海开源中国稀缺资产灵活配置混合型证</w:t>
            </w:r>
            <w:r>
              <w:rPr>
                <w:rFonts w:ascii="宋体" w:eastAsia="宋体" w:hAnsi="宋体" w:cs="Segoe UI" w:hint="eastAsia"/>
                <w:color w:val="000000"/>
                <w:kern w:val="0"/>
                <w:sz w:val="22"/>
                <w:szCs w:val="22"/>
              </w:rPr>
              <w:t>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104</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003857</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前海开源周期优选灵活配置混合型证券投资基金</w:t>
            </w:r>
            <w:r>
              <w:rPr>
                <w:rFonts w:ascii="宋体" w:eastAsia="宋体" w:hAnsi="宋体" w:cs="Segoe UI"/>
                <w:color w:val="000000"/>
                <w:kern w:val="0"/>
                <w:sz w:val="22"/>
                <w:szCs w:val="22"/>
              </w:rPr>
              <w:t>(A</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r w:rsidR="00000000">
        <w:trPr>
          <w:cantSplit/>
          <w:trHeight w:val="288"/>
          <w:jc w:val="center"/>
        </w:trPr>
        <w:tc>
          <w:tcPr>
            <w:tcW w:w="709"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105</w:t>
            </w:r>
          </w:p>
        </w:tc>
        <w:tc>
          <w:tcPr>
            <w:tcW w:w="1277"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003858</w:t>
            </w:r>
          </w:p>
        </w:tc>
        <w:tc>
          <w:tcPr>
            <w:tcW w:w="4110" w:type="dxa"/>
            <w:noWrap/>
            <w:vAlign w:val="center"/>
          </w:tcPr>
          <w:p w:rsidR="00000000" w:rsidRDefault="006F0B29">
            <w:pPr>
              <w:widowControl/>
              <w:jc w:val="left"/>
              <w:rPr>
                <w:rFonts w:ascii="宋体" w:eastAsia="宋体" w:hAnsi="宋体" w:cs="Segoe UI"/>
                <w:color w:val="000000"/>
                <w:kern w:val="0"/>
                <w:sz w:val="22"/>
                <w:szCs w:val="22"/>
              </w:rPr>
            </w:pPr>
            <w:r>
              <w:rPr>
                <w:rFonts w:ascii="宋体" w:eastAsia="宋体" w:hAnsi="宋体" w:cs="Segoe UI" w:hint="eastAsia"/>
                <w:color w:val="000000"/>
                <w:kern w:val="0"/>
                <w:sz w:val="22"/>
                <w:szCs w:val="22"/>
              </w:rPr>
              <w:t>前海开源周期优选灵活配置混合型证券投资基金</w:t>
            </w:r>
            <w:r>
              <w:rPr>
                <w:rFonts w:ascii="宋体" w:eastAsia="宋体" w:hAnsi="宋体" w:cs="Segoe UI"/>
                <w:color w:val="000000"/>
                <w:kern w:val="0"/>
                <w:sz w:val="22"/>
                <w:szCs w:val="22"/>
              </w:rPr>
              <w:t>(C</w:t>
            </w:r>
            <w:r>
              <w:rPr>
                <w:rFonts w:ascii="宋体" w:eastAsia="宋体" w:hAnsi="宋体" w:cs="Segoe UI" w:hint="eastAsia"/>
                <w:color w:val="000000"/>
                <w:kern w:val="0"/>
                <w:sz w:val="22"/>
                <w:szCs w:val="22"/>
              </w:rPr>
              <w:t>类</w:t>
            </w:r>
            <w:r>
              <w:rPr>
                <w:rFonts w:ascii="宋体" w:eastAsia="宋体" w:hAnsi="宋体" w:cs="Segoe UI"/>
                <w:color w:val="000000"/>
                <w:kern w:val="0"/>
                <w:sz w:val="22"/>
                <w:szCs w:val="22"/>
              </w:rPr>
              <w:t>)</w:t>
            </w:r>
          </w:p>
        </w:tc>
        <w:tc>
          <w:tcPr>
            <w:tcW w:w="1701"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R3</w:t>
            </w:r>
            <w:r>
              <w:rPr>
                <w:rFonts w:ascii="宋体" w:eastAsia="宋体" w:hAnsi="宋体" w:cs="Segoe UI"/>
                <w:color w:val="000000"/>
                <w:kern w:val="0"/>
                <w:sz w:val="22"/>
                <w:szCs w:val="22"/>
              </w:rPr>
              <w:t>（中风险）</w:t>
            </w:r>
          </w:p>
        </w:tc>
        <w:tc>
          <w:tcPr>
            <w:tcW w:w="1610" w:type="dxa"/>
            <w:noWrap/>
            <w:vAlign w:val="center"/>
          </w:tcPr>
          <w:p w:rsidR="00000000" w:rsidRDefault="006F0B29">
            <w:pPr>
              <w:widowControl/>
              <w:jc w:val="center"/>
              <w:rPr>
                <w:rFonts w:ascii="宋体" w:eastAsia="宋体" w:hAnsi="宋体" w:cs="Segoe UI"/>
                <w:color w:val="000000"/>
                <w:kern w:val="0"/>
                <w:sz w:val="22"/>
                <w:szCs w:val="22"/>
              </w:rPr>
            </w:pPr>
            <w:r>
              <w:rPr>
                <w:rFonts w:ascii="宋体" w:eastAsia="宋体" w:hAnsi="宋体" w:cs="Segoe UI"/>
                <w:color w:val="000000"/>
                <w:kern w:val="0"/>
                <w:sz w:val="22"/>
                <w:szCs w:val="22"/>
              </w:rPr>
              <w:t>R4</w:t>
            </w:r>
            <w:r>
              <w:rPr>
                <w:rFonts w:ascii="宋体" w:eastAsia="宋体" w:hAnsi="宋体" w:cs="Segoe UI"/>
                <w:color w:val="000000"/>
                <w:kern w:val="0"/>
                <w:sz w:val="22"/>
                <w:szCs w:val="22"/>
              </w:rPr>
              <w:t>（中高风险）</w:t>
            </w:r>
          </w:p>
        </w:tc>
      </w:tr>
    </w:tbl>
    <w:p w:rsidR="00000000" w:rsidRDefault="006F0B29">
      <w:pPr>
        <w:adjustRightInd w:val="0"/>
        <w:snapToGrid w:val="0"/>
        <w:spacing w:line="360" w:lineRule="auto"/>
        <w:rPr>
          <w:rFonts w:ascii="宋体" w:eastAsia="宋体" w:hAnsi="宋体" w:hint="eastAsia"/>
          <w:sz w:val="24"/>
          <w:szCs w:val="21"/>
        </w:rPr>
      </w:pPr>
    </w:p>
    <w:p w:rsidR="00000000" w:rsidRDefault="006F0B29">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银河证券的公募基金产品适当性风险等级划分方法与说明、本公司所有公募基金的风险等级已在官网（</w:t>
      </w:r>
      <w:hyperlink r:id="rId7" w:history="1">
        <w:r>
          <w:rPr>
            <w:rStyle w:val="af0"/>
            <w:rFonts w:ascii="宋体" w:eastAsia="宋体" w:hAnsi="宋体" w:hint="eastAsia"/>
            <w:sz w:val="24"/>
            <w:szCs w:val="21"/>
          </w:rPr>
          <w:t>www.qhkyfund.com</w:t>
        </w:r>
      </w:hyperlink>
      <w:r>
        <w:rPr>
          <w:rFonts w:ascii="宋体" w:eastAsia="宋体" w:hAnsi="宋体" w:hint="eastAsia"/>
          <w:sz w:val="24"/>
          <w:szCs w:val="21"/>
        </w:rPr>
        <w:t>）公布，投资者可登录官网查询、了解，</w:t>
      </w:r>
      <w:r>
        <w:rPr>
          <w:rFonts w:ascii="宋体" w:eastAsia="宋体" w:hAnsi="宋体" w:hint="eastAsia"/>
          <w:sz w:val="24"/>
          <w:szCs w:val="21"/>
        </w:rPr>
        <w:t>或拨打客户服务电话（</w:t>
      </w:r>
      <w:r>
        <w:rPr>
          <w:rFonts w:ascii="宋体" w:eastAsia="宋体" w:hAnsi="宋体" w:hint="eastAsia"/>
          <w:sz w:val="24"/>
          <w:szCs w:val="21"/>
        </w:rPr>
        <w:t>4001-666-998)</w:t>
      </w:r>
      <w:r>
        <w:rPr>
          <w:rFonts w:ascii="宋体" w:eastAsia="宋体" w:hAnsi="宋体" w:hint="eastAsia"/>
          <w:sz w:val="24"/>
          <w:szCs w:val="21"/>
        </w:rPr>
        <w:t>咨询相关情况。</w:t>
      </w:r>
    </w:p>
    <w:p w:rsidR="00000000" w:rsidRDefault="006F0B29">
      <w:pPr>
        <w:adjustRightInd w:val="0"/>
        <w:snapToGrid w:val="0"/>
        <w:spacing w:line="360" w:lineRule="auto"/>
        <w:rPr>
          <w:sz w:val="24"/>
          <w:szCs w:val="21"/>
        </w:rPr>
      </w:pPr>
    </w:p>
    <w:p w:rsidR="00000000" w:rsidRDefault="006F0B29">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风险提示：</w:t>
      </w:r>
    </w:p>
    <w:p w:rsidR="00000000" w:rsidRDefault="006F0B29">
      <w:pPr>
        <w:numPr>
          <w:ilvl w:val="0"/>
          <w:numId w:val="1"/>
        </w:numPr>
        <w:adjustRightInd w:val="0"/>
        <w:snapToGrid w:val="0"/>
        <w:spacing w:line="360" w:lineRule="auto"/>
        <w:ind w:left="0" w:firstLineChars="200" w:firstLine="480"/>
        <w:jc w:val="left"/>
        <w:rPr>
          <w:rFonts w:ascii="宋体" w:eastAsia="宋体" w:hAnsi="宋体"/>
          <w:sz w:val="24"/>
          <w:szCs w:val="21"/>
        </w:rPr>
      </w:pPr>
      <w:r>
        <w:rPr>
          <w:rFonts w:ascii="宋体" w:eastAsia="宋体" w:hAnsi="宋体" w:hint="eastAsia"/>
          <w:sz w:val="24"/>
          <w:szCs w:val="21"/>
        </w:rPr>
        <w:t>销售机构</w:t>
      </w:r>
      <w:r>
        <w:rPr>
          <w:rFonts w:ascii="宋体" w:eastAsia="宋体" w:hAnsi="宋体"/>
          <w:sz w:val="24"/>
          <w:szCs w:val="21"/>
        </w:rPr>
        <w:t>（包括基金管理人直销机构和代销机构）</w:t>
      </w:r>
      <w:r>
        <w:rPr>
          <w:rFonts w:ascii="宋体" w:eastAsia="宋体" w:hAnsi="宋体" w:hint="eastAsia"/>
          <w:sz w:val="24"/>
          <w:szCs w:val="21"/>
        </w:rPr>
        <w:t>根据投资者适当性法律法规对基金进行风险评价，不同的销售机构采用的评价方法不同，因此不同销售机构对基金的风险等级评价结果可能存在不同。</w:t>
      </w:r>
    </w:p>
    <w:p w:rsidR="00000000" w:rsidRDefault="006F0B29">
      <w:pPr>
        <w:numPr>
          <w:ilvl w:val="0"/>
          <w:numId w:val="1"/>
        </w:numPr>
        <w:adjustRightInd w:val="0"/>
        <w:snapToGrid w:val="0"/>
        <w:spacing w:line="360" w:lineRule="auto"/>
        <w:ind w:left="0" w:firstLineChars="200" w:firstLine="480"/>
        <w:jc w:val="left"/>
        <w:rPr>
          <w:rFonts w:ascii="宋体" w:eastAsia="宋体" w:hAnsi="宋体"/>
          <w:sz w:val="24"/>
          <w:szCs w:val="21"/>
        </w:rPr>
      </w:pPr>
      <w:r>
        <w:rPr>
          <w:rFonts w:ascii="宋体" w:eastAsia="宋体" w:hAnsi="宋体"/>
          <w:sz w:val="24"/>
          <w:szCs w:val="21"/>
        </w:rPr>
        <w:t>投资者购买基金后</w:t>
      </w:r>
      <w:r>
        <w:rPr>
          <w:rFonts w:ascii="宋体" w:eastAsia="宋体" w:hAnsi="宋体" w:hint="eastAsia"/>
          <w:sz w:val="24"/>
          <w:szCs w:val="21"/>
        </w:rPr>
        <w:t>，</w:t>
      </w:r>
      <w:r>
        <w:rPr>
          <w:rFonts w:ascii="宋体" w:eastAsia="宋体" w:hAnsi="宋体"/>
          <w:sz w:val="24"/>
          <w:szCs w:val="21"/>
        </w:rPr>
        <w:t>所购买的基金产品风险等级可能因市场或运作情况等影响而发生调整</w:t>
      </w:r>
      <w:r>
        <w:rPr>
          <w:rFonts w:ascii="宋体" w:eastAsia="宋体" w:hAnsi="宋体" w:hint="eastAsia"/>
          <w:sz w:val="24"/>
          <w:szCs w:val="21"/>
        </w:rPr>
        <w:t>，</w:t>
      </w:r>
      <w:r>
        <w:rPr>
          <w:rFonts w:ascii="宋体" w:eastAsia="宋体" w:hAnsi="宋体"/>
          <w:sz w:val="24"/>
          <w:szCs w:val="21"/>
        </w:rPr>
        <w:t>并可能超出投资者自身风险承受能力</w:t>
      </w:r>
      <w:r>
        <w:rPr>
          <w:rFonts w:ascii="宋体" w:eastAsia="宋体" w:hAnsi="宋体" w:hint="eastAsia"/>
          <w:sz w:val="24"/>
          <w:szCs w:val="21"/>
        </w:rPr>
        <w:t>，</w:t>
      </w:r>
      <w:r>
        <w:rPr>
          <w:rFonts w:ascii="宋体" w:eastAsia="宋体" w:hAnsi="宋体"/>
          <w:sz w:val="24"/>
          <w:szCs w:val="21"/>
        </w:rPr>
        <w:t>从而可能产生不利后果和损失</w:t>
      </w:r>
      <w:r>
        <w:rPr>
          <w:rFonts w:ascii="宋体" w:eastAsia="宋体" w:hAnsi="宋体" w:hint="eastAsia"/>
          <w:sz w:val="24"/>
          <w:szCs w:val="21"/>
        </w:rPr>
        <w:t>。</w:t>
      </w:r>
      <w:r>
        <w:rPr>
          <w:rFonts w:ascii="宋体" w:eastAsia="宋体" w:hAnsi="宋体"/>
          <w:sz w:val="24"/>
          <w:szCs w:val="21"/>
        </w:rPr>
        <w:t>投资者应及时关注基金风险等级的变化并谨慎决策</w:t>
      </w:r>
      <w:r>
        <w:rPr>
          <w:rFonts w:ascii="宋体" w:eastAsia="宋体" w:hAnsi="宋体" w:hint="eastAsia"/>
          <w:sz w:val="24"/>
          <w:szCs w:val="21"/>
        </w:rPr>
        <w:t>，</w:t>
      </w:r>
      <w:r>
        <w:rPr>
          <w:rFonts w:ascii="宋体" w:eastAsia="宋体" w:hAnsi="宋体"/>
          <w:sz w:val="24"/>
          <w:szCs w:val="21"/>
        </w:rPr>
        <w:t>以确保自身的投资决策与风险承受能力相匹配</w:t>
      </w:r>
      <w:r>
        <w:rPr>
          <w:rFonts w:ascii="宋体" w:eastAsia="宋体" w:hAnsi="宋体" w:hint="eastAsia"/>
          <w:sz w:val="24"/>
          <w:szCs w:val="21"/>
        </w:rPr>
        <w:t>。</w:t>
      </w:r>
    </w:p>
    <w:p w:rsidR="00000000" w:rsidRDefault="006F0B29">
      <w:pPr>
        <w:numPr>
          <w:ilvl w:val="0"/>
          <w:numId w:val="1"/>
        </w:numPr>
        <w:adjustRightInd w:val="0"/>
        <w:snapToGrid w:val="0"/>
        <w:spacing w:line="360" w:lineRule="auto"/>
        <w:ind w:left="0" w:firstLineChars="200" w:firstLine="480"/>
        <w:jc w:val="left"/>
        <w:rPr>
          <w:rFonts w:ascii="宋体" w:eastAsia="宋体" w:hAnsi="宋体"/>
          <w:sz w:val="24"/>
          <w:szCs w:val="21"/>
        </w:rPr>
      </w:pPr>
      <w:r>
        <w:rPr>
          <w:rFonts w:ascii="宋体" w:eastAsia="宋体" w:hAnsi="宋体"/>
          <w:sz w:val="24"/>
          <w:szCs w:val="21"/>
        </w:rPr>
        <w:t>基金管理人承诺以诚实信用</w:t>
      </w:r>
      <w:r>
        <w:rPr>
          <w:rFonts w:ascii="宋体" w:eastAsia="宋体" w:hAnsi="宋体" w:hint="eastAsia"/>
          <w:sz w:val="24"/>
          <w:szCs w:val="21"/>
        </w:rPr>
        <w:t>、</w:t>
      </w:r>
      <w:r>
        <w:rPr>
          <w:rFonts w:ascii="宋体" w:eastAsia="宋体" w:hAnsi="宋体"/>
          <w:sz w:val="24"/>
          <w:szCs w:val="21"/>
        </w:rPr>
        <w:t>勤勉尽责的原则管理和运用基金资产</w:t>
      </w:r>
      <w:r>
        <w:rPr>
          <w:rFonts w:ascii="宋体" w:eastAsia="宋体" w:hAnsi="宋体" w:hint="eastAsia"/>
          <w:sz w:val="24"/>
          <w:szCs w:val="21"/>
        </w:rPr>
        <w:t>，</w:t>
      </w:r>
      <w:r>
        <w:rPr>
          <w:rFonts w:ascii="宋体" w:eastAsia="宋体" w:hAnsi="宋体"/>
          <w:sz w:val="24"/>
          <w:szCs w:val="21"/>
        </w:rPr>
        <w:t>但不保证基金一定盈利</w:t>
      </w:r>
      <w:r>
        <w:rPr>
          <w:rFonts w:ascii="宋体" w:eastAsia="宋体" w:hAnsi="宋体" w:hint="eastAsia"/>
          <w:sz w:val="24"/>
          <w:szCs w:val="21"/>
        </w:rPr>
        <w:t>，</w:t>
      </w:r>
      <w:r>
        <w:rPr>
          <w:rFonts w:ascii="宋体" w:eastAsia="宋体" w:hAnsi="宋体"/>
          <w:sz w:val="24"/>
          <w:szCs w:val="21"/>
        </w:rPr>
        <w:t>也不保证最低收益</w:t>
      </w:r>
      <w:r>
        <w:rPr>
          <w:rFonts w:ascii="宋体" w:eastAsia="宋体" w:hAnsi="宋体" w:hint="eastAsia"/>
          <w:sz w:val="24"/>
          <w:szCs w:val="21"/>
        </w:rPr>
        <w:t>。基金的过往业绩及其净值高低并不预示其未来业绩表现。</w:t>
      </w:r>
      <w:r>
        <w:rPr>
          <w:rFonts w:ascii="宋体" w:eastAsia="宋体" w:hAnsi="宋体"/>
          <w:sz w:val="24"/>
          <w:szCs w:val="21"/>
        </w:rPr>
        <w:t>投资者作出投资决策前应认真阅读基金合同</w:t>
      </w:r>
      <w:r>
        <w:rPr>
          <w:rFonts w:ascii="宋体" w:eastAsia="宋体" w:hAnsi="宋体" w:hint="eastAsia"/>
          <w:sz w:val="24"/>
          <w:szCs w:val="21"/>
        </w:rPr>
        <w:t>、</w:t>
      </w:r>
      <w:r>
        <w:rPr>
          <w:rFonts w:ascii="宋体" w:eastAsia="宋体" w:hAnsi="宋体"/>
          <w:sz w:val="24"/>
          <w:szCs w:val="21"/>
        </w:rPr>
        <w:t>招募说明书</w:t>
      </w:r>
      <w:r>
        <w:rPr>
          <w:rFonts w:ascii="宋体" w:eastAsia="宋体" w:hAnsi="宋体" w:hint="eastAsia"/>
          <w:sz w:val="24"/>
          <w:szCs w:val="21"/>
        </w:rPr>
        <w:t>、</w:t>
      </w:r>
      <w:r>
        <w:rPr>
          <w:rFonts w:ascii="宋体" w:eastAsia="宋体" w:hAnsi="宋体"/>
          <w:sz w:val="24"/>
          <w:szCs w:val="21"/>
        </w:rPr>
        <w:t>基金产品资料概要等法律文件及相关公告</w:t>
      </w:r>
      <w:r>
        <w:rPr>
          <w:rFonts w:ascii="宋体" w:eastAsia="宋体" w:hAnsi="宋体" w:hint="eastAsia"/>
          <w:sz w:val="24"/>
          <w:szCs w:val="21"/>
        </w:rPr>
        <w:t>，了解所投资基金的风险收益特征，并根据自身风险承受能力选择适合自</w:t>
      </w:r>
      <w:r>
        <w:rPr>
          <w:rFonts w:ascii="宋体" w:eastAsia="宋体" w:hAnsi="宋体" w:hint="eastAsia"/>
          <w:sz w:val="24"/>
          <w:szCs w:val="21"/>
        </w:rPr>
        <w:t>己的基金产品。敬请投资者注意投资风险。</w:t>
      </w:r>
    </w:p>
    <w:p w:rsidR="00000000" w:rsidRDefault="006F0B29">
      <w:pPr>
        <w:adjustRightInd w:val="0"/>
        <w:snapToGrid w:val="0"/>
        <w:spacing w:line="360" w:lineRule="auto"/>
        <w:ind w:left="902"/>
        <w:jc w:val="left"/>
        <w:rPr>
          <w:rFonts w:ascii="宋体" w:eastAsia="宋体" w:hAnsi="宋体" w:hint="eastAsia"/>
          <w:sz w:val="24"/>
          <w:szCs w:val="21"/>
        </w:rPr>
      </w:pPr>
    </w:p>
    <w:p w:rsidR="00000000" w:rsidRDefault="006F0B29">
      <w:pPr>
        <w:adjustRightInd w:val="0"/>
        <w:snapToGrid w:val="0"/>
        <w:spacing w:line="360" w:lineRule="auto"/>
        <w:ind w:firstLineChars="200" w:firstLine="480"/>
        <w:rPr>
          <w:rFonts w:ascii="宋体" w:eastAsia="宋体" w:hAnsi="宋体"/>
          <w:sz w:val="24"/>
          <w:szCs w:val="21"/>
        </w:rPr>
      </w:pPr>
      <w:r>
        <w:rPr>
          <w:rFonts w:ascii="宋体" w:eastAsia="宋体" w:hAnsi="宋体"/>
          <w:sz w:val="24"/>
          <w:szCs w:val="21"/>
        </w:rPr>
        <w:t>特此公告</w:t>
      </w:r>
    </w:p>
    <w:p w:rsidR="00000000" w:rsidRDefault="006F0B29">
      <w:pPr>
        <w:adjustRightInd w:val="0"/>
        <w:snapToGrid w:val="0"/>
        <w:spacing w:line="360" w:lineRule="auto"/>
        <w:jc w:val="right"/>
        <w:rPr>
          <w:rFonts w:ascii="宋体" w:eastAsia="宋体" w:hAnsi="宋体"/>
          <w:sz w:val="24"/>
          <w:szCs w:val="21"/>
        </w:rPr>
      </w:pPr>
    </w:p>
    <w:p w:rsidR="00000000" w:rsidRDefault="006F0B29">
      <w:pPr>
        <w:adjustRightInd w:val="0"/>
        <w:snapToGrid w:val="0"/>
        <w:spacing w:line="360" w:lineRule="auto"/>
        <w:jc w:val="right"/>
        <w:rPr>
          <w:rFonts w:ascii="宋体" w:eastAsia="宋体" w:hAnsi="宋体"/>
          <w:sz w:val="24"/>
          <w:szCs w:val="21"/>
        </w:rPr>
      </w:pPr>
      <w:r>
        <w:rPr>
          <w:rFonts w:ascii="宋体" w:eastAsia="宋体" w:hAnsi="宋体" w:hint="eastAsia"/>
          <w:sz w:val="24"/>
          <w:szCs w:val="21"/>
        </w:rPr>
        <w:t>前海开源</w:t>
      </w:r>
      <w:r>
        <w:rPr>
          <w:rFonts w:ascii="宋体" w:eastAsia="宋体" w:hAnsi="宋体"/>
          <w:sz w:val="24"/>
          <w:szCs w:val="21"/>
        </w:rPr>
        <w:t>基金管理有限公司</w:t>
      </w:r>
    </w:p>
    <w:p w:rsidR="000C5E36" w:rsidRDefault="006F0B29">
      <w:pPr>
        <w:adjustRightInd w:val="0"/>
        <w:snapToGrid w:val="0"/>
        <w:spacing w:line="360" w:lineRule="auto"/>
        <w:jc w:val="right"/>
        <w:rPr>
          <w:rFonts w:ascii="宋体" w:eastAsia="宋体" w:hAnsi="宋体"/>
          <w:sz w:val="24"/>
          <w:szCs w:val="21"/>
        </w:rPr>
      </w:pPr>
      <w:r>
        <w:rPr>
          <w:rFonts w:ascii="宋体" w:eastAsia="宋体" w:hAnsi="宋体" w:hint="eastAsia"/>
          <w:color w:val="000000"/>
          <w:sz w:val="24"/>
        </w:rPr>
        <w:t>二〇二五年十一月二十日</w:t>
      </w:r>
    </w:p>
    <w:sectPr w:rsidR="000C5E36">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E36" w:rsidRDefault="000C5E36">
      <w:r>
        <w:separator/>
      </w:r>
    </w:p>
  </w:endnote>
  <w:endnote w:type="continuationSeparator" w:id="0">
    <w:p w:rsidR="000C5E36" w:rsidRDefault="000C5E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黑体t.祯畴.">
    <w:altName w:val="黑体"/>
    <w:charset w:val="86"/>
    <w:family w:val="swiss"/>
    <w:pitch w:val="default"/>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E36" w:rsidRDefault="000C5E36">
      <w:r>
        <w:separator/>
      </w:r>
    </w:p>
  </w:footnote>
  <w:footnote w:type="continuationSeparator" w:id="0">
    <w:p w:rsidR="000C5E36" w:rsidRDefault="000C5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F0B29">
    <w:pPr>
      <w:pStyle w:val="a9"/>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00.5pt;height:24.75pt;mso-position-horizontal-relative:page;mso-position-vertical-relative:page">
          <v:imagedata r:id="rId1" o:title=""/>
        </v:shape>
      </w:pict>
    </w:r>
    <w:r>
      <w:rPr>
        <w:rFonts w:hint="eastAsia"/>
      </w:rPr>
      <w:tab/>
    </w:r>
    <w:r>
      <w:rPr>
        <w:rFonts w:hint="eastAsia"/>
      </w:rPr>
      <w:tab/>
    </w:r>
    <w:r>
      <w:rPr>
        <w:rFonts w:hint="eastAsia"/>
      </w:rPr>
      <w:t>临时公告</w:t>
    </w:r>
  </w:p>
  <w:p w:rsidR="00000000" w:rsidRDefault="006F0B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15402"/>
    <w:multiLevelType w:val="multilevel"/>
    <w:tmpl w:val="4251540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3D2"/>
    <w:rsid w:val="00014910"/>
    <w:rsid w:val="00020463"/>
    <w:rsid w:val="00022B8B"/>
    <w:rsid w:val="00024422"/>
    <w:rsid w:val="00025113"/>
    <w:rsid w:val="00025FD2"/>
    <w:rsid w:val="0003221B"/>
    <w:rsid w:val="000356F4"/>
    <w:rsid w:val="000409D4"/>
    <w:rsid w:val="00050A93"/>
    <w:rsid w:val="00065F1E"/>
    <w:rsid w:val="00067E47"/>
    <w:rsid w:val="000709F7"/>
    <w:rsid w:val="00074002"/>
    <w:rsid w:val="00095362"/>
    <w:rsid w:val="00095FBF"/>
    <w:rsid w:val="000A72B8"/>
    <w:rsid w:val="000A793D"/>
    <w:rsid w:val="000A79F1"/>
    <w:rsid w:val="000B3AD8"/>
    <w:rsid w:val="000C5E36"/>
    <w:rsid w:val="000D5F58"/>
    <w:rsid w:val="000E7594"/>
    <w:rsid w:val="0010134F"/>
    <w:rsid w:val="0010317D"/>
    <w:rsid w:val="00103ABB"/>
    <w:rsid w:val="0010785B"/>
    <w:rsid w:val="001201CF"/>
    <w:rsid w:val="001255DE"/>
    <w:rsid w:val="00146278"/>
    <w:rsid w:val="0015236D"/>
    <w:rsid w:val="00153D9E"/>
    <w:rsid w:val="001A374A"/>
    <w:rsid w:val="001A62AB"/>
    <w:rsid w:val="001B0855"/>
    <w:rsid w:val="001B534D"/>
    <w:rsid w:val="001D3E65"/>
    <w:rsid w:val="00204D25"/>
    <w:rsid w:val="00206B0A"/>
    <w:rsid w:val="0020780E"/>
    <w:rsid w:val="0021258F"/>
    <w:rsid w:val="00221582"/>
    <w:rsid w:val="002279D0"/>
    <w:rsid w:val="0024274C"/>
    <w:rsid w:val="0025702D"/>
    <w:rsid w:val="00260573"/>
    <w:rsid w:val="00262922"/>
    <w:rsid w:val="002653C3"/>
    <w:rsid w:val="00270B6B"/>
    <w:rsid w:val="00273108"/>
    <w:rsid w:val="00285F74"/>
    <w:rsid w:val="00297C97"/>
    <w:rsid w:val="002B25BF"/>
    <w:rsid w:val="002B43B4"/>
    <w:rsid w:val="002C5E37"/>
    <w:rsid w:val="002D4571"/>
    <w:rsid w:val="002D48E0"/>
    <w:rsid w:val="002D69DD"/>
    <w:rsid w:val="002D713A"/>
    <w:rsid w:val="002E1182"/>
    <w:rsid w:val="002F0CFD"/>
    <w:rsid w:val="002F39B7"/>
    <w:rsid w:val="003102C1"/>
    <w:rsid w:val="00324830"/>
    <w:rsid w:val="0032765D"/>
    <w:rsid w:val="003328E8"/>
    <w:rsid w:val="00340063"/>
    <w:rsid w:val="00340153"/>
    <w:rsid w:val="003469C4"/>
    <w:rsid w:val="00361E00"/>
    <w:rsid w:val="00371601"/>
    <w:rsid w:val="0037501E"/>
    <w:rsid w:val="00383E0A"/>
    <w:rsid w:val="00387BD3"/>
    <w:rsid w:val="003A11EC"/>
    <w:rsid w:val="003C65DD"/>
    <w:rsid w:val="003C77EA"/>
    <w:rsid w:val="003D23E2"/>
    <w:rsid w:val="003D7260"/>
    <w:rsid w:val="003E480A"/>
    <w:rsid w:val="003F07E9"/>
    <w:rsid w:val="00410E41"/>
    <w:rsid w:val="00422CAE"/>
    <w:rsid w:val="00426AA4"/>
    <w:rsid w:val="00434B9E"/>
    <w:rsid w:val="004518A8"/>
    <w:rsid w:val="0045191E"/>
    <w:rsid w:val="00452AFF"/>
    <w:rsid w:val="00460934"/>
    <w:rsid w:val="00462BDE"/>
    <w:rsid w:val="00465EF8"/>
    <w:rsid w:val="00467543"/>
    <w:rsid w:val="00484492"/>
    <w:rsid w:val="00486EC5"/>
    <w:rsid w:val="004900C2"/>
    <w:rsid w:val="0049281F"/>
    <w:rsid w:val="00497AF0"/>
    <w:rsid w:val="004A3F2E"/>
    <w:rsid w:val="004A4EDA"/>
    <w:rsid w:val="004B0B2C"/>
    <w:rsid w:val="004B60A9"/>
    <w:rsid w:val="004C19D8"/>
    <w:rsid w:val="004C4648"/>
    <w:rsid w:val="004C4AA8"/>
    <w:rsid w:val="004E094F"/>
    <w:rsid w:val="004E1AA5"/>
    <w:rsid w:val="004E2817"/>
    <w:rsid w:val="004E5AFC"/>
    <w:rsid w:val="004E6908"/>
    <w:rsid w:val="004E7289"/>
    <w:rsid w:val="004F23F5"/>
    <w:rsid w:val="004F4A0B"/>
    <w:rsid w:val="00501B85"/>
    <w:rsid w:val="005053C2"/>
    <w:rsid w:val="005064E2"/>
    <w:rsid w:val="00510C1B"/>
    <w:rsid w:val="00514488"/>
    <w:rsid w:val="00525F10"/>
    <w:rsid w:val="00531591"/>
    <w:rsid w:val="005374AE"/>
    <w:rsid w:val="00543505"/>
    <w:rsid w:val="00551015"/>
    <w:rsid w:val="005520FD"/>
    <w:rsid w:val="00563844"/>
    <w:rsid w:val="00566F8E"/>
    <w:rsid w:val="0057132C"/>
    <w:rsid w:val="0057212E"/>
    <w:rsid w:val="00575F94"/>
    <w:rsid w:val="005A16B7"/>
    <w:rsid w:val="005A2CE4"/>
    <w:rsid w:val="005B6660"/>
    <w:rsid w:val="005C6BBD"/>
    <w:rsid w:val="005E08CC"/>
    <w:rsid w:val="005F2324"/>
    <w:rsid w:val="00611AC3"/>
    <w:rsid w:val="00612C5A"/>
    <w:rsid w:val="006136FB"/>
    <w:rsid w:val="00622414"/>
    <w:rsid w:val="006251A0"/>
    <w:rsid w:val="006260FB"/>
    <w:rsid w:val="00630995"/>
    <w:rsid w:val="006354B9"/>
    <w:rsid w:val="00644923"/>
    <w:rsid w:val="00655E33"/>
    <w:rsid w:val="006636B8"/>
    <w:rsid w:val="006642B3"/>
    <w:rsid w:val="0066539B"/>
    <w:rsid w:val="00670067"/>
    <w:rsid w:val="006724A9"/>
    <w:rsid w:val="006908DA"/>
    <w:rsid w:val="006A7CEB"/>
    <w:rsid w:val="006A7D86"/>
    <w:rsid w:val="006B4670"/>
    <w:rsid w:val="006C394F"/>
    <w:rsid w:val="006C4B34"/>
    <w:rsid w:val="006D2965"/>
    <w:rsid w:val="006D5C5A"/>
    <w:rsid w:val="006D71D3"/>
    <w:rsid w:val="006E37A9"/>
    <w:rsid w:val="006F0B29"/>
    <w:rsid w:val="00723F59"/>
    <w:rsid w:val="007240A1"/>
    <w:rsid w:val="007314A0"/>
    <w:rsid w:val="007343D2"/>
    <w:rsid w:val="00737DA8"/>
    <w:rsid w:val="0074515A"/>
    <w:rsid w:val="007529FA"/>
    <w:rsid w:val="00754139"/>
    <w:rsid w:val="007553C7"/>
    <w:rsid w:val="00775221"/>
    <w:rsid w:val="0077716F"/>
    <w:rsid w:val="00787BF1"/>
    <w:rsid w:val="007904EB"/>
    <w:rsid w:val="00791FBD"/>
    <w:rsid w:val="007C3F5C"/>
    <w:rsid w:val="007D0151"/>
    <w:rsid w:val="007D4AE6"/>
    <w:rsid w:val="007E1FC7"/>
    <w:rsid w:val="007E2F56"/>
    <w:rsid w:val="007E5295"/>
    <w:rsid w:val="007F660F"/>
    <w:rsid w:val="007F732D"/>
    <w:rsid w:val="007F775D"/>
    <w:rsid w:val="008021FC"/>
    <w:rsid w:val="00806026"/>
    <w:rsid w:val="00810B13"/>
    <w:rsid w:val="00814728"/>
    <w:rsid w:val="00816035"/>
    <w:rsid w:val="0083276A"/>
    <w:rsid w:val="008351C1"/>
    <w:rsid w:val="00837538"/>
    <w:rsid w:val="008655F4"/>
    <w:rsid w:val="00870C84"/>
    <w:rsid w:val="00874319"/>
    <w:rsid w:val="008744B0"/>
    <w:rsid w:val="00886B7D"/>
    <w:rsid w:val="0089470B"/>
    <w:rsid w:val="008A5143"/>
    <w:rsid w:val="008B17D4"/>
    <w:rsid w:val="008B4DFC"/>
    <w:rsid w:val="008C683C"/>
    <w:rsid w:val="008D659E"/>
    <w:rsid w:val="008E1C17"/>
    <w:rsid w:val="00905835"/>
    <w:rsid w:val="00913A22"/>
    <w:rsid w:val="0092121F"/>
    <w:rsid w:val="00943827"/>
    <w:rsid w:val="0094617A"/>
    <w:rsid w:val="00947D55"/>
    <w:rsid w:val="00955863"/>
    <w:rsid w:val="009618F6"/>
    <w:rsid w:val="009637BC"/>
    <w:rsid w:val="00963EB4"/>
    <w:rsid w:val="00977E57"/>
    <w:rsid w:val="009934A5"/>
    <w:rsid w:val="009A384D"/>
    <w:rsid w:val="009B455B"/>
    <w:rsid w:val="009C1E7E"/>
    <w:rsid w:val="009D4C2E"/>
    <w:rsid w:val="009D7981"/>
    <w:rsid w:val="009E08DB"/>
    <w:rsid w:val="009E7C88"/>
    <w:rsid w:val="00A01771"/>
    <w:rsid w:val="00A13253"/>
    <w:rsid w:val="00A2100A"/>
    <w:rsid w:val="00A24B1C"/>
    <w:rsid w:val="00A30656"/>
    <w:rsid w:val="00A31AAD"/>
    <w:rsid w:val="00A458FF"/>
    <w:rsid w:val="00A46F4F"/>
    <w:rsid w:val="00A51F88"/>
    <w:rsid w:val="00A524F4"/>
    <w:rsid w:val="00A604C4"/>
    <w:rsid w:val="00A639EB"/>
    <w:rsid w:val="00A73C69"/>
    <w:rsid w:val="00A767A7"/>
    <w:rsid w:val="00A8163F"/>
    <w:rsid w:val="00AB5143"/>
    <w:rsid w:val="00AB62AA"/>
    <w:rsid w:val="00AC7A84"/>
    <w:rsid w:val="00AD68FC"/>
    <w:rsid w:val="00AD72AC"/>
    <w:rsid w:val="00AD7E4B"/>
    <w:rsid w:val="00AE5EC3"/>
    <w:rsid w:val="00AF06A7"/>
    <w:rsid w:val="00AF090A"/>
    <w:rsid w:val="00AF26FF"/>
    <w:rsid w:val="00B14150"/>
    <w:rsid w:val="00B17F77"/>
    <w:rsid w:val="00B26523"/>
    <w:rsid w:val="00B30631"/>
    <w:rsid w:val="00B37FD8"/>
    <w:rsid w:val="00B41F1D"/>
    <w:rsid w:val="00B561F2"/>
    <w:rsid w:val="00B63C67"/>
    <w:rsid w:val="00B6587F"/>
    <w:rsid w:val="00B72E44"/>
    <w:rsid w:val="00B84397"/>
    <w:rsid w:val="00B93F36"/>
    <w:rsid w:val="00B957CC"/>
    <w:rsid w:val="00B9775F"/>
    <w:rsid w:val="00BB14DA"/>
    <w:rsid w:val="00BB5C80"/>
    <w:rsid w:val="00BC71CF"/>
    <w:rsid w:val="00BD00C3"/>
    <w:rsid w:val="00BE179C"/>
    <w:rsid w:val="00BE30F1"/>
    <w:rsid w:val="00BF0AAF"/>
    <w:rsid w:val="00C04797"/>
    <w:rsid w:val="00C06066"/>
    <w:rsid w:val="00C10262"/>
    <w:rsid w:val="00C20571"/>
    <w:rsid w:val="00C3205D"/>
    <w:rsid w:val="00C3518B"/>
    <w:rsid w:val="00C36F9B"/>
    <w:rsid w:val="00C37115"/>
    <w:rsid w:val="00C415FE"/>
    <w:rsid w:val="00C47D9E"/>
    <w:rsid w:val="00C6044A"/>
    <w:rsid w:val="00C804F4"/>
    <w:rsid w:val="00C967AB"/>
    <w:rsid w:val="00CA7AC3"/>
    <w:rsid w:val="00CC4A69"/>
    <w:rsid w:val="00CC57E4"/>
    <w:rsid w:val="00CD3D4A"/>
    <w:rsid w:val="00CE4924"/>
    <w:rsid w:val="00CF6216"/>
    <w:rsid w:val="00D00C7B"/>
    <w:rsid w:val="00D02027"/>
    <w:rsid w:val="00D05892"/>
    <w:rsid w:val="00D11E64"/>
    <w:rsid w:val="00D24ACD"/>
    <w:rsid w:val="00D35823"/>
    <w:rsid w:val="00D42CCF"/>
    <w:rsid w:val="00D64766"/>
    <w:rsid w:val="00D65347"/>
    <w:rsid w:val="00D6652C"/>
    <w:rsid w:val="00D7302E"/>
    <w:rsid w:val="00D76BBF"/>
    <w:rsid w:val="00D8141F"/>
    <w:rsid w:val="00D935FF"/>
    <w:rsid w:val="00D97F72"/>
    <w:rsid w:val="00DA153A"/>
    <w:rsid w:val="00DB0AF4"/>
    <w:rsid w:val="00DB2E3A"/>
    <w:rsid w:val="00DB590E"/>
    <w:rsid w:val="00DC4751"/>
    <w:rsid w:val="00DD0886"/>
    <w:rsid w:val="00DD4D49"/>
    <w:rsid w:val="00DD771F"/>
    <w:rsid w:val="00DF45D2"/>
    <w:rsid w:val="00DF5222"/>
    <w:rsid w:val="00DF6F02"/>
    <w:rsid w:val="00E01DE6"/>
    <w:rsid w:val="00E124E2"/>
    <w:rsid w:val="00E1693B"/>
    <w:rsid w:val="00E30407"/>
    <w:rsid w:val="00E31373"/>
    <w:rsid w:val="00E463CA"/>
    <w:rsid w:val="00E539D5"/>
    <w:rsid w:val="00E57338"/>
    <w:rsid w:val="00E7505D"/>
    <w:rsid w:val="00E8101F"/>
    <w:rsid w:val="00E92194"/>
    <w:rsid w:val="00EE2FE5"/>
    <w:rsid w:val="00EE309E"/>
    <w:rsid w:val="00EE5989"/>
    <w:rsid w:val="00EF14A5"/>
    <w:rsid w:val="00F013D7"/>
    <w:rsid w:val="00F01A25"/>
    <w:rsid w:val="00F03B2F"/>
    <w:rsid w:val="00F102C8"/>
    <w:rsid w:val="00F12332"/>
    <w:rsid w:val="00F15B94"/>
    <w:rsid w:val="00F255FD"/>
    <w:rsid w:val="00F268B9"/>
    <w:rsid w:val="00F27923"/>
    <w:rsid w:val="00F50310"/>
    <w:rsid w:val="00F629A4"/>
    <w:rsid w:val="00F70BA2"/>
    <w:rsid w:val="00F75D89"/>
    <w:rsid w:val="00F81EC7"/>
    <w:rsid w:val="00F86032"/>
    <w:rsid w:val="00F865D0"/>
    <w:rsid w:val="00F90C49"/>
    <w:rsid w:val="00F916B1"/>
    <w:rsid w:val="00FA1BA9"/>
    <w:rsid w:val="00FA4237"/>
    <w:rsid w:val="00FB6B91"/>
    <w:rsid w:val="00FC17D2"/>
    <w:rsid w:val="00FC29F5"/>
    <w:rsid w:val="00FE312B"/>
    <w:rsid w:val="06D64E10"/>
    <w:rsid w:val="46C3030E"/>
    <w:rsid w:val="4B177C16"/>
    <w:rsid w:val="7AE46B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lsdException w:name="footer" w:semiHidden="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rPr>
  </w:style>
  <w:style w:type="paragraph" w:styleId="1">
    <w:name w:val="heading 1"/>
    <w:basedOn w:val="a"/>
    <w:next w:val="a"/>
    <w:link w:val="10"/>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0">
    <w:name w:val="标题 2 字符"/>
    <w:link w:val="2"/>
    <w:rPr>
      <w:rFonts w:ascii="Arial" w:eastAsia="黑体" w:hAnsi="Arial"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eastAsia="方正仿宋简体" w:hAnsi="Times New Roman" w:cs="Times New Roman"/>
      <w:sz w:val="32"/>
      <w:szCs w:val="20"/>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Times New Roman" w:eastAsia="方正仿宋简体" w:hAnsi="Times New Roman" w:cs="Times New Roman"/>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sz w:val="18"/>
      <w:szCs w:val="18"/>
    </w:rPr>
  </w:style>
  <w:style w:type="paragraph" w:styleId="ab">
    <w:name w:val="footnote text"/>
    <w:basedOn w:val="a"/>
    <w:link w:val="ac"/>
    <w:pPr>
      <w:snapToGrid w:val="0"/>
      <w:jc w:val="left"/>
    </w:pPr>
    <w:rPr>
      <w:rFonts w:eastAsia="宋体"/>
      <w:sz w:val="18"/>
    </w:rPr>
  </w:style>
  <w:style w:type="character" w:customStyle="1" w:styleId="ac">
    <w:name w:val="脚注文本 字符"/>
    <w:link w:val="ab"/>
    <w:rPr>
      <w:rFonts w:ascii="Times New Roman" w:eastAsia="宋体" w:hAnsi="Times New Roman" w:cs="Times New Roman"/>
      <w:sz w:val="18"/>
      <w:szCs w:val="20"/>
    </w:rPr>
  </w:style>
  <w:style w:type="paragraph" w:styleId="ad">
    <w:name w:val="annotation subject"/>
    <w:basedOn w:val="a3"/>
    <w:next w:val="a3"/>
    <w:link w:val="ae"/>
    <w:uiPriority w:val="99"/>
    <w:unhideWhenUsed/>
    <w:rPr>
      <w:b/>
      <w:bCs/>
    </w:rPr>
  </w:style>
  <w:style w:type="character" w:customStyle="1" w:styleId="ae">
    <w:name w:val="批注主题 字符"/>
    <w:link w:val="ad"/>
    <w:uiPriority w:val="99"/>
    <w:semiHidden/>
    <w:rPr>
      <w:rFonts w:ascii="Times New Roman" w:eastAsia="方正仿宋简体" w:hAnsi="Times New Roman" w:cs="Times New Roman"/>
      <w:b/>
      <w:bCs/>
      <w:sz w:val="32"/>
      <w:szCs w:val="20"/>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Pr>
      <w:color w:val="0000FF"/>
      <w:u w:val="single"/>
    </w:rPr>
  </w:style>
  <w:style w:type="character" w:styleId="af1">
    <w:name w:val="annotation reference"/>
    <w:uiPriority w:val="99"/>
    <w:unhideWhenUsed/>
    <w:rPr>
      <w:sz w:val="21"/>
      <w:szCs w:val="21"/>
    </w:rPr>
  </w:style>
  <w:style w:type="character" w:styleId="af2">
    <w:name w:val="footnote reference"/>
    <w:rPr>
      <w:vertAlign w:val="superscript"/>
    </w:rPr>
  </w:style>
  <w:style w:type="character" w:customStyle="1" w:styleId="r">
    <w:name w:val="r"/>
  </w:style>
  <w:style w:type="paragraph" w:customStyle="1" w:styleId="Default">
    <w:name w:val="Default"/>
    <w:pPr>
      <w:widowControl w:val="0"/>
      <w:autoSpaceDE w:val="0"/>
      <w:autoSpaceDN w:val="0"/>
      <w:adjustRightInd w:val="0"/>
    </w:pPr>
    <w:rPr>
      <w:rFonts w:ascii="黑体t.祯畴." w:eastAsia="黑体t.祯畴." w:cs="黑体t.祯畴."/>
      <w:color w:val="000000"/>
      <w:sz w:val="24"/>
      <w:szCs w:val="24"/>
    </w:rPr>
  </w:style>
  <w:style w:type="table" w:customStyle="1" w:styleId="11">
    <w:name w:val="网格型1"/>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未处理的提及"/>
    <w:uiPriority w:val="99"/>
    <w:unhideWhenUsed/>
    <w:rPr>
      <w:color w:val="605E5C"/>
      <w:shd w:val="clear" w:color="auto" w:fill="E1DFDD"/>
    </w:rPr>
  </w:style>
  <w:style w:type="paragraph" w:styleId="af4">
    <w:name w:val="Revision"/>
    <w:uiPriority w:val="99"/>
    <w:semiHidden/>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hky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5600</Characters>
  <Application>Microsoft Office Word</Application>
  <DocSecurity>4</DocSecurity>
  <Lines>46</Lines>
  <Paragraphs>13</Paragraphs>
  <ScaleCrop>false</ScaleCrop>
  <Company/>
  <LinksUpToDate>false</LinksUpToDate>
  <CharactersWithSpaces>6569</CharactersWithSpaces>
  <SharedDoc>false</SharedDoc>
  <HLinks>
    <vt:vector size="6" baseType="variant">
      <vt:variant>
        <vt:i4>5701726</vt:i4>
      </vt:variant>
      <vt:variant>
        <vt:i4>0</vt:i4>
      </vt:variant>
      <vt:variant>
        <vt:i4>0</vt:i4>
      </vt:variant>
      <vt:variant>
        <vt:i4>5</vt:i4>
      </vt:variant>
      <vt:variant>
        <vt:lpwstr>http://www.qhkyfund.com/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唐研然</dc:creator>
  <cp:keywords/>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eyJoZGlkIjoiY2M4ODVjMGNkYWQ5YzY0NTQxNDJjMTJlMmY2OWIzNzYiLCJ1c2VySWQiOiI3MzU1NjU2ODAifQ==</vt:lpwstr>
  </property>
  <property fmtid="{D5CDD505-2E9C-101B-9397-08002B2CF9AE}" pid="3" name="KSOProductBuildVer">
    <vt:lpwstr>2052-12.1.0.23122</vt:lpwstr>
  </property>
  <property fmtid="{D5CDD505-2E9C-101B-9397-08002B2CF9AE}" pid="4" name="ICV">
    <vt:lpwstr>A017C8B8018D4DD6BDA8D1E6DF0809A9_12</vt:lpwstr>
  </property>
</Properties>
</file>