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DB" w:rsidRDefault="00C821E4">
      <w:pPr>
        <w:pStyle w:val="a3"/>
        <w:spacing w:beforeAutospacing="0" w:afterAutospacing="0"/>
        <w:jc w:val="center"/>
      </w:pPr>
      <w:r>
        <w:rPr>
          <w:rFonts w:ascii="宋体" w:eastAsia="宋体" w:hAnsi="宋体" w:cs="宋体" w:hint="eastAsia"/>
          <w:b/>
          <w:bCs/>
          <w:color w:val="000000"/>
          <w:sz w:val="28"/>
          <w:szCs w:val="28"/>
        </w:rPr>
        <w:t>海富通基金管理有限公司关于旗下基金投资关联方承销期内承销证券的公告</w:t>
      </w:r>
    </w:p>
    <w:p w:rsidR="008E32DB" w:rsidRDefault="00C821E4">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海安橡胶集团股份公司（以下简称“海安集团”）首次公开发行人民币普通股（</w:t>
      </w:r>
      <w:r>
        <w:rPr>
          <w:rFonts w:ascii="宋体" w:eastAsia="宋体" w:hAnsi="宋体" w:cs="宋体" w:hint="eastAsia"/>
          <w:color w:val="000000"/>
        </w:rPr>
        <w:t>A</w:t>
      </w:r>
      <w:r>
        <w:rPr>
          <w:rFonts w:ascii="宋体" w:eastAsia="宋体" w:hAnsi="宋体" w:cs="宋体" w:hint="eastAsia"/>
          <w:color w:val="000000"/>
        </w:rPr>
        <w:t>股）并在主板上市（以下简称“本次发行”）的网下申购，本公司控股股东国泰海通证券股份有限公司为本次发行的</w:t>
      </w:r>
      <w:r w:rsidR="00686420">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hint="eastAsia"/>
          <w:color w:val="000000"/>
        </w:rPr>
        <w:t>48</w:t>
      </w:r>
      <w:r>
        <w:rPr>
          <w:rFonts w:ascii="宋体" w:eastAsia="宋体" w:hAnsi="宋体" w:cs="宋体" w:hint="eastAsia"/>
          <w:color w:val="000000"/>
        </w:rPr>
        <w:t>元</w:t>
      </w:r>
      <w:r>
        <w:rPr>
          <w:rFonts w:ascii="宋体" w:eastAsia="宋体" w:hAnsi="宋体" w:cs="宋体" w:hint="eastAsia"/>
          <w:color w:val="000000"/>
        </w:rPr>
        <w:t>/</w:t>
      </w:r>
      <w:r>
        <w:rPr>
          <w:rFonts w:ascii="宋体" w:eastAsia="宋体" w:hAnsi="宋体" w:cs="宋体" w:hint="eastAsia"/>
          <w:color w:val="000000"/>
        </w:rPr>
        <w:t>股，由发行人和承销商根据初步询价结果，综合考虑发行人基本面、市场情况、同行业上市公司估值水平、募集资金需求及承销风险等因素后协商确定。</w:t>
      </w:r>
    </w:p>
    <w:p w:rsidR="008E32DB" w:rsidRDefault="00C821E4">
      <w:pPr>
        <w:pStyle w:val="a3"/>
        <w:spacing w:beforeAutospacing="0" w:afterAutospacing="0" w:line="360" w:lineRule="auto"/>
        <w:ind w:firstLine="480"/>
        <w:jc w:val="both"/>
      </w:pPr>
      <w:r>
        <w:rPr>
          <w:rFonts w:ascii="宋体" w:eastAsia="宋体" w:hAnsi="宋体" w:cs="宋体" w:hint="eastAsia"/>
          <w:color w:val="000000"/>
        </w:rPr>
        <w:t>根据法律法规、基金合同及“海安集团”于</w:t>
      </w:r>
      <w:r w:rsidR="003F66C3">
        <w:rPr>
          <w:rFonts w:ascii="宋体" w:eastAsia="宋体" w:hAnsi="宋体" w:cs="宋体" w:hint="eastAsia"/>
          <w:color w:val="000000"/>
        </w:rPr>
        <w:t>2025</w:t>
      </w:r>
      <w:r>
        <w:rPr>
          <w:rFonts w:ascii="宋体" w:eastAsia="宋体" w:hAnsi="宋体" w:cs="宋体" w:hint="eastAsia"/>
          <w:color w:val="000000"/>
        </w:rPr>
        <w:t>年</w:t>
      </w:r>
      <w:r w:rsidR="003F66C3">
        <w:rPr>
          <w:rFonts w:ascii="宋体" w:eastAsia="宋体" w:hAnsi="宋体" w:cs="宋体" w:hint="eastAsia"/>
          <w:color w:val="000000"/>
        </w:rPr>
        <w:t>11</w:t>
      </w:r>
      <w:r>
        <w:rPr>
          <w:rFonts w:ascii="宋体" w:eastAsia="宋体" w:hAnsi="宋体" w:cs="宋体" w:hint="eastAsia"/>
          <w:color w:val="000000"/>
        </w:rPr>
        <w:t>月</w:t>
      </w:r>
      <w:r w:rsidR="003F66C3">
        <w:rPr>
          <w:rFonts w:ascii="宋体" w:eastAsia="宋体" w:hAnsi="宋体" w:cs="宋体" w:hint="eastAsia"/>
          <w:color w:val="000000"/>
        </w:rPr>
        <w:t>18</w:t>
      </w:r>
      <w:r>
        <w:rPr>
          <w:rFonts w:ascii="宋体" w:eastAsia="宋体" w:hAnsi="宋体" w:cs="宋体" w:hint="eastAsia"/>
          <w:color w:val="000000"/>
        </w:rPr>
        <w:t>日发布的《</w:t>
      </w:r>
      <w:r w:rsidR="003F66C3" w:rsidRPr="003F66C3">
        <w:rPr>
          <w:rFonts w:ascii="宋体" w:eastAsia="宋体" w:hAnsi="宋体" w:cs="宋体" w:hint="eastAsia"/>
          <w:color w:val="000000"/>
        </w:rPr>
        <w:t>海安橡胶集团股份公司首次公开发行股票并在主板上市网下发行初步配售结果公告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Look w:val="04A0"/>
      </w:tblPr>
      <w:tblGrid>
        <w:gridCol w:w="4810"/>
        <w:gridCol w:w="1843"/>
        <w:gridCol w:w="1815"/>
      </w:tblGrid>
      <w:tr w:rsidR="008E32DB" w:rsidRPr="00BE2F1C">
        <w:trPr>
          <w:trHeight w:val="525"/>
          <w:tblCellSpacing w:w="0" w:type="dxa"/>
        </w:trPr>
        <w:tc>
          <w:tcPr>
            <w:tcW w:w="4810" w:type="dxa"/>
            <w:tcBorders>
              <w:top w:val="single" w:sz="8" w:space="0" w:color="000000"/>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jc w:val="center"/>
              <w:rPr>
                <w:rFonts w:asciiTheme="minorEastAsia" w:hAnsiTheme="minorEastAsia"/>
                <w:sz w:val="21"/>
                <w:szCs w:val="21"/>
              </w:rPr>
            </w:pPr>
            <w:r w:rsidRPr="00BE2F1C">
              <w:rPr>
                <w:rFonts w:asciiTheme="minorEastAsia" w:hAnsiTheme="minorEastAsia" w:cs="宋体" w:hint="eastAsia"/>
                <w:b/>
                <w:bCs/>
                <w:color w:val="000000"/>
                <w:sz w:val="21"/>
                <w:szCs w:val="21"/>
              </w:rPr>
              <w:t>基金名称</w:t>
            </w:r>
          </w:p>
        </w:tc>
        <w:tc>
          <w:tcPr>
            <w:tcW w:w="1843" w:type="dxa"/>
            <w:tcBorders>
              <w:top w:val="single" w:sz="8" w:space="0" w:color="000000"/>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center"/>
              <w:rPr>
                <w:rFonts w:asciiTheme="minorEastAsia" w:hAnsiTheme="minorEastAsia"/>
                <w:sz w:val="21"/>
                <w:szCs w:val="21"/>
              </w:rPr>
            </w:pPr>
            <w:r w:rsidRPr="00BE2F1C">
              <w:rPr>
                <w:rFonts w:asciiTheme="minorEastAsia" w:hAnsiTheme="minorEastAsia" w:cs="宋体" w:hint="eastAsia"/>
                <w:b/>
                <w:bCs/>
                <w:color w:val="000000"/>
                <w:sz w:val="21"/>
                <w:szCs w:val="21"/>
              </w:rPr>
              <w:t>获配数量（股）</w:t>
            </w:r>
          </w:p>
        </w:tc>
        <w:tc>
          <w:tcPr>
            <w:tcW w:w="1815" w:type="dxa"/>
            <w:tcBorders>
              <w:top w:val="single" w:sz="8" w:space="0" w:color="000000"/>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center"/>
              <w:rPr>
                <w:rFonts w:asciiTheme="minorEastAsia" w:hAnsiTheme="minorEastAsia"/>
                <w:sz w:val="21"/>
                <w:szCs w:val="21"/>
              </w:rPr>
            </w:pPr>
            <w:r w:rsidRPr="00BE2F1C">
              <w:rPr>
                <w:rFonts w:asciiTheme="minorEastAsia" w:hAnsiTheme="minorEastAsia" w:cs="宋体" w:hint="eastAsia"/>
                <w:b/>
                <w:bCs/>
                <w:color w:val="000000"/>
                <w:sz w:val="21"/>
                <w:szCs w:val="21"/>
              </w:rPr>
              <w:t>获配金额（元）</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海富通强化回报混合型证券投资基金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504.00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24,192.00</w:t>
            </w:r>
            <w:r w:rsidRPr="00BE2F1C">
              <w:rPr>
                <w:rFonts w:asciiTheme="minorEastAsia" w:hAnsiTheme="minorEastAsia" w:cs="宋体"/>
                <w:color w:val="000000"/>
                <w:sz w:val="21"/>
                <w:szCs w:val="21"/>
              </w:rPr>
              <w:t xml:space="preserve"> </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海富通阿尔法对冲混合型发起式证券投资基金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392.00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18,816.00</w:t>
            </w:r>
            <w:r w:rsidRPr="00BE2F1C">
              <w:rPr>
                <w:rFonts w:asciiTheme="minorEastAsia" w:hAnsiTheme="minorEastAsia" w:cs="宋体"/>
                <w:color w:val="000000"/>
                <w:sz w:val="21"/>
                <w:szCs w:val="21"/>
              </w:rPr>
              <w:t xml:space="preserve"> </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海富通欣荣灵活配置混合型证券投资基金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414.00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19,872.00</w:t>
            </w:r>
            <w:r w:rsidRPr="00BE2F1C">
              <w:rPr>
                <w:rFonts w:asciiTheme="minorEastAsia" w:hAnsiTheme="minorEastAsia" w:cs="宋体"/>
                <w:color w:val="000000"/>
                <w:sz w:val="21"/>
                <w:szCs w:val="21"/>
              </w:rPr>
              <w:t xml:space="preserve"> </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海富通沪深</w:t>
            </w:r>
            <w:r w:rsidRPr="00BE2F1C">
              <w:rPr>
                <w:rFonts w:asciiTheme="minorEastAsia" w:hAnsiTheme="minorEastAsia" w:cs="宋体" w:hint="eastAsia"/>
                <w:color w:val="000000"/>
                <w:sz w:val="21"/>
                <w:szCs w:val="21"/>
              </w:rPr>
              <w:t>300</w:t>
            </w:r>
            <w:r w:rsidRPr="00BE2F1C">
              <w:rPr>
                <w:rFonts w:asciiTheme="minorEastAsia" w:hAnsiTheme="minorEastAsia" w:cs="宋体" w:hint="eastAsia"/>
                <w:color w:val="000000"/>
                <w:sz w:val="21"/>
                <w:szCs w:val="21"/>
              </w:rPr>
              <w:t>指数增强型证券投资基金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1,233.00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59,184.00</w:t>
            </w:r>
            <w:r w:rsidRPr="00BE2F1C">
              <w:rPr>
                <w:rFonts w:asciiTheme="minorEastAsia" w:hAnsiTheme="minorEastAsia" w:cs="宋体"/>
                <w:color w:val="000000"/>
                <w:sz w:val="21"/>
                <w:szCs w:val="21"/>
              </w:rPr>
              <w:t xml:space="preserve"> </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海富通量化前锋股票型证券投资基金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336.00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16,128.00</w:t>
            </w:r>
            <w:r w:rsidRPr="00BE2F1C">
              <w:rPr>
                <w:rFonts w:asciiTheme="minorEastAsia" w:hAnsiTheme="minorEastAsia" w:cs="宋体"/>
                <w:color w:val="000000"/>
                <w:sz w:val="21"/>
                <w:szCs w:val="21"/>
              </w:rPr>
              <w:t xml:space="preserve"> </w:t>
            </w:r>
          </w:p>
        </w:tc>
      </w:tr>
      <w:tr w:rsidR="008E32DB" w:rsidRPr="00BE2F1C">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8E32DB" w:rsidRPr="00BE2F1C" w:rsidRDefault="00C821E4">
            <w:pPr>
              <w:pStyle w:val="a3"/>
              <w:widowControl/>
              <w:spacing w:beforeAutospacing="0" w:afterAutospacing="0"/>
              <w:rPr>
                <w:rFonts w:asciiTheme="minorEastAsia" w:hAnsiTheme="minorEastAsia"/>
                <w:sz w:val="21"/>
                <w:szCs w:val="21"/>
              </w:rPr>
            </w:pPr>
            <w:r w:rsidRPr="00BE2F1C">
              <w:rPr>
                <w:rFonts w:asciiTheme="minorEastAsia" w:hAnsiTheme="minorEastAsia" w:cs="宋体" w:hint="eastAsia"/>
                <w:color w:val="000000"/>
                <w:sz w:val="21"/>
                <w:szCs w:val="21"/>
              </w:rPr>
              <w:t>海富通创业板综指增强型发起式证券投资基金</w:t>
            </w:r>
          </w:p>
        </w:tc>
        <w:tc>
          <w:tcPr>
            <w:tcW w:w="1843" w:type="dxa"/>
            <w:tcBorders>
              <w:top w:val="nil"/>
              <w:left w:val="nil"/>
              <w:bottom w:val="single" w:sz="8" w:space="0" w:color="000000"/>
              <w:right w:val="single" w:sz="8" w:space="0" w:color="000000"/>
            </w:tcBorders>
            <w:vAlign w:val="center"/>
          </w:tcPr>
          <w:p w:rsidR="008E32DB" w:rsidRPr="00BE2F1C" w:rsidRDefault="00C821E4">
            <w:pPr>
              <w:pStyle w:val="a3"/>
              <w:widowControl/>
              <w:spacing w:beforeAutospacing="0" w:afterAutospacing="0"/>
              <w:jc w:val="right"/>
              <w:rPr>
                <w:rFonts w:asciiTheme="minorEastAsia" w:hAnsiTheme="minorEastAsia"/>
                <w:sz w:val="21"/>
                <w:szCs w:val="21"/>
              </w:rPr>
            </w:pPr>
            <w:r w:rsidRPr="00BE2F1C">
              <w:rPr>
                <w:rFonts w:asciiTheme="minorEastAsia" w:hAnsiTheme="minorEastAsia" w:cs="宋体" w:hint="eastAsia"/>
                <w:color w:val="000000"/>
                <w:sz w:val="21"/>
                <w:szCs w:val="21"/>
              </w:rPr>
              <w:t>168.00</w:t>
            </w:r>
            <w:r w:rsidRPr="00BE2F1C">
              <w:rPr>
                <w:rFonts w:asciiTheme="minorEastAsia" w:hAnsiTheme="minorEastAsia" w:cs="Arial"/>
                <w:color w:val="000000"/>
                <w:sz w:val="21"/>
                <w:szCs w:val="21"/>
                <w:shd w:val="clear" w:color="auto" w:fill="FFFF00"/>
              </w:rPr>
              <w:t xml:space="preserve"> </w:t>
            </w:r>
          </w:p>
        </w:tc>
        <w:tc>
          <w:tcPr>
            <w:tcW w:w="1815" w:type="dxa"/>
            <w:tcBorders>
              <w:top w:val="nil"/>
              <w:left w:val="nil"/>
              <w:bottom w:val="single" w:sz="8" w:space="0" w:color="000000"/>
              <w:right w:val="single" w:sz="8" w:space="0" w:color="000000"/>
            </w:tcBorders>
            <w:vAlign w:val="center"/>
          </w:tcPr>
          <w:p w:rsidR="008E32DB" w:rsidRPr="00BE2F1C" w:rsidRDefault="00C821E4">
            <w:pPr>
              <w:pStyle w:val="a3"/>
              <w:spacing w:beforeAutospacing="0" w:afterAutospacing="0" w:line="360" w:lineRule="auto"/>
              <w:ind w:firstLine="480"/>
              <w:jc w:val="right"/>
              <w:rPr>
                <w:rFonts w:asciiTheme="minorEastAsia" w:hAnsiTheme="minorEastAsia" w:cs="宋体"/>
                <w:color w:val="000000"/>
                <w:sz w:val="21"/>
                <w:szCs w:val="21"/>
              </w:rPr>
            </w:pPr>
            <w:r w:rsidRPr="00BE2F1C">
              <w:rPr>
                <w:rFonts w:asciiTheme="minorEastAsia" w:hAnsiTheme="minorEastAsia" w:cs="宋体" w:hint="eastAsia"/>
                <w:color w:val="000000"/>
                <w:sz w:val="21"/>
                <w:szCs w:val="21"/>
              </w:rPr>
              <w:t>8,064.00</w:t>
            </w:r>
            <w:r w:rsidRPr="00BE2F1C">
              <w:rPr>
                <w:rFonts w:asciiTheme="minorEastAsia" w:hAnsiTheme="minorEastAsia" w:cs="宋体"/>
                <w:color w:val="000000"/>
                <w:sz w:val="21"/>
                <w:szCs w:val="21"/>
              </w:rPr>
              <w:t xml:space="preserve"> </w:t>
            </w:r>
          </w:p>
        </w:tc>
      </w:tr>
    </w:tbl>
    <w:p w:rsidR="008E32DB" w:rsidRDefault="00C821E4" w:rsidP="003F66C3">
      <w:pPr>
        <w:pStyle w:val="a3"/>
        <w:spacing w:beforeAutospacing="0" w:afterAutospacing="0" w:line="360" w:lineRule="auto"/>
        <w:ind w:firstLineChars="200"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8E32DB" w:rsidRDefault="00C821E4">
      <w:pPr>
        <w:pStyle w:val="a3"/>
        <w:spacing w:beforeAutospacing="0" w:afterAutospacing="0" w:line="360" w:lineRule="auto"/>
        <w:ind w:firstLine="480"/>
        <w:jc w:val="both"/>
      </w:pPr>
      <w:r>
        <w:t> </w:t>
      </w:r>
    </w:p>
    <w:p w:rsidR="008E32DB" w:rsidRDefault="00C821E4">
      <w:pPr>
        <w:pStyle w:val="a3"/>
        <w:spacing w:beforeAutospacing="0" w:afterAutospacing="0" w:line="360" w:lineRule="auto"/>
        <w:ind w:firstLine="480"/>
        <w:jc w:val="both"/>
      </w:pPr>
      <w:r>
        <w:rPr>
          <w:rFonts w:ascii="宋体" w:eastAsia="宋体" w:hAnsi="宋体" w:cs="宋体" w:hint="eastAsia"/>
          <w:color w:val="000000"/>
        </w:rPr>
        <w:t>特此公告。</w:t>
      </w:r>
    </w:p>
    <w:p w:rsidR="008E32DB" w:rsidRDefault="00C821E4">
      <w:pPr>
        <w:pStyle w:val="a3"/>
        <w:spacing w:beforeAutospacing="0" w:afterAutospacing="0" w:line="360" w:lineRule="auto"/>
        <w:ind w:firstLine="480"/>
        <w:jc w:val="both"/>
      </w:pPr>
      <w:r>
        <w:t> </w:t>
      </w:r>
    </w:p>
    <w:p w:rsidR="008E32DB" w:rsidRDefault="00C821E4" w:rsidP="003F66C3">
      <w:pPr>
        <w:pStyle w:val="a3"/>
        <w:spacing w:beforeAutospacing="0" w:afterAutospacing="0" w:line="360" w:lineRule="auto"/>
        <w:ind w:firstLine="480"/>
        <w:jc w:val="right"/>
      </w:pPr>
      <w:r>
        <w:t> </w:t>
      </w:r>
      <w:r>
        <w:rPr>
          <w:rFonts w:ascii="宋体" w:eastAsia="宋体" w:hAnsi="宋体" w:cs="宋体" w:hint="eastAsia"/>
          <w:color w:val="000000"/>
        </w:rPr>
        <w:t>海富通基金管理有限公司</w:t>
      </w:r>
    </w:p>
    <w:p w:rsidR="008E32DB" w:rsidRDefault="001005CF">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2025年11月19日</w:t>
      </w:r>
    </w:p>
    <w:p w:rsidR="008E32DB" w:rsidRDefault="008E32DB"/>
    <w:sectPr w:rsidR="008E32DB" w:rsidSect="006559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4FB12BA7"/>
    <w:rsid w:val="001005CF"/>
    <w:rsid w:val="003F66C3"/>
    <w:rsid w:val="00655962"/>
    <w:rsid w:val="00686420"/>
    <w:rsid w:val="00747829"/>
    <w:rsid w:val="008E32DB"/>
    <w:rsid w:val="00BE2F1C"/>
    <w:rsid w:val="00C821E4"/>
    <w:rsid w:val="00C9019F"/>
    <w:rsid w:val="00E7126D"/>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59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65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655962"/>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4</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