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72D2" w:rsidRDefault="004A72D2">
      <w:pPr>
        <w:pStyle w:val="XBRL2"/>
        <w:spacing w:before="156"/>
        <w:rPr>
          <w:lang w:eastAsia="zh-CN"/>
        </w:rPr>
      </w:pPr>
      <w:bookmarkStart w:id="0" w:name="_Toc510201001"/>
      <w:bookmarkEnd w:id="0"/>
      <w:r>
        <w:rPr>
          <w:lang w:eastAsia="zh-CN"/>
        </w:rPr>
        <w:t xml:space="preserve">　</w:t>
      </w:r>
      <w:r>
        <w:rPr>
          <w:lang w:eastAsia="zh-CN"/>
        </w:rPr>
        <w:t xml:space="preserve"> </w:t>
      </w:r>
    </w:p>
    <w:p w:rsidR="004A72D2" w:rsidRDefault="004A72D2">
      <w:pPr>
        <w:jc w:val="center"/>
      </w:pPr>
      <w:r>
        <w:rPr>
          <w:rFonts w:cs="Times New Roman" w:hint="eastAsia"/>
          <w:b/>
          <w:sz w:val="48"/>
          <w:szCs w:val="48"/>
        </w:rPr>
        <w:t>华泰柏瑞基金管理有限公司关于华泰柏瑞量化对冲稳健收益定期开放混合型发起式证券投资基金基金经理变更的公告</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pStyle w:val="TOC2"/>
        <w:tabs>
          <w:tab w:val="right" w:leader="dot" w:pos="8835"/>
        </w:tabs>
        <w:divId w:val="308748670"/>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0、公告标题</w:t>
        </w:r>
      </w:hyperlink>
      <w:r w:rsidRPr="008230A6">
        <w:rPr>
          <w:rFonts w:ascii="Calibri" w:hAnsi="Calibri" w:cs="Times New Roman"/>
          <w:noProof/>
          <w:vanish/>
          <w:szCs w:val="22"/>
        </w:rPr>
        <w:t xml:space="preserve"> </w:t>
      </w:r>
    </w:p>
    <w:p w:rsidR="004A72D2" w:rsidRDefault="004A72D2">
      <w:pPr>
        <w:pStyle w:val="TOC2"/>
        <w:tabs>
          <w:tab w:val="right" w:leader="dot" w:pos="8835"/>
        </w:tabs>
        <w:divId w:val="308748670"/>
        <w:rPr>
          <w:rFonts w:hint="eastAsia"/>
          <w:vanish/>
        </w:rPr>
      </w:pPr>
      <w:hyperlink w:anchor="_Toc34322059" w:history="1">
        <w:r>
          <w:rPr>
            <w:rStyle w:val="a3"/>
            <w:rFonts w:hint="eastAsia"/>
            <w:noProof/>
            <w:vanish/>
          </w:rPr>
          <w:t>1.公告基本信息</w:t>
        </w:r>
      </w:hyperlink>
      <w:r w:rsidRPr="008230A6">
        <w:rPr>
          <w:rFonts w:ascii="Calibri" w:hAnsi="Calibri" w:cs="Times New Roman"/>
          <w:noProof/>
          <w:vanish/>
          <w:szCs w:val="22"/>
        </w:rPr>
        <w:t xml:space="preserve"> </w:t>
      </w:r>
    </w:p>
    <w:p w:rsidR="004A72D2" w:rsidRDefault="004A72D2">
      <w:pPr>
        <w:pStyle w:val="TOC2"/>
        <w:tabs>
          <w:tab w:val="right" w:leader="dot" w:pos="8835"/>
        </w:tabs>
        <w:divId w:val="308748670"/>
        <w:rPr>
          <w:rFonts w:hint="eastAsia"/>
          <w:vanish/>
        </w:rPr>
      </w:pPr>
      <w:hyperlink w:anchor="_Toc34322060" w:history="1">
        <w:r>
          <w:rPr>
            <w:rStyle w:val="a3"/>
            <w:rFonts w:hint="eastAsia"/>
            <w:noProof/>
            <w:vanish/>
          </w:rPr>
          <w:t>2.新任基金经理的相关信息</w:t>
        </w:r>
      </w:hyperlink>
      <w:r w:rsidRPr="008230A6">
        <w:rPr>
          <w:rFonts w:ascii="Calibri" w:hAnsi="Calibri" w:cs="Times New Roman"/>
          <w:noProof/>
          <w:vanish/>
          <w:szCs w:val="22"/>
        </w:rPr>
        <w:t xml:space="preserve"> </w:t>
      </w:r>
    </w:p>
    <w:p w:rsidR="004A72D2" w:rsidRDefault="004A72D2">
      <w:pPr>
        <w:pStyle w:val="TOC2"/>
        <w:tabs>
          <w:tab w:val="right" w:leader="dot" w:pos="8835"/>
        </w:tabs>
        <w:divId w:val="308748670"/>
        <w:rPr>
          <w:rFonts w:hint="eastAsia"/>
          <w:vanish/>
        </w:rPr>
      </w:pPr>
      <w:hyperlink w:anchor="_Toc34322063" w:history="1">
        <w:r>
          <w:rPr>
            <w:rStyle w:val="a3"/>
            <w:rFonts w:hint="eastAsia"/>
            <w:noProof/>
            <w:vanish/>
          </w:rPr>
          <w:t>3.其他需要提示的事项</w:t>
        </w:r>
      </w:hyperlink>
      <w:r w:rsidRPr="008230A6">
        <w:rPr>
          <w:rFonts w:ascii="Calibri" w:hAnsi="Calibri" w:cs="Times New Roman"/>
          <w:noProof/>
          <w:vanish/>
          <w:szCs w:val="22"/>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fldChar w:fldCharType="end"/>
      </w: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560" w:lineRule="exact"/>
        <w:jc w:val="center"/>
        <w:rPr>
          <w:rFonts w:hint="eastAsia"/>
          <w:color w:val="000000"/>
          <w:kern w:val="0"/>
          <w:sz w:val="18"/>
        </w:rPr>
      </w:pPr>
      <w:r>
        <w:rPr>
          <w:rFonts w:hint="eastAsia"/>
          <w:color w:val="000000"/>
          <w:kern w:val="0"/>
          <w:sz w:val="18"/>
        </w:rPr>
        <w:t xml:space="preserve">　 </w:t>
      </w:r>
    </w:p>
    <w:p w:rsidR="004A72D2" w:rsidRDefault="004A72D2">
      <w:pPr>
        <w:spacing w:line="360" w:lineRule="auto"/>
        <w:jc w:val="center"/>
        <w:rPr>
          <w:rFonts w:hint="eastAsia"/>
        </w:rPr>
      </w:pPr>
      <w:r>
        <w:rPr>
          <w:rFonts w:hint="eastAsia"/>
          <w:b/>
          <w:bCs/>
          <w:sz w:val="24"/>
          <w:szCs w:val="30"/>
        </w:rPr>
        <w:t>公告送出日期：2025年11月19日</w:t>
      </w:r>
    </w:p>
    <w:p w:rsidR="004A72D2" w:rsidRDefault="004A72D2">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4A72D2">
        <w:trPr>
          <w:divId w:val="1042443931"/>
        </w:trPr>
        <w:tc>
          <w:tcPr>
            <w:tcW w:w="2518" w:type="dxa"/>
            <w:tcBorders>
              <w:top w:val="single" w:sz="4" w:space="0" w:color="000000"/>
              <w:left w:val="single" w:sz="4" w:space="0" w:color="000000"/>
              <w:bottom w:val="single" w:sz="4" w:space="0" w:color="000000"/>
              <w:right w:val="single" w:sz="4" w:space="0" w:color="000000"/>
            </w:tcBorders>
            <w:hideMark/>
          </w:tcPr>
          <w:p w:rsidR="004A72D2" w:rsidRDefault="004A72D2">
            <w:pPr>
              <w:spacing w:line="312" w:lineRule="exact"/>
              <w:rPr>
                <w:rFonts w:hint="eastAsia"/>
              </w:rPr>
            </w:pPr>
            <w:r w:rsidRPr="008230A6">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4A72D2" w:rsidRDefault="004A72D2">
            <w:pPr>
              <w:spacing w:line="312" w:lineRule="exact"/>
              <w:rPr>
                <w:rFonts w:hint="eastAsia"/>
              </w:rPr>
            </w:pPr>
            <w:r w:rsidRPr="008230A6">
              <w:rPr>
                <w:rFonts w:hint="eastAsia"/>
                <w:color w:val="000000"/>
                <w:kern w:val="0"/>
                <w:szCs w:val="21"/>
              </w:rPr>
              <w:t>华泰柏瑞量化对冲稳健收益定期开放混合型发起式证券投资基金</w:t>
            </w:r>
          </w:p>
        </w:tc>
      </w:tr>
      <w:tr w:rsidR="004A72D2">
        <w:trPr>
          <w:divId w:val="1042443931"/>
        </w:trPr>
        <w:tc>
          <w:tcPr>
            <w:tcW w:w="2518" w:type="dxa"/>
            <w:tcBorders>
              <w:top w:val="single" w:sz="4" w:space="0" w:color="000000"/>
              <w:left w:val="single" w:sz="4" w:space="0" w:color="000000"/>
              <w:bottom w:val="single" w:sz="4" w:space="0" w:color="000000"/>
              <w:right w:val="single" w:sz="4" w:space="0" w:color="000000"/>
            </w:tcBorders>
            <w:hideMark/>
          </w:tcPr>
          <w:p w:rsidR="004A72D2" w:rsidRDefault="004A72D2">
            <w:pPr>
              <w:spacing w:line="312" w:lineRule="exact"/>
              <w:rPr>
                <w:rFonts w:hint="eastAsia"/>
              </w:rPr>
            </w:pPr>
            <w:r w:rsidRPr="008230A6">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4A72D2" w:rsidRDefault="004A72D2">
            <w:pPr>
              <w:spacing w:line="312" w:lineRule="exact"/>
              <w:rPr>
                <w:rFonts w:hint="eastAsia"/>
              </w:rPr>
            </w:pPr>
            <w:r w:rsidRPr="008230A6">
              <w:rPr>
                <w:rFonts w:hint="eastAsia"/>
                <w:color w:val="000000"/>
                <w:kern w:val="0"/>
                <w:szCs w:val="21"/>
              </w:rPr>
              <w:t>华泰柏瑞量化对冲混合</w:t>
            </w:r>
          </w:p>
        </w:tc>
      </w:tr>
      <w:tr w:rsidR="004A72D2">
        <w:trPr>
          <w:divId w:val="1042443931"/>
        </w:trPr>
        <w:tc>
          <w:tcPr>
            <w:tcW w:w="2518" w:type="dxa"/>
            <w:tcBorders>
              <w:top w:val="single" w:sz="4" w:space="0" w:color="000000"/>
              <w:left w:val="single" w:sz="4" w:space="0" w:color="000000"/>
              <w:bottom w:val="single" w:sz="4" w:space="0" w:color="000000"/>
              <w:right w:val="single" w:sz="4" w:space="0" w:color="000000"/>
            </w:tcBorders>
            <w:hideMark/>
          </w:tcPr>
          <w:p w:rsidR="004A72D2" w:rsidRDefault="004A72D2">
            <w:pPr>
              <w:spacing w:line="312" w:lineRule="exact"/>
              <w:rPr>
                <w:rFonts w:hint="eastAsia"/>
              </w:rPr>
            </w:pPr>
            <w:r w:rsidRPr="008230A6">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4A72D2" w:rsidRDefault="004A72D2">
            <w:pPr>
              <w:spacing w:line="312" w:lineRule="exact"/>
              <w:rPr>
                <w:rFonts w:hint="eastAsia"/>
              </w:rPr>
            </w:pPr>
            <w:r w:rsidRPr="008230A6">
              <w:rPr>
                <w:rFonts w:hint="eastAsia"/>
                <w:color w:val="000000"/>
                <w:kern w:val="0"/>
                <w:szCs w:val="21"/>
              </w:rPr>
              <w:t>002804</w:t>
            </w:r>
          </w:p>
        </w:tc>
      </w:tr>
      <w:tr w:rsidR="004A72D2">
        <w:trPr>
          <w:divId w:val="1042443931"/>
        </w:trPr>
        <w:tc>
          <w:tcPr>
            <w:tcW w:w="2518" w:type="dxa"/>
            <w:tcBorders>
              <w:top w:val="single" w:sz="4" w:space="0" w:color="000000"/>
              <w:left w:val="single" w:sz="4" w:space="0" w:color="000000"/>
              <w:bottom w:val="single" w:sz="4" w:space="0" w:color="000000"/>
              <w:right w:val="single" w:sz="4" w:space="0" w:color="000000"/>
            </w:tcBorders>
            <w:hideMark/>
          </w:tcPr>
          <w:p w:rsidR="004A72D2" w:rsidRDefault="004A72D2">
            <w:pPr>
              <w:spacing w:line="312" w:lineRule="exact"/>
              <w:rPr>
                <w:rFonts w:hint="eastAsia"/>
              </w:rPr>
            </w:pPr>
            <w:r w:rsidRPr="008230A6">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4A72D2" w:rsidRDefault="004A72D2">
            <w:pPr>
              <w:spacing w:line="312" w:lineRule="exact"/>
              <w:rPr>
                <w:rFonts w:hint="eastAsia"/>
              </w:rPr>
            </w:pPr>
            <w:r w:rsidRPr="008230A6">
              <w:rPr>
                <w:rFonts w:hint="eastAsia"/>
                <w:color w:val="000000"/>
                <w:kern w:val="0"/>
                <w:szCs w:val="21"/>
              </w:rPr>
              <w:t>华泰柏瑞基金管理有限公司</w:t>
            </w:r>
          </w:p>
        </w:tc>
      </w:tr>
      <w:tr w:rsidR="004A72D2">
        <w:trPr>
          <w:divId w:val="1042443931"/>
        </w:trPr>
        <w:tc>
          <w:tcPr>
            <w:tcW w:w="2518" w:type="dxa"/>
            <w:tcBorders>
              <w:top w:val="single" w:sz="4" w:space="0" w:color="000000"/>
              <w:left w:val="single" w:sz="4" w:space="0" w:color="000000"/>
              <w:bottom w:val="single" w:sz="4" w:space="0" w:color="000000"/>
              <w:right w:val="single" w:sz="4" w:space="0" w:color="000000"/>
            </w:tcBorders>
            <w:hideMark/>
          </w:tcPr>
          <w:p w:rsidR="004A72D2" w:rsidRDefault="004A72D2">
            <w:pPr>
              <w:spacing w:line="312" w:lineRule="exact"/>
              <w:rPr>
                <w:rFonts w:hint="eastAsia"/>
              </w:rPr>
            </w:pPr>
            <w:r w:rsidRPr="008230A6">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4A72D2" w:rsidRDefault="004A72D2">
            <w:pPr>
              <w:spacing w:line="312" w:lineRule="exact"/>
              <w:rPr>
                <w:rFonts w:hint="eastAsia"/>
              </w:rPr>
            </w:pPr>
            <w:r>
              <w:rPr>
                <w:rFonts w:hint="eastAsia"/>
                <w:szCs w:val="21"/>
              </w:rPr>
              <w:t>《公开募集证券投资基金信息披露管理办法》</w:t>
            </w:r>
          </w:p>
        </w:tc>
      </w:tr>
      <w:tr w:rsidR="004A72D2">
        <w:trPr>
          <w:divId w:val="1042443931"/>
        </w:trPr>
        <w:tc>
          <w:tcPr>
            <w:tcW w:w="2518" w:type="dxa"/>
            <w:tcBorders>
              <w:top w:val="single" w:sz="4" w:space="0" w:color="000000"/>
              <w:left w:val="single" w:sz="4" w:space="0" w:color="000000"/>
              <w:bottom w:val="single" w:sz="4" w:space="0" w:color="000000"/>
              <w:right w:val="single" w:sz="4" w:space="0" w:color="000000"/>
            </w:tcBorders>
            <w:hideMark/>
          </w:tcPr>
          <w:p w:rsidR="004A72D2" w:rsidRDefault="004A72D2">
            <w:pPr>
              <w:spacing w:line="312" w:lineRule="exact"/>
              <w:rPr>
                <w:rFonts w:hint="eastAsia"/>
              </w:rPr>
            </w:pPr>
            <w:r w:rsidRPr="008230A6">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4A72D2" w:rsidRDefault="004A72D2">
            <w:pPr>
              <w:spacing w:line="312" w:lineRule="exact"/>
              <w:rPr>
                <w:rFonts w:hint="eastAsia"/>
              </w:rPr>
            </w:pPr>
            <w:r w:rsidRPr="008230A6">
              <w:rPr>
                <w:rFonts w:hint="eastAsia"/>
                <w:color w:val="000000"/>
                <w:kern w:val="0"/>
                <w:szCs w:val="21"/>
              </w:rPr>
              <w:t>增聘基金经理</w:t>
            </w:r>
          </w:p>
        </w:tc>
      </w:tr>
      <w:tr w:rsidR="004A72D2">
        <w:trPr>
          <w:divId w:val="1042443931"/>
        </w:trPr>
        <w:tc>
          <w:tcPr>
            <w:tcW w:w="2518" w:type="dxa"/>
            <w:tcBorders>
              <w:top w:val="single" w:sz="4" w:space="0" w:color="000000"/>
              <w:left w:val="single" w:sz="4" w:space="0" w:color="000000"/>
              <w:bottom w:val="single" w:sz="4" w:space="0" w:color="000000"/>
              <w:right w:val="single" w:sz="4" w:space="0" w:color="000000"/>
            </w:tcBorders>
            <w:hideMark/>
          </w:tcPr>
          <w:p w:rsidR="004A72D2" w:rsidRDefault="004A72D2">
            <w:pPr>
              <w:spacing w:line="312" w:lineRule="exact"/>
              <w:rPr>
                <w:rFonts w:hint="eastAsia"/>
              </w:rPr>
            </w:pPr>
            <w:r w:rsidRPr="008230A6">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4A72D2" w:rsidRDefault="004A72D2">
            <w:pPr>
              <w:spacing w:line="312" w:lineRule="exact"/>
              <w:rPr>
                <w:rFonts w:hint="eastAsia"/>
              </w:rPr>
            </w:pPr>
            <w:r w:rsidRPr="008230A6">
              <w:rPr>
                <w:rFonts w:hint="eastAsia"/>
                <w:color w:val="000000"/>
                <w:kern w:val="0"/>
                <w:szCs w:val="21"/>
              </w:rPr>
              <w:t>和磊</w:t>
            </w:r>
          </w:p>
        </w:tc>
      </w:tr>
      <w:tr w:rsidR="004A72D2">
        <w:trPr>
          <w:divId w:val="1042443931"/>
        </w:trPr>
        <w:tc>
          <w:tcPr>
            <w:tcW w:w="2518" w:type="dxa"/>
            <w:tcBorders>
              <w:top w:val="single" w:sz="4" w:space="0" w:color="000000"/>
              <w:left w:val="single" w:sz="4" w:space="0" w:color="000000"/>
              <w:bottom w:val="single" w:sz="4" w:space="0" w:color="000000"/>
              <w:right w:val="single" w:sz="4" w:space="0" w:color="000000"/>
            </w:tcBorders>
            <w:hideMark/>
          </w:tcPr>
          <w:p w:rsidR="004A72D2" w:rsidRDefault="004A72D2">
            <w:pPr>
              <w:spacing w:line="312" w:lineRule="exact"/>
              <w:rPr>
                <w:rFonts w:hint="eastAsia"/>
              </w:rPr>
            </w:pPr>
            <w:r w:rsidRPr="008230A6">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4A72D2" w:rsidRDefault="004A72D2">
            <w:pPr>
              <w:spacing w:line="312" w:lineRule="exact"/>
              <w:rPr>
                <w:rFonts w:hint="eastAsia"/>
              </w:rPr>
            </w:pPr>
            <w:r w:rsidRPr="008230A6">
              <w:rPr>
                <w:rFonts w:hint="eastAsia"/>
                <w:color w:val="000000"/>
                <w:kern w:val="0"/>
                <w:szCs w:val="21"/>
              </w:rPr>
              <w:t>笪篁、曾鸿</w:t>
            </w:r>
          </w:p>
        </w:tc>
      </w:tr>
    </w:tbl>
    <w:p w:rsidR="004A72D2" w:rsidRDefault="004A72D2">
      <w:pPr>
        <w:pStyle w:val="XBRLTitle1"/>
        <w:spacing w:before="156" w:line="360" w:lineRule="auto"/>
        <w:ind w:left="425"/>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新任基金经理的相关信息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6385"/>
      </w:tblGrid>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新任基金经理姓名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和磊</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任职日期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sidRPr="008230A6">
              <w:rPr>
                <w:rFonts w:hint="eastAsia"/>
                <w:color w:val="000000"/>
                <w:kern w:val="0"/>
                <w:szCs w:val="21"/>
              </w:rPr>
              <w:t>2025年11月18日</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证券从业年限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18年</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证券投资管理从业年限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18年</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过往从业经历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硕士毕业于上海财经大学数量经济学专业。2007年4月加入华泰柏瑞基金管理有限公司，历任高级交易员、量化投资部研究员、投资经理。</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是否曾被监管机构予以行政处罚或采取行政监管措施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否</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是否已取得基金从业资格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是</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取得的其他相关从业资格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国籍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中国</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学历、学位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研究生、硕士</w:t>
            </w:r>
          </w:p>
        </w:tc>
      </w:tr>
      <w:tr w:rsidR="004A72D2" w:rsidTr="0060783B">
        <w:trPr>
          <w:divId w:val="1779717463"/>
        </w:trPr>
        <w:tc>
          <w:tcPr>
            <w:tcW w:w="2676" w:type="dxa"/>
            <w:tcBorders>
              <w:top w:val="single" w:sz="4" w:space="0" w:color="auto"/>
              <w:left w:val="single" w:sz="4" w:space="0" w:color="auto"/>
              <w:bottom w:val="single" w:sz="4" w:space="0" w:color="auto"/>
              <w:right w:val="single" w:sz="4" w:space="0" w:color="auto"/>
            </w:tcBorders>
            <w:hideMark/>
          </w:tcPr>
          <w:p w:rsidR="004A72D2" w:rsidRDefault="004A72D2">
            <w:pPr>
              <w:spacing w:line="312" w:lineRule="exact"/>
              <w:rPr>
                <w:rFonts w:hint="eastAsia"/>
              </w:rPr>
            </w:pPr>
            <w:r w:rsidRPr="008230A6">
              <w:rPr>
                <w:rFonts w:hint="eastAsia"/>
                <w:color w:val="000000"/>
                <w:kern w:val="0"/>
                <w:szCs w:val="21"/>
              </w:rPr>
              <w:t xml:space="preserve">是否已按规定在中国基金业协会注册/登记 </w:t>
            </w:r>
          </w:p>
        </w:tc>
        <w:tc>
          <w:tcPr>
            <w:tcW w:w="6385" w:type="dxa"/>
            <w:tcBorders>
              <w:top w:val="single" w:sz="4" w:space="0" w:color="auto"/>
              <w:left w:val="single" w:sz="4" w:space="0" w:color="auto"/>
              <w:bottom w:val="single" w:sz="4" w:space="0" w:color="auto"/>
              <w:right w:val="single" w:sz="4" w:space="0" w:color="auto"/>
            </w:tcBorders>
            <w:vAlign w:val="center"/>
            <w:hideMark/>
          </w:tcPr>
          <w:p w:rsidR="004A72D2" w:rsidRDefault="004A72D2">
            <w:pPr>
              <w:spacing w:line="312" w:lineRule="exact"/>
              <w:rPr>
                <w:rFonts w:hint="eastAsia"/>
              </w:rPr>
            </w:pPr>
            <w:r>
              <w:rPr>
                <w:rFonts w:hint="eastAsia"/>
                <w:szCs w:val="21"/>
              </w:rPr>
              <w:t>是</w:t>
            </w:r>
          </w:p>
        </w:tc>
      </w:tr>
    </w:tbl>
    <w:p w:rsidR="004A72D2" w:rsidRDefault="004A72D2">
      <w:pPr>
        <w:spacing w:line="360" w:lineRule="auto"/>
        <w:jc w:val="center"/>
        <w:divId w:val="1779717463"/>
        <w:rPr>
          <w:rFonts w:hint="eastAsia"/>
          <w:sz w:val="28"/>
          <w:szCs w:val="30"/>
        </w:rPr>
      </w:pPr>
      <w:r>
        <w:rPr>
          <w:rFonts w:hint="eastAsia"/>
          <w:sz w:val="28"/>
          <w:szCs w:val="30"/>
        </w:rPr>
        <w:t xml:space="preserve">　 </w:t>
      </w:r>
    </w:p>
    <w:p w:rsidR="004A72D2" w:rsidRDefault="004A72D2">
      <w:pPr>
        <w:pStyle w:val="XBRLTitle1"/>
        <w:spacing w:before="156" w:line="360" w:lineRule="auto"/>
        <w:ind w:left="425"/>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4A72D2" w:rsidRDefault="004A72D2">
      <w:pPr>
        <w:spacing w:line="360" w:lineRule="auto"/>
        <w:ind w:firstLineChars="200" w:firstLine="420"/>
        <w:jc w:val="left"/>
        <w:rPr>
          <w:rFonts w:hint="eastAsia"/>
        </w:rPr>
      </w:pPr>
      <w:r>
        <w:rPr>
          <w:rFonts w:hint="eastAsia"/>
          <w:szCs w:val="21"/>
        </w:rPr>
        <w:t>上述事项已在中国证券投资基金业协会完成相关手续。</w:t>
      </w:r>
    </w:p>
    <w:p w:rsidR="004A72D2" w:rsidRDefault="004A72D2">
      <w:pPr>
        <w:spacing w:line="360" w:lineRule="auto"/>
        <w:ind w:firstLineChars="600" w:firstLine="1446"/>
        <w:jc w:val="right"/>
        <w:rPr>
          <w:rFonts w:hint="eastAsia"/>
          <w:b/>
          <w:bCs/>
          <w:sz w:val="24"/>
          <w:szCs w:val="30"/>
        </w:rPr>
      </w:pPr>
      <w:r>
        <w:rPr>
          <w:rFonts w:hint="eastAsia"/>
          <w:b/>
          <w:bCs/>
          <w:sz w:val="24"/>
          <w:szCs w:val="30"/>
        </w:rPr>
        <w:t xml:space="preserve">　 </w:t>
      </w:r>
    </w:p>
    <w:p w:rsidR="004A72D2" w:rsidRDefault="004A72D2">
      <w:pPr>
        <w:spacing w:line="360" w:lineRule="auto"/>
        <w:ind w:firstLineChars="600" w:firstLine="1446"/>
        <w:jc w:val="right"/>
        <w:rPr>
          <w:rFonts w:hint="eastAsia"/>
          <w:b/>
          <w:bCs/>
          <w:sz w:val="24"/>
          <w:szCs w:val="30"/>
        </w:rPr>
      </w:pPr>
      <w:r>
        <w:rPr>
          <w:rFonts w:hint="eastAsia"/>
          <w:b/>
          <w:bCs/>
          <w:sz w:val="24"/>
          <w:szCs w:val="30"/>
        </w:rPr>
        <w:t xml:space="preserve">　 </w:t>
      </w:r>
    </w:p>
    <w:p w:rsidR="004A72D2" w:rsidRDefault="004A72D2">
      <w:pPr>
        <w:spacing w:line="360" w:lineRule="auto"/>
        <w:ind w:firstLineChars="600" w:firstLine="1446"/>
        <w:jc w:val="right"/>
        <w:rPr>
          <w:rFonts w:hint="eastAsia"/>
        </w:rPr>
      </w:pPr>
      <w:r>
        <w:rPr>
          <w:rFonts w:hint="eastAsia"/>
          <w:b/>
          <w:bCs/>
          <w:sz w:val="24"/>
          <w:szCs w:val="24"/>
        </w:rPr>
        <w:t>华泰柏瑞基金管理有限公司</w:t>
      </w:r>
    </w:p>
    <w:p w:rsidR="004A72D2" w:rsidRDefault="004A72D2">
      <w:pPr>
        <w:spacing w:line="360" w:lineRule="auto"/>
        <w:ind w:firstLineChars="600" w:firstLine="1446"/>
        <w:jc w:val="right"/>
        <w:rPr>
          <w:rFonts w:hint="eastAsia"/>
        </w:rPr>
      </w:pPr>
      <w:r>
        <w:rPr>
          <w:rFonts w:hint="eastAsia"/>
          <w:b/>
          <w:bCs/>
          <w:sz w:val="24"/>
          <w:szCs w:val="24"/>
        </w:rPr>
        <w:t>2025年11月19日</w:t>
      </w:r>
      <w:bookmarkEnd w:id="31"/>
    </w:p>
    <w:sectPr w:rsidR="004A72D2">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4AA" w:rsidRDefault="000744AA">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0744AA" w:rsidRDefault="000744AA">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D2" w:rsidRDefault="004A72D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E767F0">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E767F0">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4AA" w:rsidRDefault="000744AA">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0744AA" w:rsidRDefault="000744AA">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D2" w:rsidRDefault="004A72D2">
    <w:pPr>
      <w:pStyle w:val="a8"/>
      <w:jc w:val="right"/>
      <w:rPr>
        <w:rFonts w:hint="eastAsia"/>
      </w:rPr>
    </w:pPr>
    <w:r>
      <w:rPr>
        <w:rFonts w:hint="eastAsia"/>
      </w:rPr>
      <w:t>华泰柏瑞基金管理有限公司关于华泰柏瑞量化对冲稳健收益定期开放混合型发起式证券投资基金基金经理变更的公告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30A6"/>
    <w:rsid w:val="000744AA"/>
    <w:rsid w:val="001212B5"/>
    <w:rsid w:val="004A72D2"/>
    <w:rsid w:val="0060783B"/>
    <w:rsid w:val="008230A6"/>
    <w:rsid w:val="00856DE8"/>
    <w:rsid w:val="00E767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12525374">
      <w:marLeft w:val="0"/>
      <w:marRight w:val="0"/>
      <w:marTop w:val="0"/>
      <w:marBottom w:val="0"/>
      <w:divBdr>
        <w:top w:val="none" w:sz="0" w:space="0" w:color="auto"/>
        <w:left w:val="none" w:sz="0" w:space="0" w:color="auto"/>
        <w:bottom w:val="none" w:sz="0" w:space="0" w:color="auto"/>
        <w:right w:val="none" w:sz="0" w:space="0" w:color="auto"/>
      </w:divBdr>
      <w:divsChild>
        <w:div w:id="1779717463">
          <w:marLeft w:val="0"/>
          <w:marRight w:val="0"/>
          <w:marTop w:val="0"/>
          <w:marBottom w:val="0"/>
          <w:divBdr>
            <w:top w:val="none" w:sz="0" w:space="0" w:color="auto"/>
            <w:left w:val="none" w:sz="0" w:space="0" w:color="auto"/>
            <w:bottom w:val="none" w:sz="0" w:space="0" w:color="auto"/>
            <w:right w:val="none" w:sz="0" w:space="0" w:color="auto"/>
          </w:divBdr>
        </w:div>
      </w:divsChild>
    </w:div>
    <w:div w:id="308748670">
      <w:marLeft w:val="0"/>
      <w:marRight w:val="0"/>
      <w:marTop w:val="0"/>
      <w:marBottom w:val="0"/>
      <w:divBdr>
        <w:top w:val="none" w:sz="0" w:space="0" w:color="auto"/>
        <w:left w:val="none" w:sz="0" w:space="0" w:color="auto"/>
        <w:bottom w:val="none" w:sz="0" w:space="0" w:color="auto"/>
        <w:right w:val="none" w:sz="0" w:space="0" w:color="auto"/>
      </w:divBdr>
    </w:div>
    <w:div w:id="104244393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FF20A-F0D0-4C75-9DFE-18ED8F4C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714</Characters>
  <Application>Microsoft Office Word</Application>
  <DocSecurity>4</DocSecurity>
  <Lines>5</Lines>
  <Paragraphs>1</Paragraphs>
  <ScaleCrop>false</ScaleCrop>
  <Company/>
  <LinksUpToDate>false</LinksUpToDate>
  <CharactersWithSpaces>838</CharactersWithSpaces>
  <SharedDoc>false</SharedDoc>
  <HLinks>
    <vt:vector size="24" baseType="variant">
      <vt:variant>
        <vt:i4>1179700</vt:i4>
      </vt:variant>
      <vt:variant>
        <vt:i4>11</vt:i4>
      </vt:variant>
      <vt:variant>
        <vt:i4>0</vt:i4>
      </vt:variant>
      <vt:variant>
        <vt:i4>5</vt:i4>
      </vt:variant>
      <vt:variant>
        <vt:lpwstr/>
      </vt:variant>
      <vt:variant>
        <vt:lpwstr>_Toc34322063</vt:lpwstr>
      </vt:variant>
      <vt:variant>
        <vt:i4>1114164</vt:i4>
      </vt:variant>
      <vt:variant>
        <vt:i4>8</vt:i4>
      </vt:variant>
      <vt:variant>
        <vt:i4>0</vt:i4>
      </vt:variant>
      <vt:variant>
        <vt:i4>5</vt:i4>
      </vt:variant>
      <vt:variant>
        <vt:lpwstr/>
      </vt:variant>
      <vt:variant>
        <vt:lpwstr>_Toc34322060</vt:lpwstr>
      </vt:variant>
      <vt:variant>
        <vt:i4>1572919</vt:i4>
      </vt:variant>
      <vt:variant>
        <vt:i4>5</vt:i4>
      </vt:variant>
      <vt:variant>
        <vt:i4>0</vt:i4>
      </vt:variant>
      <vt:variant>
        <vt:i4>5</vt:i4>
      </vt:variant>
      <vt:variant>
        <vt:lpwstr/>
      </vt:variant>
      <vt:variant>
        <vt:lpwstr>_Toc34322059</vt:lpwstr>
      </vt:variant>
      <vt:variant>
        <vt:i4>1376309</vt:i4>
      </vt:variant>
      <vt:variant>
        <vt:i4>2</vt:i4>
      </vt:variant>
      <vt:variant>
        <vt:i4>0</vt:i4>
      </vt:variant>
      <vt:variant>
        <vt:i4>5</vt:i4>
      </vt:variant>
      <vt:variant>
        <vt:lpwstr/>
      </vt:variant>
      <vt:variant>
        <vt:lpwstr>_Toc510201001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2025-11-18T16:02:00Z</dcterms:created>
  <dcterms:modified xsi:type="dcterms:W3CDTF">2025-11-18T16:02:00Z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