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7E" w:rsidRPr="0024628A" w:rsidRDefault="00FD5D7E" w:rsidP="0024628A">
      <w:pPr>
        <w:widowControl/>
        <w:jc w:val="center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 w:rsidRPr="00FD5D7E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宝盈基金管理有限公司关于</w:t>
      </w:r>
      <w:r w:rsidR="0046105A" w:rsidRPr="0046105A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宝盈中证A500指数增强型证券投资基金</w:t>
      </w:r>
      <w:r w:rsidRPr="00FD5D7E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增加</w:t>
      </w:r>
      <w:r w:rsidR="0046105A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代销机构</w:t>
      </w:r>
      <w:r w:rsidRPr="00FD5D7E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的公告</w:t>
      </w:r>
    </w:p>
    <w:p w:rsidR="00FD5D7E" w:rsidRDefault="00FD5D7E" w:rsidP="00FD5D7E">
      <w:pPr>
        <w:widowControl/>
        <w:spacing w:line="360" w:lineRule="auto"/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46761E" w:rsidRPr="00FD5D7E" w:rsidRDefault="00FD5D7E" w:rsidP="0046761E">
      <w:pPr>
        <w:widowControl/>
        <w:spacing w:line="360" w:lineRule="auto"/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FD5D7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根据宝盈基金管理有限公司（以下简称“本公司”）与深圳前海微众银行股份有限公司（以下简称“微众银行”）签署的销售服务代理协议，自20</w:t>
      </w:r>
      <w:r>
        <w:rPr>
          <w:rFonts w:asciiTheme="minorEastAsia" w:hAnsiTheme="minorEastAsia" w:cs="宋体"/>
          <w:color w:val="333333"/>
          <w:kern w:val="0"/>
          <w:sz w:val="24"/>
          <w:szCs w:val="24"/>
        </w:rPr>
        <w:t>25</w:t>
      </w:r>
      <w:r w:rsidRPr="00FD5D7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年</w:t>
      </w:r>
      <w:r w:rsidR="0046761E">
        <w:rPr>
          <w:rFonts w:asciiTheme="minorEastAsia" w:hAnsiTheme="minorEastAsia" w:cs="宋体"/>
          <w:color w:val="333333"/>
          <w:kern w:val="0"/>
          <w:sz w:val="24"/>
          <w:szCs w:val="24"/>
        </w:rPr>
        <w:t>11</w:t>
      </w:r>
      <w:r w:rsidRPr="00FD5D7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月</w:t>
      </w:r>
      <w:r w:rsidR="0046761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</w:t>
      </w:r>
      <w:r w:rsidR="0046761E">
        <w:rPr>
          <w:rFonts w:asciiTheme="minorEastAsia" w:hAnsiTheme="minorEastAsia" w:cs="宋体"/>
          <w:color w:val="333333"/>
          <w:kern w:val="0"/>
          <w:sz w:val="24"/>
          <w:szCs w:val="24"/>
        </w:rPr>
        <w:t>9</w:t>
      </w:r>
      <w:r w:rsidRPr="00FD5D7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日起，微众银行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将代销本公司如下</w:t>
      </w:r>
      <w:r w:rsidRPr="00FD5D7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基金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产品</w:t>
      </w:r>
      <w:r w:rsidRPr="00FD5D7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：</w:t>
      </w:r>
    </w:p>
    <w:tbl>
      <w:tblPr>
        <w:tblStyle w:val="a7"/>
        <w:tblW w:w="5380" w:type="pct"/>
        <w:jc w:val="center"/>
        <w:tblLook w:val="04A0"/>
      </w:tblPr>
      <w:tblGrid>
        <w:gridCol w:w="1209"/>
        <w:gridCol w:w="4726"/>
        <w:gridCol w:w="3235"/>
      </w:tblGrid>
      <w:tr w:rsidR="00FD5D7E" w:rsidRPr="00107420" w:rsidTr="00EE3BE1">
        <w:trPr>
          <w:trHeight w:val="416"/>
          <w:jc w:val="center"/>
        </w:trPr>
        <w:tc>
          <w:tcPr>
            <w:tcW w:w="659" w:type="pct"/>
            <w:noWrap/>
            <w:vAlign w:val="center"/>
            <w:hideMark/>
          </w:tcPr>
          <w:p w:rsidR="00FD5D7E" w:rsidRPr="00EE3BE1" w:rsidRDefault="00FD5D7E" w:rsidP="00FD5D7E">
            <w:pPr>
              <w:widowControl/>
              <w:spacing w:line="30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EE3BE1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基金代</w:t>
            </w:r>
            <w:bookmarkStart w:id="0" w:name="_GoBack"/>
            <w:bookmarkEnd w:id="0"/>
            <w:r w:rsidRPr="00EE3BE1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码</w:t>
            </w:r>
          </w:p>
        </w:tc>
        <w:tc>
          <w:tcPr>
            <w:tcW w:w="2577" w:type="pct"/>
            <w:vAlign w:val="center"/>
          </w:tcPr>
          <w:p w:rsidR="00FD5D7E" w:rsidRPr="00EE3BE1" w:rsidRDefault="00FD5D7E" w:rsidP="00FD5D7E">
            <w:pPr>
              <w:widowControl/>
              <w:spacing w:line="30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EE3BE1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765" w:type="pct"/>
            <w:noWrap/>
            <w:vAlign w:val="center"/>
            <w:hideMark/>
          </w:tcPr>
          <w:p w:rsidR="00FD5D7E" w:rsidRPr="00EE3BE1" w:rsidRDefault="00FD5D7E" w:rsidP="00FD5D7E">
            <w:pPr>
              <w:widowControl/>
              <w:spacing w:line="30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EE3BE1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基金简称</w:t>
            </w:r>
          </w:p>
        </w:tc>
      </w:tr>
      <w:tr w:rsidR="00FD5D7E" w:rsidRPr="00107420" w:rsidTr="00EE3BE1">
        <w:trPr>
          <w:trHeight w:val="408"/>
          <w:jc w:val="center"/>
        </w:trPr>
        <w:tc>
          <w:tcPr>
            <w:tcW w:w="659" w:type="pct"/>
            <w:noWrap/>
            <w:vAlign w:val="center"/>
            <w:hideMark/>
          </w:tcPr>
          <w:p w:rsidR="00FD5D7E" w:rsidRPr="00EE3BE1" w:rsidRDefault="0046761E" w:rsidP="00FD5D7E">
            <w:pPr>
              <w:widowControl/>
              <w:spacing w:line="30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EE3BE1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023514</w:t>
            </w:r>
          </w:p>
        </w:tc>
        <w:tc>
          <w:tcPr>
            <w:tcW w:w="2577" w:type="pct"/>
            <w:vMerge w:val="restart"/>
            <w:vAlign w:val="center"/>
          </w:tcPr>
          <w:p w:rsidR="00FD5D7E" w:rsidRPr="00EE3BE1" w:rsidRDefault="0046761E" w:rsidP="0046761E">
            <w:pPr>
              <w:pStyle w:val="4"/>
              <w:shd w:val="clear" w:color="auto" w:fill="FFFFFF"/>
              <w:spacing w:before="0" w:after="0"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 w:rsidRPr="00EE3BE1">
              <w:rPr>
                <w:rFonts w:asciiTheme="minorEastAsia" w:eastAsiaTheme="minorEastAsia" w:hAnsiTheme="minorEastAsia" w:cs="宋体" w:hint="eastAsia"/>
                <w:b w:val="0"/>
                <w:bCs w:val="0"/>
                <w:color w:val="333333"/>
                <w:kern w:val="0"/>
                <w:sz w:val="24"/>
                <w:szCs w:val="24"/>
              </w:rPr>
              <w:t>宝盈中证A500指数增强型证券投资基金</w:t>
            </w:r>
          </w:p>
        </w:tc>
        <w:tc>
          <w:tcPr>
            <w:tcW w:w="1765" w:type="pct"/>
            <w:noWrap/>
            <w:vAlign w:val="center"/>
            <w:hideMark/>
          </w:tcPr>
          <w:p w:rsidR="00FD5D7E" w:rsidRPr="00EE3BE1" w:rsidRDefault="0046761E" w:rsidP="0046761E">
            <w:pPr>
              <w:pStyle w:val="4"/>
              <w:shd w:val="clear" w:color="auto" w:fill="FFFFFF"/>
              <w:spacing w:before="0" w:after="0"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 w:rsidRPr="00EE3BE1">
              <w:rPr>
                <w:rFonts w:asciiTheme="minorEastAsia" w:eastAsiaTheme="minorEastAsia" w:hAnsiTheme="minorEastAsia" w:cs="宋体" w:hint="eastAsia"/>
                <w:b w:val="0"/>
                <w:bCs w:val="0"/>
                <w:color w:val="333333"/>
                <w:kern w:val="0"/>
                <w:sz w:val="24"/>
                <w:szCs w:val="24"/>
              </w:rPr>
              <w:t>宝盈中证A500指数增强A</w:t>
            </w:r>
          </w:p>
        </w:tc>
      </w:tr>
      <w:tr w:rsidR="00FD5D7E" w:rsidRPr="00107420" w:rsidTr="00EE3BE1">
        <w:trPr>
          <w:trHeight w:val="415"/>
          <w:jc w:val="center"/>
        </w:trPr>
        <w:tc>
          <w:tcPr>
            <w:tcW w:w="659" w:type="pct"/>
            <w:noWrap/>
            <w:vAlign w:val="center"/>
            <w:hideMark/>
          </w:tcPr>
          <w:p w:rsidR="00FD5D7E" w:rsidRPr="00EE3BE1" w:rsidRDefault="0046761E" w:rsidP="00FD5D7E">
            <w:pPr>
              <w:widowControl/>
              <w:spacing w:line="30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EE3BE1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02351</w:t>
            </w:r>
            <w:r w:rsidRPr="00EE3BE1"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2577" w:type="pct"/>
            <w:vMerge/>
            <w:vAlign w:val="center"/>
          </w:tcPr>
          <w:p w:rsidR="00FD5D7E" w:rsidRPr="00EE3BE1" w:rsidRDefault="00FD5D7E" w:rsidP="00FD5D7E">
            <w:pPr>
              <w:widowControl/>
              <w:spacing w:line="30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65" w:type="pct"/>
            <w:noWrap/>
            <w:vAlign w:val="center"/>
            <w:hideMark/>
          </w:tcPr>
          <w:p w:rsidR="00FD5D7E" w:rsidRPr="00EE3BE1" w:rsidRDefault="0046761E" w:rsidP="00FD5D7E">
            <w:pPr>
              <w:widowControl/>
              <w:spacing w:line="30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EE3BE1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宝盈中证A500指数增强</w:t>
            </w:r>
            <w:r w:rsidRPr="00EE3BE1"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  <w:t>C</w:t>
            </w:r>
          </w:p>
        </w:tc>
      </w:tr>
    </w:tbl>
    <w:p w:rsidR="00AE730A" w:rsidRPr="00AE730A" w:rsidRDefault="00AE730A" w:rsidP="00AE730A">
      <w:pPr>
        <w:widowControl/>
        <w:spacing w:line="360" w:lineRule="auto"/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41630D" w:rsidRPr="009742BF" w:rsidRDefault="0041630D" w:rsidP="00AE730A">
      <w:pPr>
        <w:widowControl/>
        <w:spacing w:line="360" w:lineRule="auto"/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9742B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投资者可在</w:t>
      </w:r>
      <w:r w:rsidR="00AE730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微众银行</w:t>
      </w:r>
      <w:r w:rsidRPr="009742B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办理本公司基金开户业务及上述基金的</w:t>
      </w:r>
      <w:r w:rsidR="0046761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认购</w:t>
      </w:r>
      <w:r w:rsidRPr="009742B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等业务，</w:t>
      </w:r>
      <w:r w:rsidR="0046761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以及</w:t>
      </w:r>
      <w:r w:rsidRPr="009742B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进行相关信息查询并享受相应的售后服务。</w:t>
      </w:r>
    </w:p>
    <w:p w:rsidR="009742BF" w:rsidRPr="009742BF" w:rsidRDefault="009742BF" w:rsidP="009742BF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3F31D5" w:rsidRPr="00FD5D7E" w:rsidRDefault="00FD5D7E" w:rsidP="0041630D">
      <w:pPr>
        <w:widowControl/>
        <w:spacing w:line="360" w:lineRule="auto"/>
        <w:ind w:firstLineChars="200" w:firstLine="482"/>
        <w:jc w:val="left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 w:rsidRPr="00FD5D7E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投资</w:t>
      </w:r>
      <w:r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者</w:t>
      </w:r>
      <w:r w:rsidR="003F31D5" w:rsidRPr="00FD5D7E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可通过以下途径咨询有关详情：</w:t>
      </w:r>
    </w:p>
    <w:p w:rsidR="003F31D5" w:rsidRPr="009742BF" w:rsidRDefault="003F31D5" w:rsidP="0041630D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9742B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1、宝盈基金管理有限公司</w:t>
      </w:r>
    </w:p>
    <w:p w:rsidR="003F31D5" w:rsidRPr="009742BF" w:rsidRDefault="003F31D5" w:rsidP="0041630D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9742B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公司网站：</w:t>
      </w:r>
      <w:hyperlink r:id="rId7" w:history="1">
        <w:r w:rsidRPr="009742BF">
          <w:rPr>
            <w:rFonts w:asciiTheme="minorEastAsia" w:hAnsiTheme="minorEastAsia" w:cs="宋体" w:hint="eastAsia"/>
            <w:color w:val="333333"/>
            <w:kern w:val="0"/>
            <w:sz w:val="24"/>
            <w:szCs w:val="24"/>
          </w:rPr>
          <w:t>www.byfunds.com</w:t>
        </w:r>
      </w:hyperlink>
    </w:p>
    <w:p w:rsidR="003F31D5" w:rsidRPr="009742BF" w:rsidRDefault="003F31D5" w:rsidP="0041630D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9742B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客户咨询电话：400-8888-300</w:t>
      </w:r>
      <w:r w:rsidR="00FD5D7E">
        <w:rPr>
          <w:rFonts w:asciiTheme="minorEastAsia" w:hAnsiTheme="minorEastAsia" w:cs="宋体"/>
          <w:color w:val="333333"/>
          <w:kern w:val="0"/>
          <w:sz w:val="24"/>
          <w:szCs w:val="24"/>
        </w:rPr>
        <w:tab/>
      </w:r>
    </w:p>
    <w:p w:rsidR="00107420" w:rsidRPr="009742BF" w:rsidRDefault="003F31D5" w:rsidP="0041630D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9742B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2、</w:t>
      </w:r>
      <w:r w:rsidR="00107420" w:rsidRPr="009742B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深圳前海微众银行股份有限公司</w:t>
      </w:r>
    </w:p>
    <w:p w:rsidR="00107420" w:rsidRPr="009742BF" w:rsidRDefault="00107420" w:rsidP="0041630D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9742B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公司网站：www.webank.com</w:t>
      </w:r>
    </w:p>
    <w:p w:rsidR="008D474A" w:rsidRPr="009742BF" w:rsidRDefault="00107420" w:rsidP="0041630D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9742B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客户</w:t>
      </w:r>
      <w:r w:rsidR="00C62731" w:rsidRPr="009742B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咨询</w:t>
      </w:r>
      <w:r w:rsidRPr="009742B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电话：95384</w:t>
      </w:r>
    </w:p>
    <w:p w:rsidR="009742BF" w:rsidRPr="009742BF" w:rsidRDefault="009742BF" w:rsidP="009742BF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41630D" w:rsidRPr="0041630D" w:rsidRDefault="00FD5D7E" w:rsidP="0041630D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投资者</w:t>
      </w:r>
      <w:r w:rsidR="0041630D" w:rsidRPr="0041630D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在上述代销机构办理上述业务应遵循其具体规定。</w:t>
      </w:r>
    </w:p>
    <w:p w:rsidR="0041630D" w:rsidRPr="009742BF" w:rsidRDefault="0041630D" w:rsidP="0041630D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30D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《基金合同》和《招募说明书》等基金法律文件，全面认识基金产品的风险收益特征，在了解产品情况及听取销售机构适当性意见的基础上，根据自身的风险承受能力、投资期限和投资目标，对基金投资作出独立决策，选择合适的基金产品。</w:t>
      </w:r>
    </w:p>
    <w:p w:rsidR="0041630D" w:rsidRPr="0041630D" w:rsidRDefault="0041630D" w:rsidP="0041630D">
      <w:pPr>
        <w:widowControl/>
        <w:spacing w:line="360" w:lineRule="auto"/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9742B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lastRenderedPageBreak/>
        <w:t>本公司保留对该公告的最终解释权。</w:t>
      </w:r>
    </w:p>
    <w:p w:rsidR="0041630D" w:rsidRPr="0041630D" w:rsidRDefault="0041630D" w:rsidP="0041630D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30D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特此公告。</w:t>
      </w:r>
    </w:p>
    <w:p w:rsidR="00E92A61" w:rsidRPr="009742BF" w:rsidRDefault="003F31D5" w:rsidP="00FC5B11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9742B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 </w:t>
      </w:r>
      <w:r w:rsidR="00FC5B11" w:rsidRPr="009742B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                               </w:t>
      </w:r>
    </w:p>
    <w:p w:rsidR="003F31D5" w:rsidRPr="009742BF" w:rsidRDefault="003F31D5" w:rsidP="0041630D">
      <w:pPr>
        <w:widowControl/>
        <w:spacing w:line="360" w:lineRule="auto"/>
        <w:ind w:firstLine="200"/>
        <w:jc w:val="righ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9742B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    宝盈基金管理有限公司</w:t>
      </w:r>
    </w:p>
    <w:p w:rsidR="00A118B8" w:rsidRPr="009742BF" w:rsidRDefault="003F31D5" w:rsidP="0041630D">
      <w:pPr>
        <w:widowControl/>
        <w:spacing w:line="360" w:lineRule="auto"/>
        <w:ind w:firstLine="200"/>
        <w:jc w:val="righ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9742BF">
        <w:rPr>
          <w:rFonts w:asciiTheme="minorEastAsia" w:hAnsiTheme="minorEastAsia" w:cs="宋体"/>
          <w:color w:val="333333"/>
          <w:kern w:val="0"/>
          <w:sz w:val="24"/>
          <w:szCs w:val="24"/>
        </w:rPr>
        <w:t>202</w:t>
      </w:r>
      <w:r w:rsidR="0041630D" w:rsidRPr="009742BF">
        <w:rPr>
          <w:rFonts w:asciiTheme="minorEastAsia" w:hAnsiTheme="minorEastAsia" w:cs="宋体"/>
          <w:color w:val="333333"/>
          <w:kern w:val="0"/>
          <w:sz w:val="24"/>
          <w:szCs w:val="24"/>
        </w:rPr>
        <w:t>5</w:t>
      </w:r>
      <w:r w:rsidRPr="009742B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年</w:t>
      </w:r>
      <w:r w:rsidR="0041630D" w:rsidRPr="009742BF">
        <w:rPr>
          <w:rFonts w:asciiTheme="minorEastAsia" w:hAnsiTheme="minorEastAsia" w:cs="宋体"/>
          <w:color w:val="333333"/>
          <w:kern w:val="0"/>
          <w:sz w:val="24"/>
          <w:szCs w:val="24"/>
        </w:rPr>
        <w:t>1</w:t>
      </w:r>
      <w:r w:rsidR="0046761E">
        <w:rPr>
          <w:rFonts w:asciiTheme="minorEastAsia" w:hAnsiTheme="minorEastAsia" w:cs="宋体"/>
          <w:color w:val="333333"/>
          <w:kern w:val="0"/>
          <w:sz w:val="24"/>
          <w:szCs w:val="24"/>
        </w:rPr>
        <w:t>1</w:t>
      </w:r>
      <w:r w:rsidRPr="009742B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月</w:t>
      </w:r>
      <w:r w:rsidR="0046761E">
        <w:rPr>
          <w:rFonts w:asciiTheme="minorEastAsia" w:hAnsiTheme="minorEastAsia" w:cs="宋体"/>
          <w:color w:val="333333"/>
          <w:kern w:val="0"/>
          <w:sz w:val="24"/>
          <w:szCs w:val="24"/>
        </w:rPr>
        <w:t>1</w:t>
      </w:r>
      <w:r w:rsidR="00AE730A">
        <w:rPr>
          <w:rFonts w:asciiTheme="minorEastAsia" w:hAnsiTheme="minorEastAsia" w:cs="宋体"/>
          <w:color w:val="333333"/>
          <w:kern w:val="0"/>
          <w:sz w:val="24"/>
          <w:szCs w:val="24"/>
        </w:rPr>
        <w:t>9</w:t>
      </w:r>
      <w:r w:rsidRPr="009742B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日</w:t>
      </w:r>
    </w:p>
    <w:sectPr w:rsidR="00A118B8" w:rsidRPr="009742BF" w:rsidSect="00530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461" w:rsidRDefault="006E6461" w:rsidP="002F1F04">
      <w:r>
        <w:separator/>
      </w:r>
    </w:p>
  </w:endnote>
  <w:endnote w:type="continuationSeparator" w:id="0">
    <w:p w:rsidR="006E6461" w:rsidRDefault="006E6461" w:rsidP="002F1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461" w:rsidRDefault="006E6461" w:rsidP="002F1F04">
      <w:r>
        <w:separator/>
      </w:r>
    </w:p>
  </w:footnote>
  <w:footnote w:type="continuationSeparator" w:id="0">
    <w:p w:rsidR="006E6461" w:rsidRDefault="006E6461" w:rsidP="002F1F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E0B"/>
    <w:rsid w:val="0009015F"/>
    <w:rsid w:val="00107420"/>
    <w:rsid w:val="00144EDD"/>
    <w:rsid w:val="001711B0"/>
    <w:rsid w:val="001E72A7"/>
    <w:rsid w:val="001F0B96"/>
    <w:rsid w:val="001F1A68"/>
    <w:rsid w:val="001F3AA0"/>
    <w:rsid w:val="0024628A"/>
    <w:rsid w:val="00257F87"/>
    <w:rsid w:val="002F157D"/>
    <w:rsid w:val="002F1F04"/>
    <w:rsid w:val="002F544C"/>
    <w:rsid w:val="00342235"/>
    <w:rsid w:val="00355CB3"/>
    <w:rsid w:val="003F31D5"/>
    <w:rsid w:val="00407D03"/>
    <w:rsid w:val="0041630D"/>
    <w:rsid w:val="004526DC"/>
    <w:rsid w:val="0046105A"/>
    <w:rsid w:val="0046761E"/>
    <w:rsid w:val="004D54B7"/>
    <w:rsid w:val="00516D61"/>
    <w:rsid w:val="00530F0C"/>
    <w:rsid w:val="005606DA"/>
    <w:rsid w:val="00570111"/>
    <w:rsid w:val="005729A3"/>
    <w:rsid w:val="00592EFA"/>
    <w:rsid w:val="00593B59"/>
    <w:rsid w:val="005B14C5"/>
    <w:rsid w:val="005C489B"/>
    <w:rsid w:val="006A4E0B"/>
    <w:rsid w:val="006B537C"/>
    <w:rsid w:val="006E6461"/>
    <w:rsid w:val="0076367A"/>
    <w:rsid w:val="00803689"/>
    <w:rsid w:val="008D474A"/>
    <w:rsid w:val="008F65D1"/>
    <w:rsid w:val="009742BF"/>
    <w:rsid w:val="009B72C2"/>
    <w:rsid w:val="009C0FA2"/>
    <w:rsid w:val="009C1D50"/>
    <w:rsid w:val="009D4306"/>
    <w:rsid w:val="009D58B1"/>
    <w:rsid w:val="009D605C"/>
    <w:rsid w:val="00A118B8"/>
    <w:rsid w:val="00A15C7B"/>
    <w:rsid w:val="00A40662"/>
    <w:rsid w:val="00A631FD"/>
    <w:rsid w:val="00AD1603"/>
    <w:rsid w:val="00AE730A"/>
    <w:rsid w:val="00B217DA"/>
    <w:rsid w:val="00B87780"/>
    <w:rsid w:val="00BE6299"/>
    <w:rsid w:val="00BE6FE3"/>
    <w:rsid w:val="00C62731"/>
    <w:rsid w:val="00C6770A"/>
    <w:rsid w:val="00CE2377"/>
    <w:rsid w:val="00D25E46"/>
    <w:rsid w:val="00D40BB9"/>
    <w:rsid w:val="00D42742"/>
    <w:rsid w:val="00DF081A"/>
    <w:rsid w:val="00E15BCE"/>
    <w:rsid w:val="00E92A61"/>
    <w:rsid w:val="00EE3BE1"/>
    <w:rsid w:val="00F17C32"/>
    <w:rsid w:val="00F23377"/>
    <w:rsid w:val="00F61B57"/>
    <w:rsid w:val="00F64E37"/>
    <w:rsid w:val="00F73559"/>
    <w:rsid w:val="00FC5B11"/>
    <w:rsid w:val="00FD5D7E"/>
    <w:rsid w:val="00FE1A36"/>
    <w:rsid w:val="00FE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0C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F31D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unhideWhenUsed/>
    <w:qFormat/>
    <w:rsid w:val="005729A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3F31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00">
    <w:name w:val="a0"/>
    <w:basedOn w:val="a0"/>
    <w:rsid w:val="003F31D5"/>
  </w:style>
  <w:style w:type="paragraph" w:customStyle="1" w:styleId="a30">
    <w:name w:val="a3"/>
    <w:basedOn w:val="a"/>
    <w:rsid w:val="003F31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3F31D5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3F31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F31D5"/>
    <w:rPr>
      <w:b/>
      <w:bCs/>
    </w:rPr>
  </w:style>
  <w:style w:type="character" w:styleId="a6">
    <w:name w:val="Hyperlink"/>
    <w:basedOn w:val="a0"/>
    <w:uiPriority w:val="99"/>
    <w:semiHidden/>
    <w:unhideWhenUsed/>
    <w:rsid w:val="003F31D5"/>
    <w:rPr>
      <w:color w:val="0000FF"/>
      <w:u w:val="single"/>
    </w:rPr>
  </w:style>
  <w:style w:type="table" w:styleId="a7">
    <w:name w:val="Table Grid"/>
    <w:basedOn w:val="a1"/>
    <w:uiPriority w:val="39"/>
    <w:rsid w:val="00CE2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uiPriority w:val="99"/>
    <w:unhideWhenUsed/>
    <w:rsid w:val="002F1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2F1F04"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2F1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2F1F04"/>
    <w:rPr>
      <w:sz w:val="18"/>
      <w:szCs w:val="18"/>
    </w:rPr>
  </w:style>
  <w:style w:type="paragraph" w:styleId="aa">
    <w:name w:val="No Spacing"/>
    <w:uiPriority w:val="1"/>
    <w:qFormat/>
    <w:rsid w:val="00257F87"/>
    <w:pPr>
      <w:widowControl w:val="0"/>
      <w:jc w:val="both"/>
    </w:pPr>
  </w:style>
  <w:style w:type="character" w:customStyle="1" w:styleId="4Char">
    <w:name w:val="标题 4 Char"/>
    <w:basedOn w:val="a0"/>
    <w:link w:val="4"/>
    <w:uiPriority w:val="9"/>
    <w:rsid w:val="005729A3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4255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2322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48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48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6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316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94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2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032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484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2947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45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5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55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20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1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799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6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88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56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57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296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63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95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197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282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8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3927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297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183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yfunds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78413-737F-4C4D-9F44-8CE8083EE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653</Characters>
  <Application>Microsoft Office Word</Application>
  <DocSecurity>4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杨晓</dc:creator>
  <cp:keywords/>
  <dc:description/>
  <cp:lastModifiedBy>ZHONGM</cp:lastModifiedBy>
  <cp:revision>2</cp:revision>
  <dcterms:created xsi:type="dcterms:W3CDTF">2025-11-18T16:03:00Z</dcterms:created>
  <dcterms:modified xsi:type="dcterms:W3CDTF">2025-11-18T16:03:00Z</dcterms:modified>
</cp:coreProperties>
</file>