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A5" w:rsidRDefault="007174D5">
      <w:pPr>
        <w:spacing w:line="360" w:lineRule="auto"/>
      </w:pPr>
      <w:r>
        <w:t> </w:t>
      </w:r>
    </w:p>
    <w:p w:rsidR="004600A5" w:rsidRDefault="007174D5">
      <w:pPr>
        <w:spacing w:line="360" w:lineRule="auto"/>
        <w:jc w:val="center"/>
        <w:rPr>
          <w:b/>
        </w:rPr>
      </w:pPr>
      <w:r>
        <w:rPr>
          <w:rFonts w:ascii="宋体" w:hAnsi="宋体" w:cs="宋体"/>
          <w:b/>
          <w:sz w:val="30"/>
          <w:szCs w:val="30"/>
        </w:rPr>
        <w:t>关于鹏华基金</w:t>
      </w:r>
      <w:r>
        <w:rPr>
          <w:rFonts w:ascii="宋体" w:hAnsi="宋体" w:cs="宋体" w:hint="eastAsia"/>
          <w:b/>
          <w:sz w:val="30"/>
          <w:szCs w:val="30"/>
        </w:rPr>
        <w:t>管理</w:t>
      </w:r>
      <w:r>
        <w:rPr>
          <w:rFonts w:ascii="宋体" w:hAnsi="宋体" w:cs="宋体"/>
          <w:b/>
          <w:sz w:val="30"/>
          <w:szCs w:val="30"/>
        </w:rPr>
        <w:t>有限公司旗下部分基金新增流动性服务商的公告</w:t>
      </w:r>
    </w:p>
    <w:p w:rsidR="004600A5" w:rsidRDefault="007174D5">
      <w:pPr>
        <w:spacing w:line="360" w:lineRule="auto"/>
        <w:ind w:firstLine="600"/>
        <w:jc w:val="center"/>
      </w:pPr>
      <w:r>
        <w:rPr>
          <w:rFonts w:eastAsia="Times New Roman"/>
        </w:rPr>
        <w:t> </w:t>
      </w:r>
    </w:p>
    <w:p w:rsidR="004600A5" w:rsidRDefault="007174D5">
      <w:pPr>
        <w:spacing w:line="360" w:lineRule="auto"/>
        <w:ind w:firstLine="420"/>
        <w:jc w:val="both"/>
        <w:rPr>
          <w:rFonts w:ascii="宋体" w:hAnsi="宋体" w:cs="宋体"/>
        </w:rPr>
      </w:pPr>
      <w:r>
        <w:rPr>
          <w:rFonts w:ascii="宋体" w:hAnsi="宋体" w:cs="宋体"/>
        </w:rPr>
        <w:t>为促进</w:t>
      </w:r>
      <w:r>
        <w:rPr>
          <w:rFonts w:ascii="宋体" w:hAnsi="宋体" w:cs="宋体" w:hint="eastAsia"/>
        </w:rPr>
        <w:t>鹏华国证机器人产业交易型开放式指数证券投资基金（以下简称“机器人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鹏华”）、鹏华创业板</w:t>
      </w:r>
      <w:r>
        <w:rPr>
          <w:rFonts w:ascii="宋体" w:hAnsi="宋体" w:cs="宋体" w:hint="eastAsia"/>
        </w:rPr>
        <w:t>50</w:t>
      </w:r>
      <w:r>
        <w:rPr>
          <w:rFonts w:ascii="宋体" w:hAnsi="宋体" w:cs="宋体" w:hint="eastAsia"/>
        </w:rPr>
        <w:t>交易型开放式指数证券投资基金（以下简称“创</w:t>
      </w:r>
      <w:r>
        <w:rPr>
          <w:rFonts w:ascii="宋体" w:hAnsi="宋体" w:cs="宋体" w:hint="eastAsia"/>
        </w:rPr>
        <w:t>50ETF</w:t>
      </w:r>
      <w:r>
        <w:rPr>
          <w:rFonts w:ascii="宋体" w:hAnsi="宋体" w:cs="宋体" w:hint="eastAsia"/>
        </w:rPr>
        <w:t>”）</w:t>
      </w:r>
      <w:r>
        <w:rPr>
          <w:rFonts w:ascii="宋体" w:hAnsi="宋体" w:cs="宋体" w:hint="eastAsia"/>
        </w:rPr>
        <w:t>、鹏华国证半导体芯片交易型开放式指数证券投资基金</w:t>
      </w:r>
      <w:r>
        <w:rPr>
          <w:rFonts w:ascii="宋体" w:hAnsi="宋体" w:cs="宋体" w:hint="eastAsia"/>
        </w:rPr>
        <w:t>（以下简称“半导体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”</w:t>
      </w:r>
      <w:r>
        <w:rPr>
          <w:rFonts w:ascii="宋体" w:hAnsi="宋体" w:cs="宋体" w:hint="eastAsia"/>
        </w:rPr>
        <w:t>）、鹏华中证细分化工产业主题交易型开放式指数证券投资基金（以下简称“化工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”）</w:t>
      </w:r>
      <w:r>
        <w:rPr>
          <w:rFonts w:ascii="宋体" w:hAnsi="宋体" w:cs="宋体" w:hint="eastAsia"/>
        </w:rPr>
        <w:t>、鹏华国证证券龙头交易型开放式指数证券投资基金（以下简称“证券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龙头”）</w:t>
      </w:r>
      <w:r>
        <w:rPr>
          <w:rFonts w:ascii="宋体" w:hAnsi="宋体" w:cs="宋体" w:hint="eastAsia"/>
        </w:rPr>
        <w:t>、鹏华创业板新能源交易型开放式指数证券投资基金</w:t>
      </w:r>
      <w:r>
        <w:rPr>
          <w:rFonts w:ascii="宋体" w:hAnsi="宋体" w:cs="宋体" w:hint="eastAsia"/>
        </w:rPr>
        <w:t>（以下简称“创业板新能源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鹏华”）</w:t>
      </w:r>
      <w:r>
        <w:rPr>
          <w:rFonts w:ascii="宋体" w:hAnsi="宋体" w:cs="宋体" w:hint="eastAsia"/>
        </w:rPr>
        <w:t>、鹏华中证云计算与大数据主题交易型开放式指数证券投资基金</w:t>
      </w:r>
      <w:r>
        <w:rPr>
          <w:rFonts w:ascii="宋体" w:hAnsi="宋体" w:cs="宋体" w:hint="eastAsia"/>
        </w:rPr>
        <w:t>（以下简称“大数据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”</w:t>
      </w:r>
      <w:r>
        <w:rPr>
          <w:rFonts w:ascii="宋体" w:hAnsi="宋体" w:cs="宋体" w:hint="eastAsia"/>
        </w:rPr>
        <w:t>）、鹏华中证传媒交易型开放式指数证券投资基金（以下简称“传媒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”）</w:t>
      </w:r>
      <w:r>
        <w:rPr>
          <w:rFonts w:ascii="宋体" w:hAnsi="宋体" w:cs="宋体" w:hint="eastAsia"/>
        </w:rPr>
        <w:t>、鹏华中证畜牧养殖交易型开放式指数证券投资基金（以下简称“畜牧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”）</w:t>
      </w:r>
      <w:r>
        <w:rPr>
          <w:rFonts w:ascii="宋体" w:hAnsi="宋体" w:cs="宋体" w:hint="eastAsia"/>
        </w:rPr>
        <w:t>、鹏华国证有色金属行业交易型开放式指数证券投资基金</w:t>
      </w:r>
      <w:r>
        <w:rPr>
          <w:rFonts w:ascii="宋体" w:hAnsi="宋体" w:cs="宋体" w:hint="eastAsia"/>
        </w:rPr>
        <w:t>（以下简称“有色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基金”）</w:t>
      </w:r>
      <w:r>
        <w:rPr>
          <w:rFonts w:ascii="宋体" w:hAnsi="宋体" w:cs="宋体"/>
        </w:rPr>
        <w:t>的市场流动性和平稳运行，根据《深圳证券交易所证券投资基金业务指引第</w:t>
      </w:r>
      <w:r>
        <w:rPr>
          <w:rFonts w:ascii="宋体" w:hAnsi="宋体" w:cs="宋体"/>
        </w:rPr>
        <w:t>2</w:t>
      </w:r>
      <w:r>
        <w:rPr>
          <w:rFonts w:ascii="宋体" w:hAnsi="宋体" w:cs="宋体"/>
        </w:rPr>
        <w:t>号</w:t>
      </w:r>
      <w:r>
        <w:rPr>
          <w:rFonts w:ascii="宋体" w:hAnsi="宋体" w:cs="宋体"/>
        </w:rPr>
        <w:t>——</w:t>
      </w:r>
      <w:r>
        <w:rPr>
          <w:rFonts w:ascii="宋体" w:hAnsi="宋体" w:cs="宋体"/>
        </w:rPr>
        <w:t>流动性服务》等有关规定，自</w:t>
      </w:r>
      <w:r>
        <w:rPr>
          <w:rFonts w:ascii="宋体" w:hAnsi="宋体" w:cs="宋体"/>
        </w:rPr>
        <w:t>202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/>
        </w:rPr>
        <w:t>年</w:t>
      </w:r>
      <w:r>
        <w:rPr>
          <w:rFonts w:ascii="宋体" w:hAnsi="宋体" w:cs="宋体" w:hint="eastAsia"/>
        </w:rPr>
        <w:t>11</w:t>
      </w:r>
      <w:r>
        <w:rPr>
          <w:rFonts w:ascii="宋体" w:hAnsi="宋体" w:cs="宋体"/>
        </w:rPr>
        <w:t>月</w:t>
      </w:r>
      <w:r>
        <w:rPr>
          <w:rFonts w:ascii="宋体" w:hAnsi="宋体" w:cs="宋体" w:hint="eastAsia"/>
        </w:rPr>
        <w:t>19</w:t>
      </w:r>
      <w:r>
        <w:rPr>
          <w:rFonts w:ascii="宋体" w:hAnsi="宋体" w:cs="宋体"/>
        </w:rPr>
        <w:t>日</w:t>
      </w:r>
      <w:r>
        <w:rPr>
          <w:rFonts w:ascii="宋体" w:hAnsi="宋体" w:cs="宋体"/>
        </w:rPr>
        <w:t>起，本公司</w:t>
      </w:r>
      <w:r>
        <w:rPr>
          <w:rFonts w:ascii="宋体" w:hAnsi="宋体" w:cs="宋体" w:hint="eastAsia"/>
        </w:rPr>
        <w:t>新增</w:t>
      </w:r>
      <w:bookmarkStart w:id="0" w:name="_Hlk200701869"/>
      <w:r>
        <w:rPr>
          <w:rFonts w:ascii="宋体" w:hAnsi="宋体" w:cs="宋体" w:hint="eastAsia"/>
        </w:rPr>
        <w:t>国信</w:t>
      </w:r>
      <w:bookmarkStart w:id="1" w:name="_GoBack"/>
      <w:bookmarkEnd w:id="1"/>
      <w:r>
        <w:rPr>
          <w:rFonts w:ascii="宋体" w:hAnsi="宋体" w:cs="宋体" w:hint="eastAsia"/>
        </w:rPr>
        <w:t>证券股份有限公司</w:t>
      </w:r>
      <w:bookmarkEnd w:id="0"/>
      <w:r>
        <w:rPr>
          <w:rFonts w:ascii="宋体" w:hAnsi="宋体" w:cs="宋体"/>
        </w:rPr>
        <w:t>为</w:t>
      </w:r>
      <w:r>
        <w:rPr>
          <w:rFonts w:ascii="宋体" w:hAnsi="宋体" w:cs="宋体" w:hint="eastAsia"/>
        </w:rPr>
        <w:t>机器人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鹏华（代码：</w:t>
      </w:r>
      <w:r>
        <w:rPr>
          <w:rFonts w:ascii="宋体" w:hAnsi="宋体" w:cs="宋体" w:hint="eastAsia"/>
        </w:rPr>
        <w:t>159278</w:t>
      </w:r>
      <w:r>
        <w:rPr>
          <w:rFonts w:ascii="宋体" w:hAnsi="宋体" w:cs="宋体" w:hint="eastAsia"/>
        </w:rPr>
        <w:t>）、创</w:t>
      </w:r>
      <w:r>
        <w:rPr>
          <w:rFonts w:ascii="宋体" w:hAnsi="宋体" w:cs="宋体" w:hint="eastAsia"/>
        </w:rPr>
        <w:t>50ETF</w:t>
      </w:r>
      <w:r>
        <w:rPr>
          <w:rFonts w:ascii="宋体" w:hAnsi="宋体" w:cs="宋体" w:hint="eastAsia"/>
        </w:rPr>
        <w:t>（代码：</w:t>
      </w:r>
      <w:r>
        <w:rPr>
          <w:rFonts w:ascii="宋体" w:hAnsi="宋体" w:cs="宋体" w:hint="eastAsia"/>
        </w:rPr>
        <w:t>159681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半导体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（代码：</w:t>
      </w:r>
      <w:r>
        <w:rPr>
          <w:rFonts w:ascii="宋体" w:hAnsi="宋体" w:cs="宋体" w:hint="eastAsia"/>
        </w:rPr>
        <w:t>159813</w:t>
      </w:r>
      <w:r>
        <w:rPr>
          <w:rFonts w:ascii="宋体" w:hAnsi="宋体" w:cs="宋体" w:hint="eastAsia"/>
        </w:rPr>
        <w:t>）、</w:t>
      </w:r>
      <w:r>
        <w:rPr>
          <w:rFonts w:ascii="宋体" w:hAnsi="宋体" w:cs="宋体" w:hint="eastAsia"/>
        </w:rPr>
        <w:t>化工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（代码：</w:t>
      </w:r>
      <w:r>
        <w:rPr>
          <w:rFonts w:ascii="宋体" w:hAnsi="宋体" w:cs="宋体" w:hint="eastAsia"/>
        </w:rPr>
        <w:t>159870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证券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龙头（代码：</w:t>
      </w:r>
      <w:r>
        <w:rPr>
          <w:rFonts w:ascii="宋体" w:hAnsi="宋体" w:cs="宋体" w:hint="eastAsia"/>
        </w:rPr>
        <w:t>159993</w:t>
      </w:r>
      <w:r>
        <w:rPr>
          <w:rFonts w:ascii="宋体" w:hAnsi="宋体" w:cs="宋体" w:hint="eastAsia"/>
        </w:rPr>
        <w:t>）、创业板新能源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鹏华（代码：</w:t>
      </w:r>
      <w:r>
        <w:rPr>
          <w:rFonts w:ascii="宋体" w:hAnsi="宋体" w:cs="宋体" w:hint="eastAsia"/>
        </w:rPr>
        <w:t>159261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大数据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（代码：</w:t>
      </w:r>
      <w:r>
        <w:rPr>
          <w:rFonts w:ascii="宋体" w:hAnsi="宋体" w:cs="宋体" w:hint="eastAsia"/>
        </w:rPr>
        <w:t>159739</w:t>
      </w:r>
      <w:r>
        <w:rPr>
          <w:rFonts w:ascii="宋体" w:hAnsi="宋体" w:cs="宋体" w:hint="eastAsia"/>
        </w:rPr>
        <w:t>）、</w:t>
      </w:r>
      <w:r>
        <w:rPr>
          <w:rFonts w:ascii="宋体" w:hAnsi="宋体" w:cs="宋体" w:hint="eastAsia"/>
        </w:rPr>
        <w:t>传媒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（代码：</w:t>
      </w:r>
      <w:r>
        <w:rPr>
          <w:rFonts w:ascii="宋体" w:hAnsi="宋体" w:cs="宋体" w:hint="eastAsia"/>
        </w:rPr>
        <w:t>159805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畜牧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（代码：</w:t>
      </w:r>
      <w:r>
        <w:rPr>
          <w:rFonts w:ascii="宋体" w:hAnsi="宋体" w:cs="宋体" w:hint="eastAsia"/>
        </w:rPr>
        <w:t>159867</w:t>
      </w:r>
      <w:r>
        <w:rPr>
          <w:rFonts w:ascii="宋体" w:hAnsi="宋体" w:cs="宋体" w:hint="eastAsia"/>
        </w:rPr>
        <w:t>）、有色</w:t>
      </w:r>
      <w:r>
        <w:rPr>
          <w:rFonts w:ascii="宋体" w:hAnsi="宋体" w:cs="宋体" w:hint="eastAsia"/>
        </w:rPr>
        <w:t>ETF</w:t>
      </w:r>
      <w:r>
        <w:rPr>
          <w:rFonts w:ascii="宋体" w:hAnsi="宋体" w:cs="宋体" w:hint="eastAsia"/>
        </w:rPr>
        <w:t>基金（代码：</w:t>
      </w:r>
      <w:r>
        <w:rPr>
          <w:rFonts w:ascii="宋体" w:hAnsi="宋体" w:cs="宋体" w:hint="eastAsia"/>
        </w:rPr>
        <w:t>159880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/>
        </w:rPr>
        <w:t>流动性服务商。</w:t>
      </w:r>
    </w:p>
    <w:p w:rsidR="004600A5" w:rsidRDefault="007174D5">
      <w:pPr>
        <w:spacing w:line="360" w:lineRule="auto"/>
        <w:ind w:firstLine="420"/>
        <w:jc w:val="both"/>
      </w:pPr>
      <w:r>
        <w:rPr>
          <w:rFonts w:ascii="宋体" w:hAnsi="宋体" w:cs="宋体"/>
        </w:rPr>
        <w:t>特此公告。</w:t>
      </w:r>
    </w:p>
    <w:p w:rsidR="004600A5" w:rsidRDefault="007174D5">
      <w:pPr>
        <w:spacing w:line="360" w:lineRule="auto"/>
      </w:pPr>
      <w:r>
        <w:rPr>
          <w:rFonts w:eastAsia="Times New Roman"/>
        </w:rPr>
        <w:t> </w:t>
      </w:r>
    </w:p>
    <w:p w:rsidR="004600A5" w:rsidRDefault="007174D5">
      <w:pPr>
        <w:spacing w:line="360" w:lineRule="auto"/>
        <w:ind w:firstLine="420"/>
        <w:jc w:val="right"/>
      </w:pPr>
      <w:r>
        <w:rPr>
          <w:rFonts w:ascii="宋体" w:hAnsi="宋体" w:cs="宋体"/>
        </w:rPr>
        <w:t>鹏华基金管理有限公司</w:t>
      </w:r>
    </w:p>
    <w:p w:rsidR="004600A5" w:rsidRDefault="007174D5">
      <w:pPr>
        <w:spacing w:line="360" w:lineRule="auto"/>
        <w:ind w:firstLine="420"/>
        <w:jc w:val="right"/>
        <w:rPr>
          <w:rFonts w:ascii="宋体" w:hAnsi="宋体" w:cs="宋体"/>
        </w:rPr>
      </w:pPr>
      <w:r>
        <w:rPr>
          <w:rFonts w:ascii="宋体" w:hAnsi="宋体" w:cs="宋体"/>
        </w:rPr>
        <w:t>202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/>
        </w:rPr>
        <w:t>年</w:t>
      </w:r>
      <w:r>
        <w:rPr>
          <w:rFonts w:ascii="宋体" w:hAnsi="宋体" w:cs="宋体" w:hint="eastAsia"/>
        </w:rPr>
        <w:t>11</w:t>
      </w:r>
      <w:r>
        <w:rPr>
          <w:rFonts w:ascii="宋体" w:hAnsi="宋体" w:cs="宋体"/>
        </w:rPr>
        <w:t>月</w:t>
      </w:r>
      <w:r>
        <w:rPr>
          <w:rFonts w:ascii="宋体" w:hAnsi="宋体" w:cs="宋体" w:hint="eastAsia"/>
        </w:rPr>
        <w:t>19</w:t>
      </w:r>
      <w:r>
        <w:rPr>
          <w:rFonts w:ascii="宋体" w:hAnsi="宋体" w:cs="宋体"/>
        </w:rPr>
        <w:t>日</w:t>
      </w:r>
    </w:p>
    <w:p w:rsidR="004600A5" w:rsidRDefault="004600A5">
      <w:pPr>
        <w:spacing w:line="360" w:lineRule="auto"/>
      </w:pPr>
    </w:p>
    <w:sectPr w:rsidR="004600A5" w:rsidSect="004600A5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0A5" w:rsidRDefault="004600A5" w:rsidP="004600A5">
      <w:r>
        <w:separator/>
      </w:r>
    </w:p>
  </w:endnote>
  <w:endnote w:type="continuationSeparator" w:id="0">
    <w:p w:rsidR="004600A5" w:rsidRDefault="004600A5" w:rsidP="00460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0A5" w:rsidRDefault="004600A5">
    <w:pPr>
      <w:jc w:val="center"/>
    </w:pPr>
    <w:r>
      <w:rPr>
        <w:rFonts w:ascii="宋体" w:hAnsi="宋体" w:cs="宋体"/>
        <w:sz w:val="18"/>
      </w:rPr>
      <w:fldChar w:fldCharType="begin"/>
    </w:r>
    <w:r w:rsidR="007174D5">
      <w:rPr>
        <w:rFonts w:ascii="宋体" w:hAnsi="宋体" w:cs="宋体"/>
        <w:sz w:val="18"/>
      </w:rPr>
      <w:instrText xml:space="preserve"> PAGE </w:instrText>
    </w:r>
    <w:r>
      <w:rPr>
        <w:rFonts w:ascii="宋体" w:hAnsi="宋体" w:cs="宋体"/>
        <w:sz w:val="18"/>
      </w:rPr>
      <w:fldChar w:fldCharType="separate"/>
    </w:r>
    <w:r w:rsidR="007174D5">
      <w:rPr>
        <w:rFonts w:ascii="宋体" w:hAnsi="宋体" w:cs="宋体"/>
        <w:noProof/>
        <w:sz w:val="18"/>
      </w:rPr>
      <w:t>1</w:t>
    </w:r>
    <w:r>
      <w:rPr>
        <w:rFonts w:ascii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0A5" w:rsidRDefault="004600A5" w:rsidP="004600A5">
      <w:r>
        <w:separator/>
      </w:r>
    </w:p>
  </w:footnote>
  <w:footnote w:type="continuationSeparator" w:id="0">
    <w:p w:rsidR="004600A5" w:rsidRDefault="004600A5" w:rsidP="004600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20"/>
  <w:drawingGridVerticalSpacing w:val="16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growAutofit/>
    <w:useFELayout/>
    <w:doNotUseIndentAsNumberingTabStop/>
    <w:useAltKinsokuLineBreakRules/>
    <w:doNotSuppressIndentation/>
    <w:autofitToFirstFixedWidthCell/>
    <w:splitPgBreakAndParaMark/>
    <w:doNotVertAlignCellWithSp/>
  </w:compat>
  <w:rsids>
    <w:rsidRoot w:val="003721F7"/>
    <w:rsid w:val="000F7EFC"/>
    <w:rsid w:val="00173D6D"/>
    <w:rsid w:val="003721F7"/>
    <w:rsid w:val="004600A5"/>
    <w:rsid w:val="007174D5"/>
    <w:rsid w:val="008D18A1"/>
    <w:rsid w:val="00FC34AB"/>
    <w:rsid w:val="283376A0"/>
    <w:rsid w:val="2CDE146D"/>
    <w:rsid w:val="41CD27C6"/>
    <w:rsid w:val="56FD72FC"/>
    <w:rsid w:val="71781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0A5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4600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600A5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600A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4600A5"/>
  </w:style>
  <w:style w:type="paragraph" w:styleId="5">
    <w:name w:val="toc 5"/>
    <w:basedOn w:val="a"/>
    <w:next w:val="a"/>
    <w:autoRedefine/>
    <w:qFormat/>
    <w:rsid w:val="004600A5"/>
    <w:pPr>
      <w:ind w:left="1680"/>
    </w:pPr>
  </w:style>
  <w:style w:type="paragraph" w:styleId="30">
    <w:name w:val="toc 3"/>
    <w:basedOn w:val="a"/>
    <w:next w:val="a"/>
    <w:autoRedefine/>
    <w:qFormat/>
    <w:rsid w:val="004600A5"/>
    <w:pPr>
      <w:ind w:left="840"/>
    </w:pPr>
  </w:style>
  <w:style w:type="paragraph" w:styleId="a4">
    <w:name w:val="Balloon Text"/>
    <w:basedOn w:val="a"/>
    <w:link w:val="Char0"/>
    <w:rsid w:val="004600A5"/>
    <w:rPr>
      <w:sz w:val="18"/>
      <w:szCs w:val="18"/>
    </w:rPr>
  </w:style>
  <w:style w:type="paragraph" w:styleId="a5">
    <w:name w:val="footer"/>
    <w:basedOn w:val="a"/>
    <w:qFormat/>
    <w:rsid w:val="004600A5"/>
    <w:pPr>
      <w:tabs>
        <w:tab w:val="center" w:pos="4153"/>
        <w:tab w:val="right" w:pos="8307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rsid w:val="004600A5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qFormat/>
    <w:rsid w:val="004600A5"/>
    <w:pPr>
      <w:spacing w:line="360" w:lineRule="auto"/>
    </w:pPr>
    <w:rPr>
      <w:rFonts w:ascii="宋体" w:hAnsi="宋体" w:cs="宋体"/>
      <w:b/>
      <w:sz w:val="21"/>
    </w:rPr>
  </w:style>
  <w:style w:type="paragraph" w:styleId="4">
    <w:name w:val="toc 4"/>
    <w:basedOn w:val="a"/>
    <w:next w:val="a"/>
    <w:autoRedefine/>
    <w:qFormat/>
    <w:rsid w:val="004600A5"/>
    <w:pPr>
      <w:ind w:left="1260"/>
    </w:pPr>
  </w:style>
  <w:style w:type="paragraph" w:styleId="20">
    <w:name w:val="toc 2"/>
    <w:basedOn w:val="a"/>
    <w:next w:val="a"/>
    <w:autoRedefine/>
    <w:qFormat/>
    <w:rsid w:val="004600A5"/>
    <w:pPr>
      <w:ind w:left="420"/>
    </w:pPr>
  </w:style>
  <w:style w:type="paragraph" w:styleId="a7">
    <w:name w:val="annotation subject"/>
    <w:basedOn w:val="a3"/>
    <w:next w:val="a3"/>
    <w:link w:val="Char1"/>
    <w:rsid w:val="004600A5"/>
    <w:rPr>
      <w:b/>
      <w:bCs/>
    </w:rPr>
  </w:style>
  <w:style w:type="character" w:styleId="a8">
    <w:name w:val="annotation reference"/>
    <w:basedOn w:val="a0"/>
    <w:rsid w:val="004600A5"/>
    <w:rPr>
      <w:sz w:val="21"/>
      <w:szCs w:val="21"/>
    </w:rPr>
  </w:style>
  <w:style w:type="character" w:customStyle="1" w:styleId="1Char">
    <w:name w:val="标题 1 Char"/>
    <w:basedOn w:val="a0"/>
    <w:link w:val="1"/>
    <w:rsid w:val="004600A5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4600A5"/>
    <w:rPr>
      <w:rFonts w:ascii="Times New Roman" w:eastAsia="黑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sid w:val="004600A5"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">
    <w:name w:val="批注文字 Char"/>
    <w:basedOn w:val="a0"/>
    <w:link w:val="a3"/>
    <w:rsid w:val="004600A5"/>
    <w:rPr>
      <w:sz w:val="24"/>
      <w:szCs w:val="24"/>
    </w:rPr>
  </w:style>
  <w:style w:type="character" w:customStyle="1" w:styleId="Char1">
    <w:name w:val="批注主题 Char"/>
    <w:basedOn w:val="Char"/>
    <w:link w:val="a7"/>
    <w:rsid w:val="004600A5"/>
    <w:rPr>
      <w:b/>
      <w:bCs/>
      <w:sz w:val="24"/>
      <w:szCs w:val="24"/>
    </w:rPr>
  </w:style>
  <w:style w:type="character" w:customStyle="1" w:styleId="Char0">
    <w:name w:val="批注框文本 Char"/>
    <w:basedOn w:val="a0"/>
    <w:link w:val="a4"/>
    <w:rsid w:val="004600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34ABEBA-A68C-4946-A42D-CC2A03733E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4</DocSecurity>
  <Lines>5</Lines>
  <Paragraphs>1</Paragraphs>
  <ScaleCrop>false</ScaleCrop>
  <Company>PHFUND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ZHONGM</cp:lastModifiedBy>
  <cp:revision>2</cp:revision>
  <dcterms:created xsi:type="dcterms:W3CDTF">2025-11-18T16:04:00Z</dcterms:created>
  <dcterms:modified xsi:type="dcterms:W3CDTF">2025-11-18T16:04:00Z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47FB63AB233140619BA0AC1E547099AC_12</vt:lpwstr>
  </property>
</Properties>
</file>