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19" w:rsidRDefault="00877626">
      <w:pPr>
        <w:spacing w:line="360" w:lineRule="auto"/>
        <w:jc w:val="center"/>
        <w:rPr>
          <w:rFonts w:asciiTheme="minorEastAsia" w:hAnsiTheme="minorEastAsia"/>
          <w:b/>
          <w:sz w:val="28"/>
          <w:szCs w:val="28"/>
        </w:rPr>
      </w:pPr>
      <w:r>
        <w:rPr>
          <w:rFonts w:asciiTheme="minorEastAsia" w:hAnsiTheme="minorEastAsia" w:hint="eastAsia"/>
          <w:b/>
          <w:sz w:val="28"/>
          <w:szCs w:val="28"/>
        </w:rPr>
        <w:t>兴证证券资产管理有限公司关于旗下部分</w:t>
      </w:r>
      <w:r>
        <w:rPr>
          <w:rFonts w:asciiTheme="minorEastAsia" w:hAnsiTheme="minorEastAsia" w:hint="eastAsia"/>
          <w:b/>
          <w:sz w:val="28"/>
          <w:szCs w:val="28"/>
        </w:rPr>
        <w:t>基金</w:t>
      </w:r>
      <w:r>
        <w:rPr>
          <w:rFonts w:asciiTheme="minorEastAsia" w:hAnsiTheme="minorEastAsia" w:hint="eastAsia"/>
          <w:b/>
          <w:sz w:val="28"/>
          <w:szCs w:val="28"/>
        </w:rPr>
        <w:t>新增</w:t>
      </w:r>
      <w:r>
        <w:rPr>
          <w:rFonts w:asciiTheme="minorEastAsia" w:hAnsiTheme="minorEastAsia" w:hint="eastAsia"/>
          <w:b/>
          <w:sz w:val="28"/>
          <w:szCs w:val="28"/>
        </w:rPr>
        <w:t>上海好买基金销售有限公司</w:t>
      </w:r>
      <w:r>
        <w:rPr>
          <w:rFonts w:asciiTheme="minorEastAsia" w:hAnsiTheme="minorEastAsia" w:hint="eastAsia"/>
          <w:b/>
          <w:sz w:val="28"/>
          <w:szCs w:val="28"/>
        </w:rPr>
        <w:t>为销售机构、开通定期定额投资业务并参加</w:t>
      </w:r>
      <w:r>
        <w:rPr>
          <w:rFonts w:asciiTheme="minorEastAsia" w:hAnsiTheme="minorEastAsia" w:hint="eastAsia"/>
          <w:b/>
          <w:sz w:val="28"/>
          <w:szCs w:val="28"/>
        </w:rPr>
        <w:t>申购</w:t>
      </w:r>
      <w:r>
        <w:rPr>
          <w:rFonts w:asciiTheme="minorEastAsia" w:hAnsiTheme="minorEastAsia" w:hint="eastAsia"/>
          <w:b/>
          <w:sz w:val="28"/>
          <w:szCs w:val="28"/>
        </w:rPr>
        <w:t>费率优惠活动的公告</w:t>
      </w:r>
    </w:p>
    <w:p w:rsidR="00A76019" w:rsidRDefault="00A76019">
      <w:pPr>
        <w:spacing w:line="360" w:lineRule="auto"/>
        <w:jc w:val="center"/>
        <w:rPr>
          <w:rFonts w:asciiTheme="minorEastAsia" w:hAnsiTheme="minorEastAsia"/>
          <w:b/>
          <w:sz w:val="24"/>
          <w:szCs w:val="24"/>
        </w:rPr>
      </w:pP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为了更好地满足广大投资者的理财需求，兴证证券资产管理有限公司（以下简称“本公司”）与</w:t>
      </w:r>
      <w:r>
        <w:rPr>
          <w:rFonts w:asciiTheme="minorEastAsia" w:hAnsiTheme="minorEastAsia" w:hint="eastAsia"/>
          <w:sz w:val="24"/>
          <w:szCs w:val="24"/>
        </w:rPr>
        <w:t>上海好买基金销售有限公司</w:t>
      </w:r>
      <w:r>
        <w:rPr>
          <w:rFonts w:asciiTheme="minorEastAsia" w:hAnsiTheme="minorEastAsia" w:hint="eastAsia"/>
          <w:sz w:val="24"/>
          <w:szCs w:val="24"/>
        </w:rPr>
        <w:t>（以下简称“</w:t>
      </w:r>
      <w:r>
        <w:rPr>
          <w:rFonts w:asciiTheme="minorEastAsia" w:hAnsiTheme="minorEastAsia" w:hint="eastAsia"/>
          <w:sz w:val="24"/>
          <w:szCs w:val="24"/>
        </w:rPr>
        <w:t>好买基金</w:t>
      </w:r>
      <w:r>
        <w:rPr>
          <w:rFonts w:asciiTheme="minorEastAsia" w:hAnsiTheme="minorEastAsia" w:hint="eastAsia"/>
          <w:sz w:val="24"/>
          <w:szCs w:val="24"/>
        </w:rPr>
        <w:t>”）协商一致，决定自</w:t>
      </w:r>
      <w:r>
        <w:rPr>
          <w:rFonts w:asciiTheme="minorEastAsia" w:hAnsiTheme="minorEastAsia" w:hint="eastAsia"/>
          <w:sz w:val="24"/>
          <w:szCs w:val="24"/>
        </w:rPr>
        <w:t>2</w:t>
      </w:r>
      <w:r>
        <w:rPr>
          <w:rFonts w:asciiTheme="minorEastAsia" w:hAnsiTheme="minorEastAsia"/>
          <w:sz w:val="24"/>
          <w:szCs w:val="24"/>
        </w:rPr>
        <w:t>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19</w:t>
      </w:r>
      <w:r>
        <w:rPr>
          <w:rFonts w:asciiTheme="minorEastAsia" w:hAnsiTheme="minorEastAsia" w:hint="eastAsia"/>
          <w:sz w:val="24"/>
          <w:szCs w:val="24"/>
        </w:rPr>
        <w:t>日起，新增</w:t>
      </w:r>
      <w:r>
        <w:rPr>
          <w:rFonts w:asciiTheme="minorEastAsia" w:hAnsiTheme="minorEastAsia" w:hint="eastAsia"/>
          <w:sz w:val="24"/>
          <w:szCs w:val="24"/>
        </w:rPr>
        <w:t>好买基金</w:t>
      </w:r>
      <w:r>
        <w:rPr>
          <w:rFonts w:asciiTheme="minorEastAsia" w:hAnsiTheme="minorEastAsia" w:hint="eastAsia"/>
          <w:sz w:val="24"/>
          <w:szCs w:val="24"/>
        </w:rPr>
        <w:t>为兴证资管金麒麟兴睿优选混合型</w:t>
      </w:r>
      <w:r>
        <w:rPr>
          <w:rFonts w:asciiTheme="minorEastAsia" w:hAnsiTheme="minorEastAsia" w:hint="eastAsia"/>
          <w:sz w:val="24"/>
          <w:szCs w:val="24"/>
        </w:rPr>
        <w:t>证券投资基金、</w:t>
      </w:r>
      <w:r>
        <w:rPr>
          <w:rFonts w:asciiTheme="minorEastAsia" w:hAnsiTheme="minorEastAsia" w:hint="eastAsia"/>
          <w:sz w:val="24"/>
          <w:szCs w:val="24"/>
        </w:rPr>
        <w:t>兴证资管金麒麟恒睿致远一年持有期混合型</w:t>
      </w:r>
      <w:r>
        <w:rPr>
          <w:rFonts w:asciiTheme="minorEastAsia" w:hAnsiTheme="minorEastAsia" w:hint="eastAsia"/>
          <w:sz w:val="24"/>
          <w:szCs w:val="24"/>
        </w:rPr>
        <w:t>证券投资基金和</w:t>
      </w:r>
      <w:r>
        <w:rPr>
          <w:rFonts w:asciiTheme="minorEastAsia" w:hAnsiTheme="minorEastAsia" w:hint="eastAsia"/>
          <w:sz w:val="24"/>
          <w:szCs w:val="24"/>
        </w:rPr>
        <w:t>兴证资管金麒麟</w:t>
      </w:r>
      <w:r>
        <w:rPr>
          <w:rFonts w:asciiTheme="minorEastAsia" w:hAnsiTheme="minorEastAsia" w:hint="eastAsia"/>
          <w:sz w:val="24"/>
          <w:szCs w:val="24"/>
        </w:rPr>
        <w:t>兴享增利六个月持有期债券</w:t>
      </w:r>
      <w:r>
        <w:rPr>
          <w:rFonts w:asciiTheme="minorEastAsia" w:hAnsiTheme="minorEastAsia" w:hint="eastAsia"/>
          <w:sz w:val="24"/>
          <w:szCs w:val="24"/>
        </w:rPr>
        <w:t>型</w:t>
      </w:r>
      <w:r>
        <w:rPr>
          <w:rFonts w:asciiTheme="minorEastAsia" w:hAnsiTheme="minorEastAsia" w:hint="eastAsia"/>
          <w:sz w:val="24"/>
          <w:szCs w:val="24"/>
        </w:rPr>
        <w:t>证券投资基金</w:t>
      </w:r>
      <w:r>
        <w:rPr>
          <w:rFonts w:asciiTheme="minorEastAsia" w:hAnsiTheme="minorEastAsia" w:hint="eastAsia"/>
          <w:sz w:val="24"/>
          <w:szCs w:val="24"/>
        </w:rPr>
        <w:t>的销售机构，并在上述销售机构开通定期定额投资业务（以下简称“定投”）及参加相关费率优惠活动。现将有关事项具体公告如下：</w:t>
      </w:r>
    </w:p>
    <w:p w:rsidR="00A76019" w:rsidRDefault="00A76019">
      <w:pPr>
        <w:spacing w:line="360" w:lineRule="auto"/>
        <w:ind w:firstLineChars="300" w:firstLine="720"/>
        <w:rPr>
          <w:rFonts w:asciiTheme="minorEastAsia" w:hAnsiTheme="minorEastAsia"/>
          <w:sz w:val="24"/>
          <w:szCs w:val="24"/>
        </w:rPr>
      </w:pPr>
    </w:p>
    <w:p w:rsidR="00A76019" w:rsidRDefault="00877626">
      <w:pPr>
        <w:spacing w:line="360" w:lineRule="auto"/>
        <w:rPr>
          <w:rFonts w:asciiTheme="minorEastAsia" w:hAnsiTheme="minorEastAsia"/>
          <w:b/>
          <w:bCs/>
          <w:sz w:val="24"/>
          <w:szCs w:val="24"/>
        </w:rPr>
      </w:pPr>
      <w:r>
        <w:rPr>
          <w:rFonts w:asciiTheme="minorEastAsia" w:hAnsiTheme="minorEastAsia" w:hint="eastAsia"/>
          <w:b/>
          <w:bCs/>
          <w:sz w:val="24"/>
          <w:szCs w:val="24"/>
        </w:rPr>
        <w:t>一、</w:t>
      </w:r>
      <w:r>
        <w:rPr>
          <w:rFonts w:asciiTheme="minorEastAsia" w:hAnsiTheme="minorEastAsia" w:hint="eastAsia"/>
          <w:b/>
          <w:bCs/>
          <w:sz w:val="24"/>
          <w:szCs w:val="24"/>
        </w:rPr>
        <w:t xml:space="preserve"> </w:t>
      </w:r>
      <w:r>
        <w:rPr>
          <w:rFonts w:asciiTheme="minorEastAsia" w:hAnsiTheme="minorEastAsia" w:hint="eastAsia"/>
          <w:b/>
          <w:bCs/>
          <w:sz w:val="24"/>
          <w:szCs w:val="24"/>
        </w:rPr>
        <w:t>适用业务范围</w:t>
      </w:r>
    </w:p>
    <w:p w:rsidR="00A76019" w:rsidRDefault="00877626">
      <w:pPr>
        <w:spacing w:line="360" w:lineRule="auto"/>
        <w:ind w:firstLine="420"/>
        <w:rPr>
          <w:rFonts w:asciiTheme="minorEastAsia" w:hAnsiTheme="minorEastAsia"/>
          <w:sz w:val="24"/>
          <w:szCs w:val="24"/>
        </w:rPr>
      </w:pPr>
      <w:r>
        <w:rPr>
          <w:rFonts w:asciiTheme="minorEastAsia" w:hAnsiTheme="minorEastAsia" w:hint="eastAsia"/>
          <w:sz w:val="24"/>
          <w:szCs w:val="24"/>
        </w:rPr>
        <w:t>投资者可通过</w:t>
      </w:r>
      <w:r>
        <w:rPr>
          <w:rFonts w:asciiTheme="minorEastAsia" w:hAnsiTheme="minorEastAsia" w:hint="eastAsia"/>
          <w:sz w:val="24"/>
          <w:szCs w:val="24"/>
        </w:rPr>
        <w:t>上海好买基金销售有限公司</w:t>
      </w:r>
      <w:r>
        <w:rPr>
          <w:rFonts w:ascii="宋体" w:eastAsia="宋体" w:hAnsi="宋体" w:cs="宋体" w:hint="eastAsia"/>
          <w:sz w:val="24"/>
          <w:szCs w:val="24"/>
        </w:rPr>
        <w:t>办理</w:t>
      </w:r>
      <w:r>
        <w:rPr>
          <w:rFonts w:asciiTheme="minorEastAsia" w:hAnsiTheme="minorEastAsia" w:hint="eastAsia"/>
          <w:sz w:val="24"/>
          <w:szCs w:val="24"/>
        </w:rPr>
        <w:t>兴证资管金麒麟兴睿优选混合型</w:t>
      </w:r>
      <w:r>
        <w:rPr>
          <w:rFonts w:asciiTheme="minorEastAsia" w:hAnsiTheme="minorEastAsia" w:hint="eastAsia"/>
          <w:sz w:val="24"/>
          <w:szCs w:val="24"/>
        </w:rPr>
        <w:t>证券投资基金</w:t>
      </w:r>
      <w:r>
        <w:rPr>
          <w:rFonts w:asciiTheme="minorEastAsia" w:hAnsiTheme="minorEastAsia" w:hint="eastAsia"/>
          <w:sz w:val="24"/>
          <w:szCs w:val="24"/>
        </w:rPr>
        <w:t>（</w:t>
      </w:r>
      <w:r>
        <w:rPr>
          <w:rFonts w:asciiTheme="minorEastAsia" w:hAnsiTheme="minorEastAsia" w:hint="eastAsia"/>
          <w:sz w:val="24"/>
          <w:szCs w:val="24"/>
        </w:rPr>
        <w:t>D</w:t>
      </w:r>
      <w:r>
        <w:rPr>
          <w:rFonts w:asciiTheme="minorEastAsia" w:hAnsiTheme="minorEastAsia" w:hint="eastAsia"/>
          <w:sz w:val="24"/>
          <w:szCs w:val="24"/>
        </w:rPr>
        <w:t>类份额代码：</w:t>
      </w:r>
      <w:r>
        <w:rPr>
          <w:rFonts w:asciiTheme="minorEastAsia" w:hAnsiTheme="minorEastAsia" w:hint="eastAsia"/>
          <w:sz w:val="24"/>
          <w:szCs w:val="24"/>
        </w:rPr>
        <w:t>025843</w:t>
      </w:r>
      <w:r>
        <w:rPr>
          <w:rFonts w:asciiTheme="minorEastAsia" w:hAnsiTheme="minorEastAsia" w:hint="eastAsia"/>
          <w:sz w:val="24"/>
          <w:szCs w:val="24"/>
        </w:rPr>
        <w:t>、</w:t>
      </w:r>
      <w:r>
        <w:rPr>
          <w:rFonts w:asciiTheme="minorEastAsia" w:hAnsiTheme="minorEastAsia" w:hint="eastAsia"/>
          <w:sz w:val="24"/>
          <w:szCs w:val="24"/>
        </w:rPr>
        <w:t>E</w:t>
      </w:r>
      <w:r>
        <w:rPr>
          <w:rFonts w:asciiTheme="minorEastAsia" w:hAnsiTheme="minorEastAsia" w:hint="eastAsia"/>
          <w:sz w:val="24"/>
          <w:szCs w:val="24"/>
        </w:rPr>
        <w:t>类份额代码：</w:t>
      </w:r>
      <w:r>
        <w:rPr>
          <w:rFonts w:asciiTheme="minorEastAsia" w:hAnsiTheme="minorEastAsia" w:hint="eastAsia"/>
          <w:sz w:val="24"/>
          <w:szCs w:val="24"/>
        </w:rPr>
        <w:t>025844</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兴证资管金麒麟恒睿致远一年持有期混合型</w:t>
      </w:r>
      <w:r>
        <w:rPr>
          <w:rFonts w:asciiTheme="minorEastAsia" w:hAnsiTheme="minorEastAsia" w:hint="eastAsia"/>
          <w:sz w:val="24"/>
          <w:szCs w:val="24"/>
        </w:rPr>
        <w:t>证券投资基金</w:t>
      </w:r>
      <w:r>
        <w:rPr>
          <w:rFonts w:asciiTheme="minorEastAsia" w:hAnsiTheme="minorEastAsia" w:hint="eastAsia"/>
          <w:sz w:val="24"/>
          <w:szCs w:val="24"/>
        </w:rPr>
        <w:t>（</w:t>
      </w:r>
      <w:r>
        <w:rPr>
          <w:rFonts w:asciiTheme="minorEastAsia" w:hAnsiTheme="minorEastAsia" w:hint="eastAsia"/>
          <w:sz w:val="24"/>
          <w:szCs w:val="24"/>
        </w:rPr>
        <w:t>A</w:t>
      </w:r>
      <w:r>
        <w:rPr>
          <w:rFonts w:asciiTheme="minorEastAsia" w:hAnsiTheme="minorEastAsia" w:hint="eastAsia"/>
          <w:sz w:val="24"/>
          <w:szCs w:val="24"/>
        </w:rPr>
        <w:t>类份额代码：</w:t>
      </w:r>
      <w:r>
        <w:rPr>
          <w:rFonts w:asciiTheme="minorEastAsia" w:hAnsiTheme="minorEastAsia" w:hint="eastAsia"/>
          <w:sz w:val="24"/>
          <w:szCs w:val="24"/>
        </w:rPr>
        <w:t>970119</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类份额代码：</w:t>
      </w:r>
      <w:r>
        <w:rPr>
          <w:rFonts w:asciiTheme="minorEastAsia" w:hAnsiTheme="minorEastAsia" w:hint="eastAsia"/>
          <w:sz w:val="24"/>
          <w:szCs w:val="24"/>
        </w:rPr>
        <w:t>970121</w:t>
      </w:r>
      <w:r>
        <w:rPr>
          <w:rFonts w:asciiTheme="minorEastAsia" w:hAnsiTheme="minorEastAsia" w:hint="eastAsia"/>
          <w:sz w:val="24"/>
          <w:szCs w:val="24"/>
        </w:rPr>
        <w:t>）</w:t>
      </w:r>
      <w:r>
        <w:rPr>
          <w:rFonts w:asciiTheme="minorEastAsia" w:hAnsiTheme="minorEastAsia" w:hint="eastAsia"/>
          <w:sz w:val="24"/>
          <w:szCs w:val="24"/>
        </w:rPr>
        <w:t>和</w:t>
      </w:r>
      <w:r>
        <w:rPr>
          <w:rFonts w:asciiTheme="minorEastAsia" w:hAnsiTheme="minorEastAsia" w:hint="eastAsia"/>
          <w:sz w:val="24"/>
          <w:szCs w:val="24"/>
        </w:rPr>
        <w:t>兴证资管金麒麟</w:t>
      </w:r>
      <w:r>
        <w:rPr>
          <w:rFonts w:asciiTheme="minorEastAsia" w:hAnsiTheme="minorEastAsia" w:hint="eastAsia"/>
          <w:sz w:val="24"/>
          <w:szCs w:val="24"/>
        </w:rPr>
        <w:t>兴享增利六个月持有期债券</w:t>
      </w:r>
      <w:r>
        <w:rPr>
          <w:rFonts w:asciiTheme="minorEastAsia" w:hAnsiTheme="minorEastAsia" w:hint="eastAsia"/>
          <w:sz w:val="24"/>
          <w:szCs w:val="24"/>
        </w:rPr>
        <w:t>型</w:t>
      </w:r>
      <w:r>
        <w:rPr>
          <w:rFonts w:asciiTheme="minorEastAsia" w:hAnsiTheme="minorEastAsia" w:hint="eastAsia"/>
          <w:sz w:val="24"/>
          <w:szCs w:val="24"/>
        </w:rPr>
        <w:t>证券投资基金</w:t>
      </w:r>
      <w:r>
        <w:rPr>
          <w:rFonts w:asciiTheme="minorEastAsia" w:hAnsiTheme="minorEastAsia" w:hint="eastAsia"/>
          <w:sz w:val="24"/>
          <w:szCs w:val="24"/>
        </w:rPr>
        <w:t>（</w:t>
      </w:r>
      <w:r>
        <w:rPr>
          <w:rFonts w:asciiTheme="minorEastAsia" w:hAnsiTheme="minorEastAsia" w:hint="eastAsia"/>
          <w:sz w:val="24"/>
          <w:szCs w:val="24"/>
        </w:rPr>
        <w:t>A</w:t>
      </w:r>
      <w:r>
        <w:rPr>
          <w:rFonts w:asciiTheme="minorEastAsia" w:hAnsiTheme="minorEastAsia" w:hint="eastAsia"/>
          <w:sz w:val="24"/>
          <w:szCs w:val="24"/>
        </w:rPr>
        <w:t>类份额代码：</w:t>
      </w:r>
      <w:r>
        <w:rPr>
          <w:rFonts w:asciiTheme="minorEastAsia" w:hAnsiTheme="minorEastAsia" w:hint="eastAsia"/>
          <w:sz w:val="24"/>
          <w:szCs w:val="24"/>
        </w:rPr>
        <w:t>970</w:t>
      </w:r>
      <w:r>
        <w:rPr>
          <w:rFonts w:asciiTheme="minorEastAsia" w:hAnsiTheme="minorEastAsia" w:hint="eastAsia"/>
          <w:sz w:val="24"/>
          <w:szCs w:val="24"/>
        </w:rPr>
        <w:t>204</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类份额代码：</w:t>
      </w:r>
      <w:r>
        <w:rPr>
          <w:rFonts w:asciiTheme="minorEastAsia" w:hAnsiTheme="minorEastAsia" w:hint="eastAsia"/>
          <w:sz w:val="24"/>
          <w:szCs w:val="24"/>
        </w:rPr>
        <w:t>970</w:t>
      </w:r>
      <w:r>
        <w:rPr>
          <w:rFonts w:asciiTheme="minorEastAsia" w:hAnsiTheme="minorEastAsia" w:hint="eastAsia"/>
          <w:sz w:val="24"/>
          <w:szCs w:val="24"/>
        </w:rPr>
        <w:t>205</w:t>
      </w:r>
      <w:r>
        <w:rPr>
          <w:rFonts w:asciiTheme="minorEastAsia" w:hAnsiTheme="minorEastAsia" w:hint="eastAsia"/>
          <w:sz w:val="24"/>
          <w:szCs w:val="24"/>
        </w:rPr>
        <w:t>）的申购、赎回、定期定额投资及其他相关销售业务。</w:t>
      </w:r>
    </w:p>
    <w:p w:rsidR="00A76019" w:rsidRDefault="00A76019">
      <w:pPr>
        <w:spacing w:line="360" w:lineRule="auto"/>
        <w:ind w:firstLine="420"/>
        <w:rPr>
          <w:rFonts w:asciiTheme="minorEastAsia" w:hAnsiTheme="minorEastAsia"/>
          <w:b/>
          <w:bCs/>
          <w:sz w:val="24"/>
          <w:szCs w:val="24"/>
        </w:rPr>
      </w:pPr>
    </w:p>
    <w:p w:rsidR="00A76019" w:rsidRDefault="00877626">
      <w:pPr>
        <w:spacing w:line="360" w:lineRule="auto"/>
        <w:rPr>
          <w:rFonts w:asciiTheme="minorEastAsia" w:hAnsiTheme="minorEastAsia"/>
          <w:b/>
          <w:bCs/>
          <w:sz w:val="24"/>
          <w:szCs w:val="24"/>
        </w:rPr>
      </w:pPr>
      <w:r>
        <w:rPr>
          <w:rFonts w:asciiTheme="minorEastAsia" w:hAnsiTheme="minorEastAsia" w:hint="eastAsia"/>
          <w:b/>
          <w:bCs/>
          <w:sz w:val="24"/>
          <w:szCs w:val="24"/>
        </w:rPr>
        <w:t>二、定期定额投资业务</w:t>
      </w:r>
    </w:p>
    <w:p w:rsidR="00A76019" w:rsidRDefault="00877626">
      <w:pPr>
        <w:spacing w:line="360" w:lineRule="auto"/>
        <w:ind w:firstLine="42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基金定投指投资人通过销售机构提交申请，约定固定扣款时间和扣款金额，由销售机构于固定约定扣款日在投资人指定资金账户内自动完成扣款和提交基金申购申请的一种投资方式。定期定额投资业务并不构成对相关基金日常申购、赎回等业务的影响，投资者在办理相关基金定期定额投资业务的同时，仍然可以进行日常申购、赎回业务。</w:t>
      </w:r>
    </w:p>
    <w:p w:rsidR="00A76019" w:rsidRDefault="00877626">
      <w:pPr>
        <w:spacing w:line="360" w:lineRule="auto"/>
        <w:ind w:firstLine="42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、上述</w:t>
      </w:r>
      <w:r>
        <w:rPr>
          <w:rFonts w:asciiTheme="minorEastAsia" w:hAnsiTheme="minorEastAsia" w:hint="eastAsia"/>
          <w:sz w:val="24"/>
          <w:szCs w:val="24"/>
        </w:rPr>
        <w:t>基金定投每期扣款金额为最低</w:t>
      </w:r>
      <w:r>
        <w:rPr>
          <w:rFonts w:asciiTheme="minorEastAsia" w:hAnsiTheme="minorEastAsia"/>
          <w:sz w:val="24"/>
          <w:szCs w:val="24"/>
        </w:rPr>
        <w:t>1</w:t>
      </w:r>
      <w:r>
        <w:rPr>
          <w:rFonts w:asciiTheme="minorEastAsia" w:hAnsiTheme="minorEastAsia" w:hint="eastAsia"/>
          <w:sz w:val="24"/>
          <w:szCs w:val="24"/>
        </w:rPr>
        <w:t>0</w:t>
      </w:r>
      <w:r>
        <w:rPr>
          <w:rFonts w:asciiTheme="minorEastAsia" w:hAnsiTheme="minorEastAsia" w:hint="eastAsia"/>
          <w:sz w:val="24"/>
          <w:szCs w:val="24"/>
        </w:rPr>
        <w:t>元起，销售机构可在此最低金额基础之上，根据需要设置等于或高于</w:t>
      </w:r>
      <w:r>
        <w:rPr>
          <w:rFonts w:asciiTheme="minorEastAsia" w:hAnsiTheme="minorEastAsia" w:hint="eastAsia"/>
          <w:sz w:val="24"/>
          <w:szCs w:val="24"/>
        </w:rPr>
        <w:t>10</w:t>
      </w:r>
      <w:r>
        <w:rPr>
          <w:rFonts w:asciiTheme="minorEastAsia" w:hAnsiTheme="minorEastAsia" w:hint="eastAsia"/>
          <w:sz w:val="24"/>
          <w:szCs w:val="24"/>
        </w:rPr>
        <w:t>元的最低扣款金额，具体扣款金额以</w:t>
      </w:r>
      <w:r>
        <w:rPr>
          <w:rFonts w:asciiTheme="minorEastAsia" w:hAnsiTheme="minorEastAsia" w:hint="eastAsia"/>
          <w:sz w:val="24"/>
          <w:szCs w:val="24"/>
        </w:rPr>
        <w:t>各销</w:t>
      </w:r>
      <w:r>
        <w:rPr>
          <w:rFonts w:asciiTheme="minorEastAsia" w:hAnsiTheme="minorEastAsia" w:hint="eastAsia"/>
          <w:sz w:val="24"/>
          <w:szCs w:val="24"/>
        </w:rPr>
        <w:lastRenderedPageBreak/>
        <w:t>售机构官方网站页面公示为准。</w:t>
      </w:r>
    </w:p>
    <w:p w:rsidR="00A76019" w:rsidRDefault="00877626">
      <w:pPr>
        <w:spacing w:line="360" w:lineRule="auto"/>
        <w:ind w:firstLine="4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hint="eastAsia"/>
          <w:sz w:val="24"/>
          <w:szCs w:val="24"/>
        </w:rPr>
        <w:t>各销售机构将按照与投资者申请时所约定的每期固定扣款日、扣款金额扣款，投资者须指定一个有效资金账户作为每期固定扣款账户。若遇非基金交易日时，扣款是否顺延以各销售机构的具体规定为准。具体扣款方式按各销售机构的相关业务规则办理。</w:t>
      </w:r>
    </w:p>
    <w:p w:rsidR="00A76019" w:rsidRDefault="00877626">
      <w:pPr>
        <w:spacing w:line="360" w:lineRule="auto"/>
        <w:ind w:firstLine="4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基金定投业务办理的具体时间、流程及变更和终止等相关规则具体以各销售机构的安排和规定为准。</w:t>
      </w:r>
    </w:p>
    <w:p w:rsidR="00A76019" w:rsidRDefault="00A76019">
      <w:pPr>
        <w:spacing w:line="360" w:lineRule="auto"/>
        <w:ind w:firstLine="420"/>
        <w:rPr>
          <w:rFonts w:asciiTheme="minorEastAsia" w:hAnsiTheme="minorEastAsia"/>
          <w:sz w:val="24"/>
          <w:szCs w:val="24"/>
        </w:rPr>
      </w:pPr>
    </w:p>
    <w:p w:rsidR="00A76019" w:rsidRDefault="00877626">
      <w:pPr>
        <w:spacing w:line="360" w:lineRule="auto"/>
        <w:rPr>
          <w:rFonts w:asciiTheme="minorEastAsia" w:hAnsiTheme="minorEastAsia"/>
          <w:b/>
          <w:bCs/>
          <w:sz w:val="24"/>
          <w:szCs w:val="24"/>
        </w:rPr>
      </w:pPr>
      <w:r>
        <w:rPr>
          <w:rFonts w:asciiTheme="minorEastAsia" w:hAnsiTheme="minorEastAsia" w:hint="eastAsia"/>
          <w:b/>
          <w:bCs/>
          <w:sz w:val="24"/>
          <w:szCs w:val="24"/>
        </w:rPr>
        <w:t>三、申购或定投费率优惠活动</w:t>
      </w:r>
    </w:p>
    <w:p w:rsidR="00A76019" w:rsidRDefault="00877626">
      <w:pPr>
        <w:spacing w:line="360" w:lineRule="auto"/>
        <w:ind w:left="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、具体优惠方式：</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投资者通过</w:t>
      </w:r>
      <w:r>
        <w:rPr>
          <w:rFonts w:asciiTheme="minorEastAsia" w:hAnsiTheme="minorEastAsia" w:hint="eastAsia"/>
          <w:sz w:val="24"/>
          <w:szCs w:val="24"/>
        </w:rPr>
        <w:t>上海好买基金销售有限公司</w:t>
      </w:r>
      <w:r>
        <w:rPr>
          <w:rFonts w:asciiTheme="minorEastAsia" w:hAnsiTheme="minorEastAsia" w:hint="eastAsia"/>
          <w:sz w:val="24"/>
          <w:szCs w:val="24"/>
        </w:rPr>
        <w:t>申购或定投</w:t>
      </w:r>
      <w:r>
        <w:rPr>
          <w:rFonts w:asciiTheme="minorEastAsia" w:hAnsiTheme="minorEastAsia" w:hint="eastAsia"/>
          <w:sz w:val="24"/>
          <w:szCs w:val="24"/>
        </w:rPr>
        <w:t>上述基金份额</w:t>
      </w:r>
      <w:r>
        <w:rPr>
          <w:rFonts w:asciiTheme="minorEastAsia" w:hAnsiTheme="minorEastAsia" w:hint="eastAsia"/>
          <w:sz w:val="24"/>
          <w:szCs w:val="24"/>
        </w:rPr>
        <w:t>，按照下述方式享受申购或定投费率优惠。</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申购或定投</w:t>
      </w:r>
      <w:r>
        <w:rPr>
          <w:rFonts w:asciiTheme="minorEastAsia" w:hAnsiTheme="minorEastAsia" w:hint="eastAsia"/>
          <w:sz w:val="24"/>
          <w:szCs w:val="24"/>
        </w:rPr>
        <w:t>费率按折扣优惠，即执行申购或定投费率</w:t>
      </w:r>
      <w:r>
        <w:rPr>
          <w:rFonts w:asciiTheme="minorEastAsia" w:hAnsiTheme="minorEastAsia" w:hint="eastAsia"/>
          <w:sz w:val="24"/>
          <w:szCs w:val="24"/>
        </w:rPr>
        <w:t>=</w:t>
      </w:r>
      <w:r>
        <w:rPr>
          <w:rFonts w:asciiTheme="minorEastAsia" w:hAnsiTheme="minorEastAsia" w:hint="eastAsia"/>
          <w:sz w:val="24"/>
          <w:szCs w:val="24"/>
        </w:rPr>
        <w:t>原申购费率×折扣率</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详细费率请参见各</w:t>
      </w:r>
      <w:r>
        <w:rPr>
          <w:rFonts w:asciiTheme="minorEastAsia" w:hAnsiTheme="minorEastAsia" w:hint="eastAsia"/>
          <w:sz w:val="24"/>
          <w:szCs w:val="24"/>
        </w:rPr>
        <w:t>基金</w:t>
      </w:r>
      <w:r>
        <w:rPr>
          <w:rFonts w:asciiTheme="minorEastAsia" w:hAnsiTheme="minorEastAsia" w:hint="eastAsia"/>
          <w:sz w:val="24"/>
          <w:szCs w:val="24"/>
        </w:rPr>
        <w:t>的《</w:t>
      </w:r>
      <w:r>
        <w:rPr>
          <w:rFonts w:asciiTheme="minorEastAsia" w:hAnsiTheme="minorEastAsia" w:hint="eastAsia"/>
          <w:sz w:val="24"/>
          <w:szCs w:val="24"/>
        </w:rPr>
        <w:t>基金</w:t>
      </w:r>
      <w:r>
        <w:rPr>
          <w:rFonts w:asciiTheme="minorEastAsia" w:hAnsiTheme="minorEastAsia" w:hint="eastAsia"/>
          <w:sz w:val="24"/>
          <w:szCs w:val="24"/>
        </w:rPr>
        <w:t>合同》、《招募说明书》、《</w:t>
      </w:r>
      <w:r>
        <w:rPr>
          <w:rFonts w:asciiTheme="minorEastAsia" w:hAnsiTheme="minorEastAsia" w:hint="eastAsia"/>
          <w:sz w:val="24"/>
          <w:szCs w:val="24"/>
        </w:rPr>
        <w:t>基金</w:t>
      </w:r>
      <w:r>
        <w:rPr>
          <w:rFonts w:asciiTheme="minorEastAsia" w:hAnsiTheme="minorEastAsia" w:hint="eastAsia"/>
          <w:sz w:val="24"/>
          <w:szCs w:val="24"/>
        </w:rPr>
        <w:t>产品资料概要》等法律文件及本公司发布的最新业务公告</w:t>
      </w:r>
      <w:r>
        <w:rPr>
          <w:rFonts w:asciiTheme="minorEastAsia" w:hAnsiTheme="minorEastAsia" w:hint="eastAsia"/>
          <w:sz w:val="24"/>
          <w:szCs w:val="24"/>
        </w:rPr>
        <w:t>。</w:t>
      </w:r>
    </w:p>
    <w:tbl>
      <w:tblPr>
        <w:tblStyle w:val="a8"/>
        <w:tblW w:w="8364" w:type="dxa"/>
        <w:tblInd w:w="108" w:type="dxa"/>
        <w:tblLook w:val="04A0"/>
      </w:tblPr>
      <w:tblGrid>
        <w:gridCol w:w="3645"/>
        <w:gridCol w:w="2220"/>
        <w:gridCol w:w="2499"/>
      </w:tblGrid>
      <w:tr w:rsidR="00A76019">
        <w:tc>
          <w:tcPr>
            <w:tcW w:w="3645" w:type="dxa"/>
            <w:vAlign w:val="center"/>
          </w:tcPr>
          <w:p w:rsidR="00A76019" w:rsidRDefault="00877626">
            <w:pPr>
              <w:spacing w:line="360" w:lineRule="auto"/>
              <w:jc w:val="center"/>
              <w:rPr>
                <w:rFonts w:asciiTheme="minorEastAsia" w:hAnsiTheme="minorEastAsia"/>
                <w:sz w:val="24"/>
                <w:szCs w:val="24"/>
              </w:rPr>
            </w:pPr>
            <w:r>
              <w:rPr>
                <w:rFonts w:asciiTheme="minorEastAsia" w:hAnsiTheme="minorEastAsia" w:hint="eastAsia"/>
                <w:sz w:val="24"/>
                <w:szCs w:val="24"/>
              </w:rPr>
              <w:t>费率优惠机构</w:t>
            </w:r>
          </w:p>
        </w:tc>
        <w:tc>
          <w:tcPr>
            <w:tcW w:w="2220" w:type="dxa"/>
            <w:vAlign w:val="center"/>
          </w:tcPr>
          <w:p w:rsidR="00A76019" w:rsidRDefault="00877626">
            <w:pPr>
              <w:spacing w:line="360" w:lineRule="auto"/>
              <w:jc w:val="center"/>
              <w:rPr>
                <w:rFonts w:asciiTheme="minorEastAsia" w:hAnsiTheme="minorEastAsia"/>
                <w:sz w:val="24"/>
                <w:szCs w:val="24"/>
              </w:rPr>
            </w:pPr>
            <w:r>
              <w:rPr>
                <w:rFonts w:asciiTheme="minorEastAsia" w:hAnsiTheme="minorEastAsia" w:hint="eastAsia"/>
                <w:sz w:val="24"/>
                <w:szCs w:val="24"/>
              </w:rPr>
              <w:t>申购费率优惠折扣</w:t>
            </w:r>
          </w:p>
        </w:tc>
        <w:tc>
          <w:tcPr>
            <w:tcW w:w="2499" w:type="dxa"/>
            <w:vAlign w:val="center"/>
          </w:tcPr>
          <w:p w:rsidR="00A76019" w:rsidRDefault="00877626">
            <w:pPr>
              <w:spacing w:line="360" w:lineRule="auto"/>
              <w:jc w:val="center"/>
              <w:rPr>
                <w:rFonts w:asciiTheme="minorEastAsia" w:hAnsiTheme="minorEastAsia"/>
                <w:sz w:val="24"/>
                <w:szCs w:val="24"/>
              </w:rPr>
            </w:pPr>
            <w:r>
              <w:rPr>
                <w:rFonts w:asciiTheme="minorEastAsia" w:hAnsiTheme="minorEastAsia" w:hint="eastAsia"/>
                <w:sz w:val="24"/>
                <w:szCs w:val="24"/>
              </w:rPr>
              <w:t>定投费率优惠折扣</w:t>
            </w:r>
          </w:p>
        </w:tc>
      </w:tr>
      <w:tr w:rsidR="00A76019">
        <w:trPr>
          <w:trHeight w:val="556"/>
        </w:trPr>
        <w:tc>
          <w:tcPr>
            <w:tcW w:w="3645" w:type="dxa"/>
            <w:shd w:val="clear" w:color="auto" w:fill="auto"/>
            <w:vAlign w:val="center"/>
          </w:tcPr>
          <w:p w:rsidR="00A76019" w:rsidRDefault="00877626">
            <w:pPr>
              <w:spacing w:line="360" w:lineRule="auto"/>
              <w:jc w:val="center"/>
              <w:rPr>
                <w:rFonts w:ascii="宋体" w:eastAsia="宋体" w:hAnsi="宋体" w:cs="宋体"/>
                <w:sz w:val="24"/>
                <w:szCs w:val="24"/>
              </w:rPr>
            </w:pPr>
            <w:r>
              <w:rPr>
                <w:rFonts w:asciiTheme="minorEastAsia" w:hAnsiTheme="minorEastAsia" w:hint="eastAsia"/>
                <w:sz w:val="24"/>
                <w:szCs w:val="24"/>
              </w:rPr>
              <w:t>上海好买基金销售有限公司</w:t>
            </w:r>
          </w:p>
        </w:tc>
        <w:tc>
          <w:tcPr>
            <w:tcW w:w="2220" w:type="dxa"/>
            <w:shd w:val="clear" w:color="auto" w:fill="auto"/>
            <w:vAlign w:val="center"/>
          </w:tcPr>
          <w:p w:rsidR="00A76019" w:rsidRDefault="00877626">
            <w:pPr>
              <w:spacing w:line="360" w:lineRule="auto"/>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折起</w:t>
            </w:r>
          </w:p>
        </w:tc>
        <w:tc>
          <w:tcPr>
            <w:tcW w:w="2499" w:type="dxa"/>
            <w:shd w:val="clear" w:color="auto" w:fill="auto"/>
            <w:vAlign w:val="center"/>
          </w:tcPr>
          <w:p w:rsidR="00A76019" w:rsidRDefault="00877626">
            <w:pPr>
              <w:spacing w:line="360" w:lineRule="auto"/>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折起</w:t>
            </w:r>
          </w:p>
        </w:tc>
      </w:tr>
    </w:tbl>
    <w:p w:rsidR="00A76019" w:rsidRDefault="00A76019">
      <w:pPr>
        <w:spacing w:line="360" w:lineRule="auto"/>
        <w:ind w:firstLineChars="200" w:firstLine="480"/>
        <w:jc w:val="left"/>
        <w:rPr>
          <w:rFonts w:asciiTheme="minorEastAsia" w:hAnsiTheme="minorEastAsia"/>
          <w:sz w:val="24"/>
          <w:szCs w:val="24"/>
        </w:rPr>
      </w:pPr>
    </w:p>
    <w:p w:rsidR="00A76019" w:rsidRDefault="00877626">
      <w:pPr>
        <w:spacing w:line="360" w:lineRule="auto"/>
        <w:ind w:firstLineChars="200" w:firstLine="480"/>
        <w:jc w:val="left"/>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、费率优惠期限</w:t>
      </w:r>
      <w:r>
        <w:rPr>
          <w:rFonts w:asciiTheme="minorEastAsia" w:hAnsiTheme="minorEastAsia" w:hint="eastAsia"/>
          <w:sz w:val="24"/>
          <w:szCs w:val="24"/>
        </w:rPr>
        <w:t xml:space="preserve"> </w:t>
      </w:r>
    </w:p>
    <w:p w:rsidR="00A76019" w:rsidRDefault="0087762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以销售机构官方网站所示公告为准。</w:t>
      </w:r>
    </w:p>
    <w:p w:rsidR="00A76019" w:rsidRDefault="00A76019">
      <w:pPr>
        <w:spacing w:line="360" w:lineRule="auto"/>
        <w:rPr>
          <w:rFonts w:asciiTheme="minorEastAsia" w:hAnsiTheme="minorEastAsia"/>
          <w:sz w:val="24"/>
          <w:szCs w:val="24"/>
        </w:rPr>
      </w:pPr>
    </w:p>
    <w:p w:rsidR="00A76019" w:rsidRDefault="00877626">
      <w:pPr>
        <w:spacing w:line="360" w:lineRule="auto"/>
        <w:rPr>
          <w:rFonts w:asciiTheme="minorEastAsia" w:hAnsiTheme="minorEastAsia"/>
          <w:b/>
          <w:bCs/>
          <w:sz w:val="24"/>
          <w:szCs w:val="24"/>
        </w:rPr>
      </w:pPr>
      <w:r>
        <w:rPr>
          <w:rFonts w:asciiTheme="minorEastAsia" w:hAnsiTheme="minorEastAsia" w:hint="eastAsia"/>
          <w:b/>
          <w:bCs/>
          <w:sz w:val="24"/>
          <w:szCs w:val="24"/>
        </w:rPr>
        <w:t>四、投资者可通过以下途径了解或咨询有关详情</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、上海好买基金销售有限公司</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400-700-9665</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www.ehowbuy.com</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、兴证证券资产管理有限公司</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95562-3</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 xml:space="preserve"> </w:t>
      </w:r>
      <w:hyperlink r:id="rId7" w:history="1">
        <w:r>
          <w:rPr>
            <w:rFonts w:asciiTheme="minorEastAsia" w:hAnsiTheme="minorEastAsia" w:hint="eastAsia"/>
            <w:sz w:val="24"/>
            <w:szCs w:val="24"/>
          </w:rPr>
          <w:t>http://www.ixzzcgl.com</w:t>
        </w:r>
      </w:hyperlink>
    </w:p>
    <w:p w:rsidR="00A76019" w:rsidRDefault="00A76019">
      <w:pPr>
        <w:spacing w:line="360" w:lineRule="auto"/>
        <w:ind w:firstLineChars="200" w:firstLine="480"/>
        <w:rPr>
          <w:rFonts w:asciiTheme="minorEastAsia" w:hAnsiTheme="minorEastAsia"/>
          <w:sz w:val="24"/>
          <w:szCs w:val="24"/>
        </w:rPr>
      </w:pPr>
    </w:p>
    <w:p w:rsidR="00A76019" w:rsidRDefault="00877626">
      <w:pPr>
        <w:spacing w:line="360" w:lineRule="auto"/>
        <w:rPr>
          <w:rFonts w:asciiTheme="minorEastAsia" w:hAnsiTheme="minorEastAsia"/>
          <w:b/>
          <w:bCs/>
          <w:sz w:val="24"/>
          <w:szCs w:val="24"/>
        </w:rPr>
      </w:pPr>
      <w:r>
        <w:rPr>
          <w:rFonts w:asciiTheme="minorEastAsia" w:hAnsiTheme="minorEastAsia" w:hint="eastAsia"/>
          <w:b/>
          <w:bCs/>
          <w:sz w:val="24"/>
          <w:szCs w:val="24"/>
        </w:rPr>
        <w:lastRenderedPageBreak/>
        <w:t>五、重要提示</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、费率优惠期间，业务办理的流程以销售机构的规定为准。投资者办理交易等相关业务前，敬请仔细阅读</w:t>
      </w:r>
      <w:r>
        <w:rPr>
          <w:rFonts w:asciiTheme="minorEastAsia" w:hAnsiTheme="minorEastAsia" w:hint="eastAsia"/>
          <w:sz w:val="24"/>
          <w:szCs w:val="24"/>
        </w:rPr>
        <w:t>各</w:t>
      </w:r>
      <w:r>
        <w:rPr>
          <w:rFonts w:asciiTheme="minorEastAsia" w:hAnsiTheme="minorEastAsia" w:hint="eastAsia"/>
          <w:sz w:val="24"/>
          <w:szCs w:val="24"/>
        </w:rPr>
        <w:t>基金的《基金合同》、《招募说明书》、《基金产品资料概要》等相关文件；</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销售</w:t>
      </w:r>
      <w:r>
        <w:rPr>
          <w:rFonts w:asciiTheme="minorEastAsia" w:hAnsiTheme="minorEastAsia" w:hint="eastAsia"/>
          <w:sz w:val="24"/>
          <w:szCs w:val="24"/>
        </w:rPr>
        <w:t>机构开展的费率优惠活动适用于正常申购期场外前端收费模式的申购和定投手续费，不包括转换业务等其他业务的手续费；</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本公告涉及相关费率优惠活动的最终解释权归销售机构所有，有关费率优惠的具体规定如有变化，敬请投资者留意销售机构有关公告；凡涉及在销售机构办理申购或定投等业务的其他未明事项，敬请遵循销售机构的具体安排和规定；</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、对于投资者而言，存在投资最短持有期</w:t>
      </w:r>
      <w:r>
        <w:rPr>
          <w:rFonts w:asciiTheme="minorEastAsia" w:hAnsiTheme="minorEastAsia" w:hint="eastAsia"/>
          <w:sz w:val="24"/>
          <w:szCs w:val="24"/>
        </w:rPr>
        <w:t>基金</w:t>
      </w:r>
      <w:r>
        <w:rPr>
          <w:rFonts w:asciiTheme="minorEastAsia" w:hAnsiTheme="minorEastAsia" w:hint="eastAsia"/>
          <w:sz w:val="24"/>
          <w:szCs w:val="24"/>
        </w:rPr>
        <w:t>后，面临</w:t>
      </w:r>
      <w:r>
        <w:rPr>
          <w:rFonts w:asciiTheme="minorEastAsia" w:hAnsiTheme="minorEastAsia" w:hint="eastAsia"/>
          <w:sz w:val="24"/>
          <w:szCs w:val="24"/>
        </w:rPr>
        <w:t>最短持有期到期前</w:t>
      </w:r>
      <w:r>
        <w:rPr>
          <w:rFonts w:asciiTheme="minorEastAsia" w:hAnsiTheme="minorEastAsia" w:hint="eastAsia"/>
          <w:sz w:val="24"/>
          <w:szCs w:val="24"/>
        </w:rPr>
        <w:t>无法赎回的风险；</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、本公告的最终解释权归本公司所有。</w:t>
      </w:r>
    </w:p>
    <w:p w:rsidR="00A76019" w:rsidRDefault="00A76019">
      <w:pPr>
        <w:spacing w:line="360" w:lineRule="auto"/>
        <w:ind w:firstLineChars="200" w:firstLine="480"/>
        <w:rPr>
          <w:rFonts w:asciiTheme="minorEastAsia" w:hAnsiTheme="minorEastAsia"/>
          <w:sz w:val="24"/>
          <w:szCs w:val="24"/>
        </w:rPr>
      </w:pPr>
      <w:bookmarkStart w:id="0" w:name="_GoBack"/>
      <w:bookmarkEnd w:id="0"/>
    </w:p>
    <w:p w:rsidR="00A76019" w:rsidRDefault="00877626">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风险提示：</w:t>
      </w:r>
      <w:r>
        <w:rPr>
          <w:rFonts w:asciiTheme="minorEastAsia" w:hAnsiTheme="minorEastAsia" w:hint="eastAsia"/>
          <w:sz w:val="24"/>
          <w:szCs w:val="24"/>
        </w:rPr>
        <w:t>本基金管理人承诺以诚实信用、勤勉尽责的原则管理和运用基金财产，但不保证投资于本基金一定盈利，也不保证最低收益。投资人应当充分了解基金定期定额投资和零存整取等储蓄方式的区</w:t>
      </w:r>
      <w:r>
        <w:rPr>
          <w:rFonts w:asciiTheme="minorEastAsia" w:hAnsiTheme="minorEastAsia" w:hint="eastAsia"/>
          <w:sz w:val="24"/>
          <w:szCs w:val="24"/>
        </w:rPr>
        <w:t>别。定期定额投资是引导投资人进行长期投资、平均投资成本的一种简单易行的投资方式。但是定期定额投资并不能规避基金投资所固有的风险，不能保证投资人获得收益，也不是替代储蓄的等效理财方式。基金的过往业绩不代表未来表现，投资有风险，敬请投资人认真阅读基金的相关法律文件，并选择适合自身风险承受能力的投资品种进行投资。</w:t>
      </w:r>
    </w:p>
    <w:p w:rsidR="00A76019" w:rsidRDefault="008776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A76019" w:rsidRDefault="00A76019">
      <w:pPr>
        <w:spacing w:line="360" w:lineRule="auto"/>
        <w:ind w:firstLineChars="200" w:firstLine="480"/>
        <w:rPr>
          <w:rFonts w:asciiTheme="minorEastAsia" w:hAnsiTheme="minorEastAsia"/>
          <w:sz w:val="24"/>
          <w:szCs w:val="24"/>
        </w:rPr>
      </w:pPr>
    </w:p>
    <w:p w:rsidR="00A76019" w:rsidRDefault="00877626">
      <w:pPr>
        <w:spacing w:line="360" w:lineRule="auto"/>
        <w:ind w:right="220" w:firstLineChars="1850" w:firstLine="4440"/>
        <w:jc w:val="right"/>
        <w:rPr>
          <w:rFonts w:asciiTheme="minorEastAsia" w:hAnsiTheme="minorEastAsia"/>
          <w:sz w:val="24"/>
          <w:szCs w:val="24"/>
        </w:rPr>
      </w:pPr>
      <w:r>
        <w:rPr>
          <w:rFonts w:asciiTheme="minorEastAsia" w:hAnsiTheme="minorEastAsia" w:hint="eastAsia"/>
          <w:sz w:val="24"/>
          <w:szCs w:val="24"/>
        </w:rPr>
        <w:t>兴证证券资产管理有限公司</w:t>
      </w:r>
    </w:p>
    <w:p w:rsidR="00A76019" w:rsidRDefault="00877626">
      <w:pPr>
        <w:spacing w:line="360" w:lineRule="auto"/>
        <w:ind w:right="220" w:firstLineChars="1950" w:firstLine="4680"/>
        <w:jc w:val="right"/>
        <w:rPr>
          <w:rFonts w:asciiTheme="minorEastAsia" w:hAnsiTheme="minorEastAsia"/>
          <w:sz w:val="24"/>
          <w:szCs w:val="24"/>
        </w:rPr>
      </w:pPr>
      <w:r>
        <w:rPr>
          <w:rFonts w:asciiTheme="minorEastAsia" w:hAnsiTheme="minorEastAsia" w:hint="eastAsia"/>
          <w:sz w:val="24"/>
          <w:szCs w:val="24"/>
        </w:rPr>
        <w:t>二〇二</w:t>
      </w:r>
      <w:r>
        <w:rPr>
          <w:rFonts w:asciiTheme="minorEastAsia" w:hAnsiTheme="minorEastAsia" w:hint="eastAsia"/>
          <w:sz w:val="24"/>
          <w:szCs w:val="24"/>
        </w:rPr>
        <w:t>五</w:t>
      </w:r>
      <w:r>
        <w:rPr>
          <w:rFonts w:asciiTheme="minorEastAsia" w:hAnsiTheme="minorEastAsia" w:hint="eastAsia"/>
          <w:sz w:val="24"/>
          <w:szCs w:val="24"/>
        </w:rPr>
        <w:t>年</w:t>
      </w:r>
      <w:r>
        <w:rPr>
          <w:rFonts w:asciiTheme="minorEastAsia" w:hAnsiTheme="minorEastAsia" w:hint="eastAsia"/>
          <w:sz w:val="24"/>
          <w:szCs w:val="24"/>
        </w:rPr>
        <w:t>十一</w:t>
      </w:r>
      <w:r>
        <w:rPr>
          <w:rFonts w:asciiTheme="minorEastAsia" w:hAnsiTheme="minorEastAsia" w:hint="eastAsia"/>
          <w:sz w:val="24"/>
          <w:szCs w:val="24"/>
        </w:rPr>
        <w:t>月</w:t>
      </w:r>
      <w:r>
        <w:rPr>
          <w:rFonts w:asciiTheme="minorEastAsia" w:hAnsiTheme="minorEastAsia" w:hint="eastAsia"/>
          <w:sz w:val="24"/>
          <w:szCs w:val="24"/>
        </w:rPr>
        <w:t>十八</w:t>
      </w:r>
      <w:r>
        <w:rPr>
          <w:rFonts w:asciiTheme="minorEastAsia" w:hAnsiTheme="minorEastAsia" w:hint="eastAsia"/>
          <w:sz w:val="24"/>
          <w:szCs w:val="24"/>
        </w:rPr>
        <w:t>日</w:t>
      </w:r>
    </w:p>
    <w:p w:rsidR="00A76019" w:rsidRDefault="00A76019">
      <w:pPr>
        <w:spacing w:line="360" w:lineRule="auto"/>
        <w:ind w:firstLineChars="150" w:firstLine="360"/>
        <w:rPr>
          <w:rFonts w:asciiTheme="minorEastAsia" w:hAnsiTheme="minorEastAsia"/>
          <w:sz w:val="24"/>
          <w:szCs w:val="24"/>
        </w:rPr>
      </w:pPr>
    </w:p>
    <w:p w:rsidR="00A76019" w:rsidRDefault="00A76019">
      <w:pPr>
        <w:spacing w:line="360" w:lineRule="auto"/>
        <w:ind w:right="220" w:firstLineChars="1950" w:firstLine="4680"/>
        <w:jc w:val="right"/>
        <w:rPr>
          <w:rFonts w:asciiTheme="minorEastAsia" w:hAnsiTheme="minorEastAsia"/>
          <w:sz w:val="24"/>
          <w:szCs w:val="24"/>
        </w:rPr>
      </w:pPr>
    </w:p>
    <w:p w:rsidR="00A76019" w:rsidRDefault="00A76019"/>
    <w:p w:rsidR="00A76019" w:rsidRDefault="00A76019"/>
    <w:sectPr w:rsidR="00A76019" w:rsidSect="00A760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19" w:rsidRDefault="00A76019"/>
  </w:endnote>
  <w:endnote w:type="continuationSeparator" w:id="0">
    <w:p w:rsidR="00A76019" w:rsidRDefault="00A760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19" w:rsidRDefault="00A76019"/>
  </w:footnote>
  <w:footnote w:type="continuationSeparator" w:id="0">
    <w:p w:rsidR="00A76019" w:rsidRDefault="00A7601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4280"/>
    <w:rsid w:val="00005342"/>
    <w:rsid w:val="0001092A"/>
    <w:rsid w:val="000114C4"/>
    <w:rsid w:val="000205AD"/>
    <w:rsid w:val="00021E7A"/>
    <w:rsid w:val="000268F7"/>
    <w:rsid w:val="000501E3"/>
    <w:rsid w:val="00070650"/>
    <w:rsid w:val="00073CED"/>
    <w:rsid w:val="00077BDF"/>
    <w:rsid w:val="000856EC"/>
    <w:rsid w:val="00085BF7"/>
    <w:rsid w:val="0009234F"/>
    <w:rsid w:val="000942C0"/>
    <w:rsid w:val="000A1B5C"/>
    <w:rsid w:val="000B0E35"/>
    <w:rsid w:val="000C7B5B"/>
    <w:rsid w:val="000D198E"/>
    <w:rsid w:val="000E1307"/>
    <w:rsid w:val="000E40A9"/>
    <w:rsid w:val="000E4994"/>
    <w:rsid w:val="000E73B9"/>
    <w:rsid w:val="00102F3D"/>
    <w:rsid w:val="0010326C"/>
    <w:rsid w:val="00103C7C"/>
    <w:rsid w:val="001132CB"/>
    <w:rsid w:val="00113860"/>
    <w:rsid w:val="00116EBF"/>
    <w:rsid w:val="00120D6F"/>
    <w:rsid w:val="00140CE7"/>
    <w:rsid w:val="0014367A"/>
    <w:rsid w:val="001472CD"/>
    <w:rsid w:val="001527DC"/>
    <w:rsid w:val="00157C10"/>
    <w:rsid w:val="00160FA9"/>
    <w:rsid w:val="00172C1B"/>
    <w:rsid w:val="00176A8D"/>
    <w:rsid w:val="00181221"/>
    <w:rsid w:val="00187639"/>
    <w:rsid w:val="00197E3D"/>
    <w:rsid w:val="001A2FF5"/>
    <w:rsid w:val="001D6EB4"/>
    <w:rsid w:val="001D7313"/>
    <w:rsid w:val="001D738F"/>
    <w:rsid w:val="001E3D2D"/>
    <w:rsid w:val="001E6C9D"/>
    <w:rsid w:val="00202840"/>
    <w:rsid w:val="00202C49"/>
    <w:rsid w:val="00206BAF"/>
    <w:rsid w:val="00212D3A"/>
    <w:rsid w:val="0021411D"/>
    <w:rsid w:val="00214817"/>
    <w:rsid w:val="00216EAB"/>
    <w:rsid w:val="0022013D"/>
    <w:rsid w:val="002245C2"/>
    <w:rsid w:val="00233BEB"/>
    <w:rsid w:val="00241DD3"/>
    <w:rsid w:val="002437F9"/>
    <w:rsid w:val="00244565"/>
    <w:rsid w:val="002512B2"/>
    <w:rsid w:val="002600DE"/>
    <w:rsid w:val="00263400"/>
    <w:rsid w:val="00263BD6"/>
    <w:rsid w:val="00267478"/>
    <w:rsid w:val="00272EF3"/>
    <w:rsid w:val="00275346"/>
    <w:rsid w:val="002864CC"/>
    <w:rsid w:val="00286EB6"/>
    <w:rsid w:val="00292BE4"/>
    <w:rsid w:val="002A15A5"/>
    <w:rsid w:val="002A334A"/>
    <w:rsid w:val="002A36CC"/>
    <w:rsid w:val="002B0B82"/>
    <w:rsid w:val="002B58DC"/>
    <w:rsid w:val="002C0E0F"/>
    <w:rsid w:val="002C0F05"/>
    <w:rsid w:val="002C56B3"/>
    <w:rsid w:val="002C75BA"/>
    <w:rsid w:val="002C7F61"/>
    <w:rsid w:val="002D5C97"/>
    <w:rsid w:val="002E0A78"/>
    <w:rsid w:val="002E3C5C"/>
    <w:rsid w:val="00301225"/>
    <w:rsid w:val="003014D4"/>
    <w:rsid w:val="003114B1"/>
    <w:rsid w:val="00311976"/>
    <w:rsid w:val="00320C45"/>
    <w:rsid w:val="003214C8"/>
    <w:rsid w:val="00322E95"/>
    <w:rsid w:val="003246BA"/>
    <w:rsid w:val="003324D4"/>
    <w:rsid w:val="003340D7"/>
    <w:rsid w:val="00334F28"/>
    <w:rsid w:val="003446D7"/>
    <w:rsid w:val="00345924"/>
    <w:rsid w:val="003550B4"/>
    <w:rsid w:val="00360D90"/>
    <w:rsid w:val="00364F94"/>
    <w:rsid w:val="00366C30"/>
    <w:rsid w:val="003704CB"/>
    <w:rsid w:val="00375EF5"/>
    <w:rsid w:val="003B0149"/>
    <w:rsid w:val="003B5F21"/>
    <w:rsid w:val="003C2E74"/>
    <w:rsid w:val="003C7F28"/>
    <w:rsid w:val="003D44AA"/>
    <w:rsid w:val="003E1EF8"/>
    <w:rsid w:val="003E5BFF"/>
    <w:rsid w:val="003F71E0"/>
    <w:rsid w:val="00400604"/>
    <w:rsid w:val="00401C3E"/>
    <w:rsid w:val="004030DD"/>
    <w:rsid w:val="00403751"/>
    <w:rsid w:val="004369E5"/>
    <w:rsid w:val="00442D1F"/>
    <w:rsid w:val="00454899"/>
    <w:rsid w:val="00454ADA"/>
    <w:rsid w:val="004614E4"/>
    <w:rsid w:val="00464B19"/>
    <w:rsid w:val="00471365"/>
    <w:rsid w:val="00472D9F"/>
    <w:rsid w:val="00472E91"/>
    <w:rsid w:val="004836BD"/>
    <w:rsid w:val="00486954"/>
    <w:rsid w:val="004A4F17"/>
    <w:rsid w:val="004A51D0"/>
    <w:rsid w:val="004B11B6"/>
    <w:rsid w:val="004C2DB9"/>
    <w:rsid w:val="004C5930"/>
    <w:rsid w:val="004C79B5"/>
    <w:rsid w:val="004D1CA3"/>
    <w:rsid w:val="004E7CE5"/>
    <w:rsid w:val="00504E96"/>
    <w:rsid w:val="005067A1"/>
    <w:rsid w:val="00531F8F"/>
    <w:rsid w:val="0053305A"/>
    <w:rsid w:val="00537333"/>
    <w:rsid w:val="00576BFD"/>
    <w:rsid w:val="00577F47"/>
    <w:rsid w:val="005A50D9"/>
    <w:rsid w:val="005A7F99"/>
    <w:rsid w:val="005C5921"/>
    <w:rsid w:val="005D2B7F"/>
    <w:rsid w:val="005E19FA"/>
    <w:rsid w:val="005F1423"/>
    <w:rsid w:val="006024FD"/>
    <w:rsid w:val="006041A8"/>
    <w:rsid w:val="00614280"/>
    <w:rsid w:val="00620D59"/>
    <w:rsid w:val="00622415"/>
    <w:rsid w:val="00627541"/>
    <w:rsid w:val="00640492"/>
    <w:rsid w:val="00641065"/>
    <w:rsid w:val="00641574"/>
    <w:rsid w:val="00643D49"/>
    <w:rsid w:val="006447BA"/>
    <w:rsid w:val="00661D88"/>
    <w:rsid w:val="00663982"/>
    <w:rsid w:val="00667CEF"/>
    <w:rsid w:val="006702C6"/>
    <w:rsid w:val="0067146A"/>
    <w:rsid w:val="00682618"/>
    <w:rsid w:val="006906E6"/>
    <w:rsid w:val="00693951"/>
    <w:rsid w:val="006968AD"/>
    <w:rsid w:val="006A253C"/>
    <w:rsid w:val="006C6F5A"/>
    <w:rsid w:val="006C7A9D"/>
    <w:rsid w:val="006E26F1"/>
    <w:rsid w:val="006E6B47"/>
    <w:rsid w:val="007000D3"/>
    <w:rsid w:val="00702FC2"/>
    <w:rsid w:val="007034A4"/>
    <w:rsid w:val="00706267"/>
    <w:rsid w:val="007075C5"/>
    <w:rsid w:val="00712718"/>
    <w:rsid w:val="00721BC8"/>
    <w:rsid w:val="00737811"/>
    <w:rsid w:val="00741567"/>
    <w:rsid w:val="00741AE4"/>
    <w:rsid w:val="00743149"/>
    <w:rsid w:val="007458B1"/>
    <w:rsid w:val="007547A6"/>
    <w:rsid w:val="00774D66"/>
    <w:rsid w:val="00780B17"/>
    <w:rsid w:val="00780B86"/>
    <w:rsid w:val="00781796"/>
    <w:rsid w:val="007820A6"/>
    <w:rsid w:val="00785093"/>
    <w:rsid w:val="007A75AC"/>
    <w:rsid w:val="007E59F6"/>
    <w:rsid w:val="007F2F47"/>
    <w:rsid w:val="007F3410"/>
    <w:rsid w:val="007F6304"/>
    <w:rsid w:val="00804810"/>
    <w:rsid w:val="00812DC7"/>
    <w:rsid w:val="00821B94"/>
    <w:rsid w:val="00830B46"/>
    <w:rsid w:val="00836FC1"/>
    <w:rsid w:val="00845F83"/>
    <w:rsid w:val="0085155C"/>
    <w:rsid w:val="0085500F"/>
    <w:rsid w:val="008627F3"/>
    <w:rsid w:val="00877626"/>
    <w:rsid w:val="008970CD"/>
    <w:rsid w:val="008A3AD9"/>
    <w:rsid w:val="008A59B8"/>
    <w:rsid w:val="008A710A"/>
    <w:rsid w:val="008C530D"/>
    <w:rsid w:val="008D6818"/>
    <w:rsid w:val="008E0CD0"/>
    <w:rsid w:val="008E6CF4"/>
    <w:rsid w:val="008F32D9"/>
    <w:rsid w:val="008F682C"/>
    <w:rsid w:val="00905A25"/>
    <w:rsid w:val="00905EAD"/>
    <w:rsid w:val="009101C5"/>
    <w:rsid w:val="00913FC7"/>
    <w:rsid w:val="0092073E"/>
    <w:rsid w:val="0092090D"/>
    <w:rsid w:val="00925975"/>
    <w:rsid w:val="0095084F"/>
    <w:rsid w:val="00951AB0"/>
    <w:rsid w:val="00966C6A"/>
    <w:rsid w:val="00972DDD"/>
    <w:rsid w:val="009858CA"/>
    <w:rsid w:val="00985A48"/>
    <w:rsid w:val="00990AE8"/>
    <w:rsid w:val="0099667A"/>
    <w:rsid w:val="009B5C6C"/>
    <w:rsid w:val="009C082A"/>
    <w:rsid w:val="009C1C2F"/>
    <w:rsid w:val="009C3370"/>
    <w:rsid w:val="009C68B9"/>
    <w:rsid w:val="009D22F5"/>
    <w:rsid w:val="009D2F36"/>
    <w:rsid w:val="009D4C9F"/>
    <w:rsid w:val="009D5317"/>
    <w:rsid w:val="009D788E"/>
    <w:rsid w:val="009F568D"/>
    <w:rsid w:val="00A00721"/>
    <w:rsid w:val="00A00BE1"/>
    <w:rsid w:val="00A02FF7"/>
    <w:rsid w:val="00A22A59"/>
    <w:rsid w:val="00A34222"/>
    <w:rsid w:val="00A35CB7"/>
    <w:rsid w:val="00A41D6C"/>
    <w:rsid w:val="00A41F18"/>
    <w:rsid w:val="00A427D7"/>
    <w:rsid w:val="00A456A9"/>
    <w:rsid w:val="00A46F5C"/>
    <w:rsid w:val="00A57789"/>
    <w:rsid w:val="00A63CC5"/>
    <w:rsid w:val="00A70707"/>
    <w:rsid w:val="00A76019"/>
    <w:rsid w:val="00A828C5"/>
    <w:rsid w:val="00A86D75"/>
    <w:rsid w:val="00A905A2"/>
    <w:rsid w:val="00A94B4B"/>
    <w:rsid w:val="00A97BCE"/>
    <w:rsid w:val="00AA62F9"/>
    <w:rsid w:val="00AB4A40"/>
    <w:rsid w:val="00AB6818"/>
    <w:rsid w:val="00AC08D8"/>
    <w:rsid w:val="00AC0BA0"/>
    <w:rsid w:val="00AC108C"/>
    <w:rsid w:val="00AC45A7"/>
    <w:rsid w:val="00AF0CE8"/>
    <w:rsid w:val="00AF2B6A"/>
    <w:rsid w:val="00AF2CC5"/>
    <w:rsid w:val="00B051DE"/>
    <w:rsid w:val="00B06841"/>
    <w:rsid w:val="00B07E7C"/>
    <w:rsid w:val="00B16341"/>
    <w:rsid w:val="00B24AC2"/>
    <w:rsid w:val="00B32570"/>
    <w:rsid w:val="00B35665"/>
    <w:rsid w:val="00B70499"/>
    <w:rsid w:val="00B8195D"/>
    <w:rsid w:val="00B87904"/>
    <w:rsid w:val="00BA7977"/>
    <w:rsid w:val="00BB18F1"/>
    <w:rsid w:val="00BB4B19"/>
    <w:rsid w:val="00BC0960"/>
    <w:rsid w:val="00BC136B"/>
    <w:rsid w:val="00BC4B6E"/>
    <w:rsid w:val="00BE0941"/>
    <w:rsid w:val="00BE1343"/>
    <w:rsid w:val="00BE2D23"/>
    <w:rsid w:val="00C0465B"/>
    <w:rsid w:val="00C1174D"/>
    <w:rsid w:val="00C12347"/>
    <w:rsid w:val="00C16034"/>
    <w:rsid w:val="00C20F22"/>
    <w:rsid w:val="00C21E1B"/>
    <w:rsid w:val="00C32464"/>
    <w:rsid w:val="00C35BC0"/>
    <w:rsid w:val="00C4480C"/>
    <w:rsid w:val="00C549E9"/>
    <w:rsid w:val="00C5545D"/>
    <w:rsid w:val="00C5608F"/>
    <w:rsid w:val="00C56F56"/>
    <w:rsid w:val="00C916D5"/>
    <w:rsid w:val="00CA268D"/>
    <w:rsid w:val="00CA5BB8"/>
    <w:rsid w:val="00CA6E67"/>
    <w:rsid w:val="00CB104D"/>
    <w:rsid w:val="00CB29F8"/>
    <w:rsid w:val="00CB57A7"/>
    <w:rsid w:val="00CB65D2"/>
    <w:rsid w:val="00CC1682"/>
    <w:rsid w:val="00CC273B"/>
    <w:rsid w:val="00CF4CAC"/>
    <w:rsid w:val="00D02289"/>
    <w:rsid w:val="00D250E9"/>
    <w:rsid w:val="00D2769B"/>
    <w:rsid w:val="00D342CE"/>
    <w:rsid w:val="00D433CC"/>
    <w:rsid w:val="00D6180C"/>
    <w:rsid w:val="00D61F8A"/>
    <w:rsid w:val="00D63DA0"/>
    <w:rsid w:val="00D74206"/>
    <w:rsid w:val="00D75AF7"/>
    <w:rsid w:val="00D80396"/>
    <w:rsid w:val="00D915D4"/>
    <w:rsid w:val="00DA3A09"/>
    <w:rsid w:val="00DA43E4"/>
    <w:rsid w:val="00DA6326"/>
    <w:rsid w:val="00DB5F8F"/>
    <w:rsid w:val="00DB6762"/>
    <w:rsid w:val="00DB6DBF"/>
    <w:rsid w:val="00DB7A65"/>
    <w:rsid w:val="00DD50BA"/>
    <w:rsid w:val="00DF5882"/>
    <w:rsid w:val="00DF7F44"/>
    <w:rsid w:val="00E02075"/>
    <w:rsid w:val="00E07D49"/>
    <w:rsid w:val="00E15FA1"/>
    <w:rsid w:val="00E35A32"/>
    <w:rsid w:val="00E36929"/>
    <w:rsid w:val="00E37BF1"/>
    <w:rsid w:val="00E479C8"/>
    <w:rsid w:val="00E47F81"/>
    <w:rsid w:val="00E52C68"/>
    <w:rsid w:val="00E64553"/>
    <w:rsid w:val="00E66B51"/>
    <w:rsid w:val="00E706C6"/>
    <w:rsid w:val="00E71AAC"/>
    <w:rsid w:val="00E825A9"/>
    <w:rsid w:val="00EA32E2"/>
    <w:rsid w:val="00EB369A"/>
    <w:rsid w:val="00EB39B4"/>
    <w:rsid w:val="00ED0F92"/>
    <w:rsid w:val="00ED15A1"/>
    <w:rsid w:val="00ED4AB6"/>
    <w:rsid w:val="00EE7660"/>
    <w:rsid w:val="00F04C5B"/>
    <w:rsid w:val="00F06FBF"/>
    <w:rsid w:val="00F44265"/>
    <w:rsid w:val="00F44E3F"/>
    <w:rsid w:val="00F463D8"/>
    <w:rsid w:val="00F65138"/>
    <w:rsid w:val="00F651DD"/>
    <w:rsid w:val="00F67B05"/>
    <w:rsid w:val="00F67E37"/>
    <w:rsid w:val="00F7296F"/>
    <w:rsid w:val="00F82F96"/>
    <w:rsid w:val="00F97290"/>
    <w:rsid w:val="00F97F1B"/>
    <w:rsid w:val="00FA1D9C"/>
    <w:rsid w:val="00FB2B13"/>
    <w:rsid w:val="00FB3EB6"/>
    <w:rsid w:val="00FB60D0"/>
    <w:rsid w:val="00FB6C49"/>
    <w:rsid w:val="00FC74DE"/>
    <w:rsid w:val="00FE372C"/>
    <w:rsid w:val="00FE78C4"/>
    <w:rsid w:val="00FF2077"/>
    <w:rsid w:val="05E669CB"/>
    <w:rsid w:val="06C43811"/>
    <w:rsid w:val="0A0E3EB9"/>
    <w:rsid w:val="0A18502C"/>
    <w:rsid w:val="0AEB763A"/>
    <w:rsid w:val="0CD27C10"/>
    <w:rsid w:val="0E940710"/>
    <w:rsid w:val="0F49247F"/>
    <w:rsid w:val="10FC0B9D"/>
    <w:rsid w:val="13F707B1"/>
    <w:rsid w:val="148E3EFD"/>
    <w:rsid w:val="18180847"/>
    <w:rsid w:val="1C704BA9"/>
    <w:rsid w:val="1EE912AC"/>
    <w:rsid w:val="23847757"/>
    <w:rsid w:val="24C621F7"/>
    <w:rsid w:val="2610336F"/>
    <w:rsid w:val="286F3FC8"/>
    <w:rsid w:val="2F044406"/>
    <w:rsid w:val="30245C8B"/>
    <w:rsid w:val="339243E0"/>
    <w:rsid w:val="34150DF7"/>
    <w:rsid w:val="35F31E75"/>
    <w:rsid w:val="39A2521F"/>
    <w:rsid w:val="3B516AD6"/>
    <w:rsid w:val="3F644D00"/>
    <w:rsid w:val="42A05AE6"/>
    <w:rsid w:val="42F56AD0"/>
    <w:rsid w:val="48A8612B"/>
    <w:rsid w:val="49E5748E"/>
    <w:rsid w:val="4A1C6601"/>
    <w:rsid w:val="50802622"/>
    <w:rsid w:val="53532BD5"/>
    <w:rsid w:val="55910872"/>
    <w:rsid w:val="55E105DC"/>
    <w:rsid w:val="56EE558A"/>
    <w:rsid w:val="62AE5328"/>
    <w:rsid w:val="65C66EF3"/>
    <w:rsid w:val="68976978"/>
    <w:rsid w:val="68CA2C34"/>
    <w:rsid w:val="6B0C5F60"/>
    <w:rsid w:val="6B2567E2"/>
    <w:rsid w:val="78BE4B2E"/>
    <w:rsid w:val="7DA54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1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76019"/>
    <w:pPr>
      <w:jc w:val="left"/>
    </w:pPr>
  </w:style>
  <w:style w:type="paragraph" w:styleId="a4">
    <w:name w:val="Balloon Text"/>
    <w:basedOn w:val="a"/>
    <w:link w:val="Char0"/>
    <w:uiPriority w:val="99"/>
    <w:semiHidden/>
    <w:unhideWhenUsed/>
    <w:qFormat/>
    <w:rsid w:val="00A76019"/>
    <w:rPr>
      <w:sz w:val="18"/>
      <w:szCs w:val="18"/>
    </w:rPr>
  </w:style>
  <w:style w:type="paragraph" w:styleId="a5">
    <w:name w:val="footer"/>
    <w:basedOn w:val="a"/>
    <w:link w:val="Char1"/>
    <w:uiPriority w:val="99"/>
    <w:unhideWhenUsed/>
    <w:qFormat/>
    <w:rsid w:val="00A7601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7601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76019"/>
    <w:rPr>
      <w:b/>
      <w:bCs/>
    </w:rPr>
  </w:style>
  <w:style w:type="table" w:styleId="a8">
    <w:name w:val="Table Grid"/>
    <w:basedOn w:val="a1"/>
    <w:uiPriority w:val="59"/>
    <w:qFormat/>
    <w:rsid w:val="00A76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A76019"/>
    <w:rPr>
      <w:color w:val="0000FF" w:themeColor="hyperlink"/>
      <w:u w:val="single"/>
    </w:rPr>
  </w:style>
  <w:style w:type="character" w:styleId="aa">
    <w:name w:val="annotation reference"/>
    <w:basedOn w:val="a0"/>
    <w:uiPriority w:val="99"/>
    <w:semiHidden/>
    <w:unhideWhenUsed/>
    <w:qFormat/>
    <w:rsid w:val="00A76019"/>
    <w:rPr>
      <w:sz w:val="21"/>
      <w:szCs w:val="21"/>
    </w:rPr>
  </w:style>
  <w:style w:type="character" w:customStyle="1" w:styleId="Char0">
    <w:name w:val="批注框文本 Char"/>
    <w:basedOn w:val="a0"/>
    <w:link w:val="a4"/>
    <w:uiPriority w:val="99"/>
    <w:semiHidden/>
    <w:qFormat/>
    <w:rsid w:val="00A76019"/>
    <w:rPr>
      <w:sz w:val="18"/>
      <w:szCs w:val="18"/>
    </w:rPr>
  </w:style>
  <w:style w:type="paragraph" w:styleId="ab">
    <w:name w:val="List Paragraph"/>
    <w:basedOn w:val="a"/>
    <w:uiPriority w:val="34"/>
    <w:qFormat/>
    <w:rsid w:val="00A76019"/>
    <w:pPr>
      <w:ind w:firstLineChars="200" w:firstLine="420"/>
    </w:pPr>
  </w:style>
  <w:style w:type="character" w:customStyle="1" w:styleId="Char">
    <w:name w:val="批注文字 Char"/>
    <w:basedOn w:val="a0"/>
    <w:link w:val="a3"/>
    <w:uiPriority w:val="99"/>
    <w:semiHidden/>
    <w:qFormat/>
    <w:rsid w:val="00A76019"/>
  </w:style>
  <w:style w:type="character" w:customStyle="1" w:styleId="Char3">
    <w:name w:val="批注主题 Char"/>
    <w:basedOn w:val="Char"/>
    <w:link w:val="a7"/>
    <w:uiPriority w:val="99"/>
    <w:semiHidden/>
    <w:qFormat/>
    <w:rsid w:val="00A76019"/>
    <w:rPr>
      <w:b/>
      <w:bCs/>
    </w:rPr>
  </w:style>
  <w:style w:type="character" w:customStyle="1" w:styleId="Char2">
    <w:name w:val="页眉 Char"/>
    <w:basedOn w:val="a0"/>
    <w:link w:val="a6"/>
    <w:uiPriority w:val="99"/>
    <w:qFormat/>
    <w:rsid w:val="00A76019"/>
    <w:rPr>
      <w:sz w:val="18"/>
      <w:szCs w:val="18"/>
    </w:rPr>
  </w:style>
  <w:style w:type="character" w:customStyle="1" w:styleId="Char1">
    <w:name w:val="页脚 Char"/>
    <w:basedOn w:val="a0"/>
    <w:link w:val="a5"/>
    <w:uiPriority w:val="99"/>
    <w:qFormat/>
    <w:rsid w:val="00A76019"/>
    <w:rPr>
      <w:sz w:val="18"/>
      <w:szCs w:val="18"/>
    </w:rPr>
  </w:style>
  <w:style w:type="character" w:customStyle="1" w:styleId="1">
    <w:name w:val="未处理的提及1"/>
    <w:basedOn w:val="a0"/>
    <w:uiPriority w:val="99"/>
    <w:semiHidden/>
    <w:unhideWhenUsed/>
    <w:qFormat/>
    <w:rsid w:val="00A76019"/>
    <w:rPr>
      <w:color w:val="605E5C"/>
      <w:shd w:val="clear" w:color="auto" w:fill="E1DFDD"/>
    </w:rPr>
  </w:style>
  <w:style w:type="paragraph" w:customStyle="1" w:styleId="10">
    <w:name w:val="修订1"/>
    <w:hidden/>
    <w:uiPriority w:val="99"/>
    <w:semiHidden/>
    <w:qFormat/>
    <w:rsid w:val="00A76019"/>
    <w:rPr>
      <w:rFonts w:asciiTheme="minorHAnsi" w:eastAsiaTheme="minorEastAsia" w:hAnsiTheme="minorHAnsi" w:cstheme="minorBidi"/>
      <w:kern w:val="2"/>
      <w:sz w:val="21"/>
      <w:szCs w:val="22"/>
    </w:rPr>
  </w:style>
  <w:style w:type="paragraph" w:customStyle="1" w:styleId="2">
    <w:name w:val="修订2"/>
    <w:hidden/>
    <w:uiPriority w:val="99"/>
    <w:semiHidden/>
    <w:qFormat/>
    <w:rsid w:val="00A76019"/>
    <w:rPr>
      <w:rFonts w:asciiTheme="minorHAnsi" w:eastAsiaTheme="minorEastAsia" w:hAnsiTheme="minorHAnsi" w:cstheme="minorBidi"/>
      <w:kern w:val="2"/>
      <w:sz w:val="21"/>
      <w:szCs w:val="22"/>
    </w:rPr>
  </w:style>
  <w:style w:type="paragraph" w:customStyle="1" w:styleId="3">
    <w:name w:val="修订3"/>
    <w:hidden/>
    <w:uiPriority w:val="99"/>
    <w:semiHidden/>
    <w:qFormat/>
    <w:rsid w:val="00A7601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xzzcg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C963-8CCD-4A13-A20D-6932EC95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1636</Characters>
  <Application>Microsoft Office Word</Application>
  <DocSecurity>4</DocSecurity>
  <Lines>13</Lines>
  <Paragraphs>3</Paragraphs>
  <ScaleCrop>false</ScaleCrop>
  <Company>CNSTOCK</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hekun</dc:creator>
  <cp:lastModifiedBy>ZHONGM</cp:lastModifiedBy>
  <cp:revision>2</cp:revision>
  <cp:lastPrinted>2017-05-05T08:43:00Z</cp:lastPrinted>
  <dcterms:created xsi:type="dcterms:W3CDTF">2025-11-17T16:00:00Z</dcterms:created>
  <dcterms:modified xsi:type="dcterms:W3CDTF">2025-11-17T16:00:00Z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D67469A937694A5E96A77EEE1788C8CF_13</vt:lpwstr>
  </property>
  <property fmtid="{D5CDD505-2E9C-101B-9397-08002B2CF9AE}" pid="4" name="KSOTemplateDocerSaveRecord">
    <vt:lpwstr>eyJoZGlkIjoiNjI0MGUzZGE3MjhlNTNlMmRhYTE4NjRkOTE1NmVlOWEiLCJ1c2VySWQiOiIxMjE4MTg2MTczIn0=</vt:lpwstr>
  </property>
</Properties>
</file>