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307" w:rsidRDefault="00EF4D58">
      <w:pPr>
        <w:pStyle w:val="a3"/>
        <w:kinsoku w:val="0"/>
        <w:overflowPunct w:val="0"/>
        <w:spacing w:before="83" w:line="388" w:lineRule="auto"/>
        <w:ind w:left="3016" w:right="548" w:hanging="2710"/>
        <w:rPr>
          <w:b/>
          <w:bCs/>
          <w:sz w:val="30"/>
          <w:szCs w:val="30"/>
        </w:rPr>
      </w:pPr>
      <w:r>
        <w:rPr>
          <w:rFonts w:hint="eastAsia"/>
          <w:b/>
          <w:bCs/>
          <w:sz w:val="30"/>
          <w:szCs w:val="30"/>
        </w:rPr>
        <w:t>东财基金</w:t>
      </w:r>
      <w:r w:rsidR="00B43BBD">
        <w:rPr>
          <w:rFonts w:hint="eastAsia"/>
          <w:b/>
          <w:bCs/>
          <w:sz w:val="30"/>
          <w:szCs w:val="30"/>
        </w:rPr>
        <w:t>管理有限公司关于旗下部分上交所</w:t>
      </w:r>
      <w:r w:rsidR="00B43BBD">
        <w:rPr>
          <w:b/>
          <w:bCs/>
          <w:sz w:val="30"/>
          <w:szCs w:val="30"/>
        </w:rPr>
        <w:t>ETF</w:t>
      </w:r>
      <w:r w:rsidR="00B43BBD">
        <w:rPr>
          <w:rFonts w:hint="eastAsia"/>
          <w:b/>
          <w:bCs/>
          <w:sz w:val="30"/>
          <w:szCs w:val="30"/>
        </w:rPr>
        <w:t>申购赎回清单版本更新的公告</w:t>
      </w:r>
    </w:p>
    <w:p w:rsidR="00F82307" w:rsidRDefault="00F82307">
      <w:pPr>
        <w:pStyle w:val="a3"/>
        <w:kinsoku w:val="0"/>
        <w:overflowPunct w:val="0"/>
        <w:spacing w:before="1"/>
        <w:rPr>
          <w:b/>
          <w:bCs/>
          <w:sz w:val="32"/>
          <w:szCs w:val="32"/>
        </w:rPr>
      </w:pPr>
    </w:p>
    <w:p w:rsidR="00F82307" w:rsidRPr="00A020D9" w:rsidRDefault="00B43BBD" w:rsidP="00B56AB3">
      <w:pPr>
        <w:pStyle w:val="a3"/>
        <w:kinsoku w:val="0"/>
        <w:overflowPunct w:val="0"/>
        <w:spacing w:before="1" w:line="418" w:lineRule="auto"/>
        <w:ind w:left="221" w:right="369" w:firstLineChars="200" w:firstLine="476"/>
        <w:jc w:val="both"/>
        <w:rPr>
          <w:rFonts w:hAnsi="宋体"/>
          <w:sz w:val="24"/>
          <w:szCs w:val="24"/>
        </w:rPr>
      </w:pPr>
      <w:r w:rsidRPr="00A020D9">
        <w:rPr>
          <w:rFonts w:hAnsi="宋体" w:hint="eastAsia"/>
          <w:spacing w:val="-2"/>
          <w:sz w:val="24"/>
          <w:szCs w:val="24"/>
        </w:rPr>
        <w:t>根据上海证券交易所</w:t>
      </w:r>
      <w:r w:rsidRPr="00A020D9">
        <w:rPr>
          <w:rFonts w:hAnsi="宋体" w:hint="eastAsia"/>
          <w:sz w:val="24"/>
          <w:szCs w:val="24"/>
        </w:rPr>
        <w:t>（</w:t>
      </w:r>
      <w:r w:rsidRPr="00A020D9">
        <w:rPr>
          <w:rFonts w:hAnsi="宋体" w:hint="eastAsia"/>
          <w:spacing w:val="-6"/>
          <w:sz w:val="24"/>
          <w:szCs w:val="24"/>
        </w:rPr>
        <w:t>以下或简称“上交所”</w:t>
      </w:r>
      <w:r w:rsidRPr="00A020D9">
        <w:rPr>
          <w:rFonts w:hAnsi="宋体" w:hint="eastAsia"/>
          <w:spacing w:val="-19"/>
          <w:sz w:val="24"/>
          <w:szCs w:val="24"/>
        </w:rPr>
        <w:t>）</w:t>
      </w:r>
      <w:r w:rsidRPr="00A020D9">
        <w:rPr>
          <w:rFonts w:hAnsi="宋体" w:hint="eastAsia"/>
          <w:spacing w:val="-27"/>
          <w:sz w:val="24"/>
          <w:szCs w:val="24"/>
        </w:rPr>
        <w:t>于</w:t>
      </w:r>
      <w:r w:rsidRPr="00A020D9">
        <w:rPr>
          <w:rFonts w:hAnsi="宋体" w:cs="Times New Roman"/>
          <w:sz w:val="24"/>
          <w:szCs w:val="24"/>
        </w:rPr>
        <w:t>2025</w:t>
      </w:r>
      <w:r w:rsidRPr="00A020D9">
        <w:rPr>
          <w:rFonts w:hAnsi="宋体" w:hint="eastAsia"/>
          <w:spacing w:val="-27"/>
          <w:sz w:val="24"/>
          <w:szCs w:val="24"/>
        </w:rPr>
        <w:t>年</w:t>
      </w:r>
      <w:r w:rsidRPr="00A020D9">
        <w:rPr>
          <w:rFonts w:hAnsi="宋体" w:cs="Times New Roman"/>
          <w:sz w:val="24"/>
          <w:szCs w:val="24"/>
        </w:rPr>
        <w:t>10</w:t>
      </w:r>
      <w:r w:rsidRPr="00A020D9">
        <w:rPr>
          <w:rFonts w:hAnsi="宋体" w:hint="eastAsia"/>
          <w:spacing w:val="-27"/>
          <w:sz w:val="24"/>
          <w:szCs w:val="24"/>
        </w:rPr>
        <w:t>月</w:t>
      </w:r>
      <w:r w:rsidRPr="00A020D9">
        <w:rPr>
          <w:rFonts w:hAnsi="宋体" w:cs="Times New Roman"/>
          <w:sz w:val="24"/>
          <w:szCs w:val="24"/>
        </w:rPr>
        <w:t>24</w:t>
      </w:r>
      <w:r w:rsidRPr="00A020D9">
        <w:rPr>
          <w:rFonts w:hAnsi="宋体" w:hint="eastAsia"/>
          <w:spacing w:val="-4"/>
          <w:sz w:val="24"/>
          <w:szCs w:val="24"/>
        </w:rPr>
        <w:t>日公告的《关于发布</w:t>
      </w:r>
      <w:r w:rsidRPr="00A020D9">
        <w:rPr>
          <w:rFonts w:hAnsi="宋体" w:hint="eastAsia"/>
          <w:spacing w:val="-21"/>
          <w:sz w:val="24"/>
          <w:szCs w:val="24"/>
        </w:rPr>
        <w:t>优化</w:t>
      </w:r>
      <w:r w:rsidRPr="00A020D9">
        <w:rPr>
          <w:rFonts w:hAnsi="宋体" w:cs="Times New Roman"/>
          <w:sz w:val="24"/>
          <w:szCs w:val="24"/>
        </w:rPr>
        <w:t>ETF</w:t>
      </w:r>
      <w:r w:rsidRPr="00A020D9">
        <w:rPr>
          <w:rFonts w:hAnsi="宋体" w:hint="eastAsia"/>
          <w:sz w:val="24"/>
          <w:szCs w:val="24"/>
        </w:rPr>
        <w:t>申赎清单、</w:t>
      </w:r>
      <w:r w:rsidRPr="00A020D9">
        <w:rPr>
          <w:rFonts w:hAnsi="宋体" w:cs="Times New Roman"/>
          <w:sz w:val="24"/>
          <w:szCs w:val="24"/>
        </w:rPr>
        <w:t>EzOES</w:t>
      </w:r>
      <w:r w:rsidRPr="00A020D9">
        <w:rPr>
          <w:rFonts w:hAnsi="宋体" w:hint="eastAsia"/>
          <w:sz w:val="24"/>
          <w:szCs w:val="24"/>
        </w:rPr>
        <w:t>下线市场接口及技术指南（正式稿）的通知》，上交所正式上</w:t>
      </w:r>
      <w:r w:rsidRPr="00A020D9">
        <w:rPr>
          <w:rFonts w:hAnsi="宋体" w:hint="eastAsia"/>
          <w:spacing w:val="-29"/>
          <w:sz w:val="24"/>
          <w:szCs w:val="24"/>
        </w:rPr>
        <w:t>线</w:t>
      </w:r>
      <w:r w:rsidRPr="00A020D9">
        <w:rPr>
          <w:rFonts w:hAnsi="宋体" w:cs="Times New Roman"/>
          <w:sz w:val="24"/>
          <w:szCs w:val="24"/>
        </w:rPr>
        <w:t>ETF</w:t>
      </w:r>
      <w:r w:rsidRPr="00A020D9">
        <w:rPr>
          <w:rFonts w:hAnsi="宋体" w:hint="eastAsia"/>
          <w:spacing w:val="-3"/>
          <w:sz w:val="24"/>
          <w:szCs w:val="24"/>
        </w:rPr>
        <w:t>新版申购赎回清单。</w:t>
      </w:r>
      <w:r w:rsidR="00EF4D58" w:rsidRPr="00A020D9">
        <w:rPr>
          <w:rFonts w:hAnsi="宋体" w:hint="eastAsia"/>
          <w:spacing w:val="-3"/>
          <w:sz w:val="24"/>
          <w:szCs w:val="24"/>
        </w:rPr>
        <w:t>东财基金</w:t>
      </w:r>
      <w:r w:rsidRPr="00A020D9">
        <w:rPr>
          <w:rFonts w:hAnsi="宋体" w:hint="eastAsia"/>
          <w:spacing w:val="-3"/>
          <w:sz w:val="24"/>
          <w:szCs w:val="24"/>
        </w:rPr>
        <w:t>管理有限公司</w:t>
      </w:r>
      <w:r w:rsidRPr="00A020D9">
        <w:rPr>
          <w:rFonts w:hAnsi="宋体" w:hint="eastAsia"/>
          <w:sz w:val="24"/>
          <w:szCs w:val="24"/>
        </w:rPr>
        <w:t>（</w:t>
      </w:r>
      <w:r w:rsidRPr="00A020D9">
        <w:rPr>
          <w:rFonts w:hAnsi="宋体" w:hint="eastAsia"/>
          <w:spacing w:val="-3"/>
          <w:sz w:val="24"/>
          <w:szCs w:val="24"/>
        </w:rPr>
        <w:t>以下简称“本公司”</w:t>
      </w:r>
      <w:r w:rsidRPr="00A020D9">
        <w:rPr>
          <w:rFonts w:hAnsi="宋体" w:hint="eastAsia"/>
          <w:spacing w:val="-9"/>
          <w:sz w:val="24"/>
          <w:szCs w:val="24"/>
        </w:rPr>
        <w:t>）</w:t>
      </w:r>
      <w:r w:rsidRPr="00A020D9">
        <w:rPr>
          <w:rFonts w:hAnsi="宋体" w:hint="eastAsia"/>
          <w:spacing w:val="-29"/>
          <w:sz w:val="24"/>
          <w:szCs w:val="24"/>
        </w:rPr>
        <w:t>自</w:t>
      </w:r>
      <w:r w:rsidRPr="00A020D9">
        <w:rPr>
          <w:rFonts w:hAnsi="宋体" w:cs="Times New Roman"/>
          <w:sz w:val="24"/>
          <w:szCs w:val="24"/>
        </w:rPr>
        <w:t>2025</w:t>
      </w:r>
      <w:r w:rsidRPr="00A020D9">
        <w:rPr>
          <w:rFonts w:hAnsi="宋体" w:hint="eastAsia"/>
          <w:sz w:val="24"/>
          <w:szCs w:val="24"/>
        </w:rPr>
        <w:t>年</w:t>
      </w:r>
      <w:r w:rsidRPr="00A020D9">
        <w:rPr>
          <w:rFonts w:hAnsi="宋体" w:cs="Times New Roman"/>
          <w:sz w:val="24"/>
          <w:szCs w:val="24"/>
        </w:rPr>
        <w:t>11</w:t>
      </w:r>
      <w:r w:rsidRPr="00A020D9">
        <w:rPr>
          <w:rFonts w:hAnsi="宋体" w:hint="eastAsia"/>
          <w:spacing w:val="-29"/>
          <w:sz w:val="24"/>
          <w:szCs w:val="24"/>
        </w:rPr>
        <w:t>月</w:t>
      </w:r>
      <w:r w:rsidRPr="00A020D9">
        <w:rPr>
          <w:rFonts w:hAnsi="宋体" w:cs="Times New Roman"/>
          <w:sz w:val="24"/>
          <w:szCs w:val="24"/>
        </w:rPr>
        <w:t>17</w:t>
      </w:r>
      <w:r w:rsidRPr="00A020D9">
        <w:rPr>
          <w:rFonts w:hAnsi="宋体" w:hint="eastAsia"/>
          <w:spacing w:val="-6"/>
          <w:sz w:val="24"/>
          <w:szCs w:val="24"/>
        </w:rPr>
        <w:t>日起对旗下部分上交所</w:t>
      </w:r>
      <w:r w:rsidRPr="00A020D9">
        <w:rPr>
          <w:rFonts w:hAnsi="宋体" w:cs="Times New Roman"/>
          <w:sz w:val="24"/>
          <w:szCs w:val="24"/>
        </w:rPr>
        <w:t>ETF</w:t>
      </w:r>
      <w:r w:rsidRPr="00A020D9">
        <w:rPr>
          <w:rFonts w:hAnsi="宋体" w:hint="eastAsia"/>
          <w:sz w:val="24"/>
          <w:szCs w:val="24"/>
        </w:rPr>
        <w:t>申购赎回清单进行版本更新。现将相关事项公告如下：</w:t>
      </w:r>
    </w:p>
    <w:p w:rsidR="00F82307" w:rsidRPr="00A020D9" w:rsidRDefault="00B43BBD" w:rsidP="004875C0">
      <w:pPr>
        <w:pStyle w:val="a3"/>
        <w:kinsoku w:val="0"/>
        <w:overflowPunct w:val="0"/>
        <w:spacing w:line="268" w:lineRule="exact"/>
        <w:ind w:left="848"/>
        <w:jc w:val="both"/>
        <w:rPr>
          <w:rFonts w:hAnsi="宋体"/>
          <w:sz w:val="24"/>
          <w:szCs w:val="24"/>
        </w:rPr>
      </w:pPr>
      <w:r w:rsidRPr="00A020D9">
        <w:rPr>
          <w:rFonts w:hAnsi="宋体" w:hint="eastAsia"/>
          <w:sz w:val="24"/>
          <w:szCs w:val="24"/>
        </w:rPr>
        <w:t>一、涉及本次申购赎回清单版本更新的基金列表</w:t>
      </w:r>
    </w:p>
    <w:p w:rsidR="00F82307" w:rsidRDefault="00F82307" w:rsidP="004875C0">
      <w:pPr>
        <w:pStyle w:val="a3"/>
        <w:kinsoku w:val="0"/>
        <w:overflowPunct w:val="0"/>
        <w:spacing w:before="10" w:after="1"/>
        <w:jc w:val="both"/>
        <w:rPr>
          <w:sz w:val="7"/>
          <w:szCs w:val="7"/>
        </w:rPr>
      </w:pPr>
    </w:p>
    <w:tbl>
      <w:tblPr>
        <w:tblW w:w="0" w:type="auto"/>
        <w:tblInd w:w="117" w:type="dxa"/>
        <w:tblLayout w:type="fixed"/>
        <w:tblCellMar>
          <w:left w:w="0" w:type="dxa"/>
          <w:right w:w="0" w:type="dxa"/>
        </w:tblCellMar>
        <w:tblLook w:val="0000"/>
      </w:tblPr>
      <w:tblGrid>
        <w:gridCol w:w="871"/>
        <w:gridCol w:w="1417"/>
        <w:gridCol w:w="3450"/>
        <w:gridCol w:w="1097"/>
        <w:gridCol w:w="1915"/>
      </w:tblGrid>
      <w:tr w:rsidR="00F82307" w:rsidTr="00DD6032">
        <w:trPr>
          <w:trHeight w:val="467"/>
        </w:trPr>
        <w:tc>
          <w:tcPr>
            <w:tcW w:w="871" w:type="dxa"/>
            <w:tcBorders>
              <w:top w:val="single" w:sz="4" w:space="0" w:color="000000"/>
              <w:left w:val="single" w:sz="4" w:space="0" w:color="000000"/>
              <w:bottom w:val="single" w:sz="4" w:space="0" w:color="000000"/>
              <w:right w:val="single" w:sz="4" w:space="0" w:color="000000"/>
            </w:tcBorders>
            <w:vAlign w:val="center"/>
          </w:tcPr>
          <w:p w:rsidR="00F82307" w:rsidRPr="004875C0" w:rsidRDefault="00B43BBD" w:rsidP="00DD6032">
            <w:pPr>
              <w:pStyle w:val="TableParagraph"/>
              <w:kinsoku w:val="0"/>
              <w:overflowPunct w:val="0"/>
              <w:spacing w:before="98"/>
              <w:ind w:left="125" w:right="118"/>
            </w:pPr>
            <w:r w:rsidRPr="004875C0">
              <w:rPr>
                <w:rFonts w:hint="eastAsia"/>
              </w:rPr>
              <w:t>序号</w:t>
            </w:r>
          </w:p>
        </w:tc>
        <w:tc>
          <w:tcPr>
            <w:tcW w:w="1417" w:type="dxa"/>
            <w:tcBorders>
              <w:top w:val="single" w:sz="4" w:space="0" w:color="000000"/>
              <w:left w:val="single" w:sz="4" w:space="0" w:color="000000"/>
              <w:bottom w:val="single" w:sz="4" w:space="0" w:color="000000"/>
              <w:right w:val="single" w:sz="4" w:space="0" w:color="000000"/>
            </w:tcBorders>
            <w:vAlign w:val="center"/>
          </w:tcPr>
          <w:p w:rsidR="00F82307" w:rsidRPr="004875C0" w:rsidRDefault="00B43BBD" w:rsidP="00DD6032">
            <w:pPr>
              <w:pStyle w:val="TableParagraph"/>
              <w:kinsoku w:val="0"/>
              <w:overflowPunct w:val="0"/>
              <w:spacing w:before="98"/>
              <w:ind w:left="120" w:right="115"/>
            </w:pPr>
            <w:r w:rsidRPr="004875C0">
              <w:rPr>
                <w:rFonts w:hint="eastAsia"/>
              </w:rPr>
              <w:t>基金代码</w:t>
            </w:r>
          </w:p>
        </w:tc>
        <w:tc>
          <w:tcPr>
            <w:tcW w:w="3450" w:type="dxa"/>
            <w:tcBorders>
              <w:top w:val="single" w:sz="4" w:space="0" w:color="000000"/>
              <w:left w:val="single" w:sz="4" w:space="0" w:color="000000"/>
              <w:bottom w:val="single" w:sz="4" w:space="0" w:color="000000"/>
              <w:right w:val="single" w:sz="4" w:space="0" w:color="000000"/>
            </w:tcBorders>
            <w:vAlign w:val="center"/>
          </w:tcPr>
          <w:p w:rsidR="00F82307" w:rsidRPr="004875C0" w:rsidRDefault="00B43BBD" w:rsidP="004875C0">
            <w:pPr>
              <w:pStyle w:val="TableParagraph"/>
              <w:kinsoku w:val="0"/>
              <w:overflowPunct w:val="0"/>
              <w:spacing w:before="98"/>
              <w:ind w:left="35" w:right="30"/>
              <w:jc w:val="both"/>
            </w:pPr>
            <w:r w:rsidRPr="004875C0">
              <w:rPr>
                <w:rFonts w:hint="eastAsia"/>
              </w:rPr>
              <w:t>基金全称</w:t>
            </w:r>
          </w:p>
        </w:tc>
        <w:tc>
          <w:tcPr>
            <w:tcW w:w="1097" w:type="dxa"/>
            <w:tcBorders>
              <w:top w:val="single" w:sz="4" w:space="0" w:color="000000"/>
              <w:left w:val="single" w:sz="4" w:space="0" w:color="000000"/>
              <w:bottom w:val="single" w:sz="4" w:space="0" w:color="000000"/>
              <w:right w:val="single" w:sz="4" w:space="0" w:color="000000"/>
            </w:tcBorders>
            <w:vAlign w:val="center"/>
          </w:tcPr>
          <w:p w:rsidR="00F82307" w:rsidRPr="00DD6032" w:rsidRDefault="00B43BBD" w:rsidP="004875C0">
            <w:pPr>
              <w:pStyle w:val="TableParagraph"/>
              <w:kinsoku w:val="0"/>
              <w:overflowPunct w:val="0"/>
              <w:spacing w:before="98"/>
              <w:ind w:right="119"/>
              <w:jc w:val="both"/>
            </w:pPr>
            <w:r w:rsidRPr="00DD6032">
              <w:rPr>
                <w:rFonts w:hint="eastAsia"/>
              </w:rPr>
              <w:t>场内简称</w:t>
            </w:r>
          </w:p>
        </w:tc>
        <w:tc>
          <w:tcPr>
            <w:tcW w:w="1915" w:type="dxa"/>
            <w:tcBorders>
              <w:top w:val="single" w:sz="4" w:space="0" w:color="000000"/>
              <w:left w:val="single" w:sz="4" w:space="0" w:color="000000"/>
              <w:bottom w:val="single" w:sz="4" w:space="0" w:color="000000"/>
              <w:right w:val="single" w:sz="4" w:space="0" w:color="000000"/>
            </w:tcBorders>
            <w:vAlign w:val="center"/>
          </w:tcPr>
          <w:p w:rsidR="00F82307" w:rsidRPr="004875C0" w:rsidRDefault="00B43BBD" w:rsidP="004875C0">
            <w:pPr>
              <w:pStyle w:val="TableParagraph"/>
              <w:kinsoku w:val="0"/>
              <w:overflowPunct w:val="0"/>
              <w:spacing w:before="98"/>
              <w:ind w:left="167" w:right="162"/>
              <w:jc w:val="both"/>
            </w:pPr>
            <w:r w:rsidRPr="004875C0">
              <w:rPr>
                <w:rFonts w:hint="eastAsia"/>
              </w:rPr>
              <w:t>扩位证券简称</w:t>
            </w:r>
          </w:p>
        </w:tc>
      </w:tr>
      <w:tr w:rsidR="00327E19" w:rsidTr="00DD6032">
        <w:trPr>
          <w:trHeight w:val="467"/>
        </w:trPr>
        <w:tc>
          <w:tcPr>
            <w:tcW w:w="871"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DD6032">
            <w:pPr>
              <w:pStyle w:val="TableParagraph"/>
              <w:kinsoku w:val="0"/>
              <w:overflowPunct w:val="0"/>
              <w:spacing w:before="98"/>
              <w:ind w:left="125" w:right="118"/>
            </w:pPr>
            <w:r>
              <w:rPr>
                <w:rFonts w:hint="eastAsia"/>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DD6032">
            <w:pPr>
              <w:pStyle w:val="TableParagraph"/>
              <w:kinsoku w:val="0"/>
              <w:overflowPunct w:val="0"/>
              <w:spacing w:before="98"/>
              <w:ind w:left="120" w:right="115"/>
            </w:pPr>
            <w:r>
              <w:rPr>
                <w:rFonts w:hint="eastAsia"/>
              </w:rPr>
              <w:t>530050</w:t>
            </w:r>
          </w:p>
        </w:tc>
        <w:tc>
          <w:tcPr>
            <w:tcW w:w="3450"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4875C0">
            <w:pPr>
              <w:pStyle w:val="TableParagraph"/>
              <w:kinsoku w:val="0"/>
              <w:overflowPunct w:val="0"/>
              <w:spacing w:before="98"/>
              <w:ind w:left="35" w:right="30"/>
              <w:jc w:val="both"/>
            </w:pPr>
            <w:r w:rsidRPr="00327E19">
              <w:t>西藏东财上证50交易型开放式指数证券投资基金</w:t>
            </w:r>
          </w:p>
        </w:tc>
        <w:tc>
          <w:tcPr>
            <w:tcW w:w="1097" w:type="dxa"/>
            <w:tcBorders>
              <w:top w:val="single" w:sz="4" w:space="0" w:color="000000"/>
              <w:left w:val="single" w:sz="4" w:space="0" w:color="000000"/>
              <w:bottom w:val="single" w:sz="4" w:space="0" w:color="000000"/>
              <w:right w:val="single" w:sz="4" w:space="0" w:color="000000"/>
            </w:tcBorders>
            <w:vAlign w:val="center"/>
          </w:tcPr>
          <w:p w:rsidR="00327E19" w:rsidRPr="00E44394" w:rsidRDefault="00327E19" w:rsidP="004875C0">
            <w:pPr>
              <w:pStyle w:val="TableParagraph"/>
              <w:kinsoku w:val="0"/>
              <w:overflowPunct w:val="0"/>
              <w:spacing w:before="98"/>
              <w:ind w:right="119"/>
              <w:jc w:val="both"/>
            </w:pPr>
            <w:r w:rsidRPr="00E44394">
              <w:t>SH50ETF</w:t>
            </w:r>
          </w:p>
        </w:tc>
        <w:tc>
          <w:tcPr>
            <w:tcW w:w="1915"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4875C0">
            <w:pPr>
              <w:pStyle w:val="TableParagraph"/>
              <w:kinsoku w:val="0"/>
              <w:overflowPunct w:val="0"/>
              <w:spacing w:before="98"/>
              <w:ind w:left="167" w:right="162"/>
              <w:jc w:val="both"/>
            </w:pPr>
            <w:r w:rsidRPr="00327E19">
              <w:rPr>
                <w:rFonts w:hint="eastAsia"/>
              </w:rPr>
              <w:t>上证50ETF东财</w:t>
            </w:r>
          </w:p>
        </w:tc>
      </w:tr>
      <w:tr w:rsidR="00327E19" w:rsidTr="00DD6032">
        <w:trPr>
          <w:trHeight w:val="467"/>
        </w:trPr>
        <w:tc>
          <w:tcPr>
            <w:tcW w:w="871"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DD6032">
            <w:pPr>
              <w:pStyle w:val="TableParagraph"/>
              <w:kinsoku w:val="0"/>
              <w:overflowPunct w:val="0"/>
              <w:spacing w:before="98"/>
              <w:ind w:left="125" w:right="118"/>
            </w:pPr>
            <w:r>
              <w:rPr>
                <w:rFonts w:hint="eastAsia"/>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DD6032">
            <w:pPr>
              <w:pStyle w:val="TableParagraph"/>
              <w:kinsoku w:val="0"/>
              <w:overflowPunct w:val="0"/>
              <w:spacing w:before="98"/>
              <w:ind w:left="120" w:right="115"/>
            </w:pPr>
            <w:r>
              <w:rPr>
                <w:rFonts w:hint="eastAsia"/>
              </w:rPr>
              <w:t>589060</w:t>
            </w:r>
          </w:p>
        </w:tc>
        <w:tc>
          <w:tcPr>
            <w:tcW w:w="3450"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4875C0">
            <w:pPr>
              <w:pStyle w:val="TableParagraph"/>
              <w:kinsoku w:val="0"/>
              <w:overflowPunct w:val="0"/>
              <w:spacing w:before="98"/>
              <w:ind w:left="35" w:right="30"/>
              <w:jc w:val="both"/>
            </w:pPr>
            <w:r w:rsidRPr="00327E19">
              <w:rPr>
                <w:rFonts w:hint="eastAsia"/>
              </w:rPr>
              <w:t>西藏东财上证科创</w:t>
            </w:r>
            <w:bookmarkStart w:id="0" w:name="_GoBack"/>
            <w:bookmarkEnd w:id="0"/>
            <w:r w:rsidRPr="00327E19">
              <w:rPr>
                <w:rFonts w:hint="eastAsia"/>
              </w:rPr>
              <w:t>板综合价格交易型开放式指数证券投资基金</w:t>
            </w:r>
          </w:p>
        </w:tc>
        <w:tc>
          <w:tcPr>
            <w:tcW w:w="1097" w:type="dxa"/>
            <w:tcBorders>
              <w:top w:val="single" w:sz="4" w:space="0" w:color="000000"/>
              <w:left w:val="single" w:sz="4" w:space="0" w:color="000000"/>
              <w:bottom w:val="single" w:sz="4" w:space="0" w:color="000000"/>
              <w:right w:val="single" w:sz="4" w:space="0" w:color="000000"/>
            </w:tcBorders>
            <w:vAlign w:val="center"/>
          </w:tcPr>
          <w:p w:rsidR="00327E19" w:rsidRPr="00E44394" w:rsidRDefault="00327E19" w:rsidP="004875C0">
            <w:pPr>
              <w:pStyle w:val="TableParagraph"/>
              <w:kinsoku w:val="0"/>
              <w:overflowPunct w:val="0"/>
              <w:spacing w:before="98"/>
              <w:ind w:right="119"/>
              <w:jc w:val="both"/>
            </w:pPr>
            <w:r w:rsidRPr="00E44394">
              <w:rPr>
                <w:rFonts w:hint="eastAsia"/>
              </w:rPr>
              <w:t>科综东财</w:t>
            </w:r>
          </w:p>
        </w:tc>
        <w:tc>
          <w:tcPr>
            <w:tcW w:w="1915"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4875C0">
            <w:pPr>
              <w:pStyle w:val="TableParagraph"/>
              <w:kinsoku w:val="0"/>
              <w:overflowPunct w:val="0"/>
              <w:spacing w:before="98"/>
              <w:ind w:left="167" w:right="162"/>
              <w:jc w:val="both"/>
            </w:pPr>
            <w:r w:rsidRPr="00327E19">
              <w:rPr>
                <w:rFonts w:hint="eastAsia"/>
              </w:rPr>
              <w:t>科创综指ETF东财</w:t>
            </w:r>
          </w:p>
        </w:tc>
      </w:tr>
      <w:tr w:rsidR="00327E19" w:rsidTr="00DD6032">
        <w:trPr>
          <w:trHeight w:val="467"/>
        </w:trPr>
        <w:tc>
          <w:tcPr>
            <w:tcW w:w="871"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DD6032">
            <w:pPr>
              <w:pStyle w:val="TableParagraph"/>
              <w:kinsoku w:val="0"/>
              <w:overflowPunct w:val="0"/>
              <w:spacing w:before="98"/>
              <w:ind w:left="125" w:right="118"/>
            </w:pPr>
            <w:r>
              <w:rPr>
                <w:rFonts w:hint="eastAsia"/>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DD6032">
            <w:pPr>
              <w:pStyle w:val="TableParagraph"/>
              <w:kinsoku w:val="0"/>
              <w:overflowPunct w:val="0"/>
              <w:spacing w:before="98"/>
              <w:ind w:left="120" w:right="115"/>
            </w:pPr>
            <w:r>
              <w:rPr>
                <w:rFonts w:hint="eastAsia"/>
              </w:rPr>
              <w:t>589850</w:t>
            </w:r>
          </w:p>
        </w:tc>
        <w:tc>
          <w:tcPr>
            <w:tcW w:w="3450"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4875C0">
            <w:pPr>
              <w:pStyle w:val="TableParagraph"/>
              <w:kinsoku w:val="0"/>
              <w:overflowPunct w:val="0"/>
              <w:spacing w:before="98"/>
              <w:ind w:left="35" w:right="30"/>
              <w:jc w:val="both"/>
            </w:pPr>
            <w:r w:rsidRPr="00327E19">
              <w:rPr>
                <w:rFonts w:hint="eastAsia"/>
              </w:rPr>
              <w:t>西藏东财上证科创板50成份交易型开放式指数证券投资基金</w:t>
            </w:r>
          </w:p>
        </w:tc>
        <w:tc>
          <w:tcPr>
            <w:tcW w:w="1097" w:type="dxa"/>
            <w:tcBorders>
              <w:top w:val="single" w:sz="4" w:space="0" w:color="000000"/>
              <w:left w:val="single" w:sz="4" w:space="0" w:color="000000"/>
              <w:bottom w:val="single" w:sz="4" w:space="0" w:color="000000"/>
              <w:right w:val="single" w:sz="4" w:space="0" w:color="000000"/>
            </w:tcBorders>
            <w:vAlign w:val="center"/>
          </w:tcPr>
          <w:p w:rsidR="00327E19" w:rsidRPr="00E44394" w:rsidRDefault="00327E19" w:rsidP="004875C0">
            <w:pPr>
              <w:pStyle w:val="TableParagraph"/>
              <w:kinsoku w:val="0"/>
              <w:overflowPunct w:val="0"/>
              <w:spacing w:before="98"/>
              <w:ind w:right="119"/>
              <w:jc w:val="both"/>
            </w:pPr>
            <w:r w:rsidRPr="00E44394">
              <w:rPr>
                <w:rFonts w:hint="eastAsia"/>
              </w:rPr>
              <w:t>科创东财</w:t>
            </w:r>
          </w:p>
        </w:tc>
        <w:tc>
          <w:tcPr>
            <w:tcW w:w="1915" w:type="dxa"/>
            <w:tcBorders>
              <w:top w:val="single" w:sz="4" w:space="0" w:color="000000"/>
              <w:left w:val="single" w:sz="4" w:space="0" w:color="000000"/>
              <w:bottom w:val="single" w:sz="4" w:space="0" w:color="000000"/>
              <w:right w:val="single" w:sz="4" w:space="0" w:color="000000"/>
            </w:tcBorders>
            <w:vAlign w:val="center"/>
          </w:tcPr>
          <w:p w:rsidR="00327E19" w:rsidRPr="004875C0" w:rsidRDefault="00327E19" w:rsidP="004875C0">
            <w:pPr>
              <w:pStyle w:val="TableParagraph"/>
              <w:kinsoku w:val="0"/>
              <w:overflowPunct w:val="0"/>
              <w:spacing w:before="98"/>
              <w:ind w:left="167" w:right="162"/>
              <w:jc w:val="both"/>
            </w:pPr>
            <w:r w:rsidRPr="00327E19">
              <w:rPr>
                <w:rFonts w:hint="eastAsia"/>
              </w:rPr>
              <w:t>科创50ETF东财</w:t>
            </w:r>
          </w:p>
        </w:tc>
      </w:tr>
      <w:tr w:rsidR="00660984" w:rsidTr="00DD6032">
        <w:trPr>
          <w:trHeight w:val="467"/>
        </w:trPr>
        <w:tc>
          <w:tcPr>
            <w:tcW w:w="871" w:type="dxa"/>
            <w:tcBorders>
              <w:top w:val="single" w:sz="4" w:space="0" w:color="000000"/>
              <w:left w:val="single" w:sz="4" w:space="0" w:color="000000"/>
              <w:bottom w:val="single" w:sz="4" w:space="0" w:color="000000"/>
              <w:right w:val="single" w:sz="4" w:space="0" w:color="000000"/>
            </w:tcBorders>
            <w:vAlign w:val="center"/>
          </w:tcPr>
          <w:p w:rsidR="00660984" w:rsidRDefault="00660984" w:rsidP="00DD6032">
            <w:pPr>
              <w:pStyle w:val="TableParagraph"/>
              <w:kinsoku w:val="0"/>
              <w:overflowPunct w:val="0"/>
              <w:spacing w:before="98"/>
              <w:ind w:left="125" w:right="118"/>
            </w:pPr>
            <w:r>
              <w:rPr>
                <w:rFonts w:hint="eastAsia"/>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660984" w:rsidRDefault="00BE08A5" w:rsidP="00DD6032">
            <w:pPr>
              <w:pStyle w:val="TableParagraph"/>
              <w:kinsoku w:val="0"/>
              <w:overflowPunct w:val="0"/>
              <w:spacing w:before="98"/>
              <w:ind w:left="120" w:right="115"/>
            </w:pPr>
            <w:r w:rsidRPr="00BE08A5">
              <w:t>511160</w:t>
            </w:r>
          </w:p>
        </w:tc>
        <w:tc>
          <w:tcPr>
            <w:tcW w:w="3450" w:type="dxa"/>
            <w:tcBorders>
              <w:top w:val="single" w:sz="4" w:space="0" w:color="000000"/>
              <w:left w:val="single" w:sz="4" w:space="0" w:color="000000"/>
              <w:bottom w:val="single" w:sz="4" w:space="0" w:color="000000"/>
              <w:right w:val="single" w:sz="4" w:space="0" w:color="000000"/>
            </w:tcBorders>
            <w:vAlign w:val="center"/>
          </w:tcPr>
          <w:p w:rsidR="00660984" w:rsidRPr="00327E19" w:rsidRDefault="001E0192" w:rsidP="004875C0">
            <w:pPr>
              <w:pStyle w:val="TableParagraph"/>
              <w:kinsoku w:val="0"/>
              <w:overflowPunct w:val="0"/>
              <w:spacing w:before="98"/>
              <w:ind w:left="35" w:right="30"/>
              <w:jc w:val="both"/>
            </w:pPr>
            <w:r w:rsidRPr="001E0192">
              <w:rPr>
                <w:rFonts w:hint="eastAsia"/>
              </w:rPr>
              <w:t>西藏东财中证1-3年国债交易型开放式指数证券投资基金</w:t>
            </w:r>
          </w:p>
        </w:tc>
        <w:tc>
          <w:tcPr>
            <w:tcW w:w="1097" w:type="dxa"/>
            <w:tcBorders>
              <w:top w:val="single" w:sz="4" w:space="0" w:color="000000"/>
              <w:left w:val="single" w:sz="4" w:space="0" w:color="000000"/>
              <w:bottom w:val="single" w:sz="4" w:space="0" w:color="000000"/>
              <w:right w:val="single" w:sz="4" w:space="0" w:color="000000"/>
            </w:tcBorders>
            <w:vAlign w:val="center"/>
          </w:tcPr>
          <w:p w:rsidR="00660984" w:rsidRPr="001E3555" w:rsidRDefault="00244662" w:rsidP="004875C0">
            <w:pPr>
              <w:pStyle w:val="TableParagraph"/>
              <w:kinsoku w:val="0"/>
              <w:overflowPunct w:val="0"/>
              <w:spacing w:before="98"/>
              <w:ind w:right="119"/>
              <w:jc w:val="both"/>
            </w:pPr>
            <w:r w:rsidRPr="00244662">
              <w:rPr>
                <w:rFonts w:hint="eastAsia"/>
              </w:rPr>
              <w:t>国债东财</w:t>
            </w:r>
          </w:p>
        </w:tc>
        <w:tc>
          <w:tcPr>
            <w:tcW w:w="1915" w:type="dxa"/>
            <w:tcBorders>
              <w:top w:val="single" w:sz="4" w:space="0" w:color="000000"/>
              <w:left w:val="single" w:sz="4" w:space="0" w:color="000000"/>
              <w:bottom w:val="single" w:sz="4" w:space="0" w:color="000000"/>
              <w:right w:val="single" w:sz="4" w:space="0" w:color="000000"/>
            </w:tcBorders>
            <w:vAlign w:val="center"/>
          </w:tcPr>
          <w:p w:rsidR="00660984" w:rsidRPr="00327E19" w:rsidRDefault="002F0EBA" w:rsidP="004875C0">
            <w:pPr>
              <w:pStyle w:val="TableParagraph"/>
              <w:kinsoku w:val="0"/>
              <w:overflowPunct w:val="0"/>
              <w:spacing w:before="98"/>
              <w:ind w:left="167" w:right="162"/>
              <w:jc w:val="both"/>
            </w:pPr>
            <w:r w:rsidRPr="002F0EBA">
              <w:rPr>
                <w:rFonts w:hint="eastAsia"/>
              </w:rPr>
              <w:t>国债ETF东财</w:t>
            </w:r>
          </w:p>
        </w:tc>
      </w:tr>
    </w:tbl>
    <w:p w:rsidR="00F82307" w:rsidRDefault="00F82307" w:rsidP="004875C0">
      <w:pPr>
        <w:pStyle w:val="a3"/>
        <w:kinsoku w:val="0"/>
        <w:overflowPunct w:val="0"/>
        <w:spacing w:before="3"/>
        <w:jc w:val="both"/>
        <w:rPr>
          <w:sz w:val="24"/>
          <w:szCs w:val="24"/>
        </w:rPr>
      </w:pPr>
    </w:p>
    <w:p w:rsidR="00F82307" w:rsidRPr="00A020D9" w:rsidRDefault="00B43BBD"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hint="eastAsia"/>
          <w:spacing w:val="-2"/>
          <w:sz w:val="24"/>
          <w:szCs w:val="24"/>
        </w:rPr>
        <w:t>二、更新情况说明</w:t>
      </w:r>
    </w:p>
    <w:p w:rsidR="002B16C5" w:rsidRPr="002B16C5" w:rsidRDefault="001E3555" w:rsidP="002B16C5">
      <w:pPr>
        <w:pStyle w:val="a3"/>
        <w:kinsoku w:val="0"/>
        <w:overflowPunct w:val="0"/>
        <w:spacing w:before="1" w:line="418" w:lineRule="auto"/>
        <w:ind w:left="221" w:right="369" w:firstLineChars="200" w:firstLine="476"/>
        <w:jc w:val="both"/>
        <w:rPr>
          <w:rFonts w:hAnsi="宋体"/>
          <w:spacing w:val="-2"/>
          <w:sz w:val="24"/>
          <w:szCs w:val="24"/>
        </w:rPr>
      </w:pPr>
      <w:r w:rsidRPr="001E3555">
        <w:rPr>
          <w:rFonts w:hAnsi="宋体" w:hint="eastAsia"/>
          <w:spacing w:val="-2"/>
          <w:sz w:val="24"/>
          <w:szCs w:val="24"/>
        </w:rPr>
        <w:t>根据《上海证券交易所优化ETF申赎清单市场参与者技术实施指南》3.0版，</w:t>
      </w:r>
      <w:r w:rsidR="002B16C5" w:rsidRPr="002B16C5">
        <w:rPr>
          <w:rFonts w:hAnsi="宋体" w:hint="eastAsia"/>
          <w:spacing w:val="-2"/>
          <w:sz w:val="24"/>
          <w:szCs w:val="24"/>
        </w:rPr>
        <w:t>上交所ETF申购赎回清单新增xml版本，除格式变更外，主要调整包括：</w:t>
      </w:r>
    </w:p>
    <w:p w:rsidR="002B16C5" w:rsidRPr="002B16C5" w:rsidRDefault="002B16C5" w:rsidP="002B16C5">
      <w:pPr>
        <w:pStyle w:val="a3"/>
        <w:kinsoku w:val="0"/>
        <w:overflowPunct w:val="0"/>
        <w:spacing w:before="1" w:line="418" w:lineRule="auto"/>
        <w:ind w:left="221" w:right="369" w:firstLineChars="200" w:firstLine="476"/>
        <w:jc w:val="both"/>
        <w:rPr>
          <w:rFonts w:hAnsi="宋体"/>
          <w:spacing w:val="-2"/>
          <w:sz w:val="24"/>
          <w:szCs w:val="24"/>
        </w:rPr>
      </w:pPr>
      <w:r w:rsidRPr="002B16C5">
        <w:rPr>
          <w:rFonts w:hAnsi="宋体" w:hint="eastAsia"/>
          <w:spacing w:val="-2"/>
          <w:sz w:val="24"/>
          <w:szCs w:val="24"/>
        </w:rPr>
        <w:t>（1）启用“挂牌市场”字段；</w:t>
      </w:r>
    </w:p>
    <w:p w:rsidR="002B16C5" w:rsidRDefault="002B16C5" w:rsidP="002B16C5">
      <w:pPr>
        <w:pStyle w:val="a3"/>
        <w:kinsoku w:val="0"/>
        <w:overflowPunct w:val="0"/>
        <w:spacing w:before="1" w:line="418" w:lineRule="auto"/>
        <w:ind w:left="221" w:right="369" w:firstLineChars="200" w:firstLine="476"/>
        <w:jc w:val="both"/>
        <w:rPr>
          <w:rFonts w:hAnsi="宋体"/>
          <w:spacing w:val="-2"/>
          <w:sz w:val="24"/>
          <w:szCs w:val="24"/>
        </w:rPr>
      </w:pPr>
      <w:r w:rsidRPr="002B16C5">
        <w:rPr>
          <w:rFonts w:hAnsi="宋体" w:hint="eastAsia"/>
          <w:spacing w:val="-2"/>
          <w:sz w:val="24"/>
          <w:szCs w:val="24"/>
        </w:rPr>
        <w:t>（2）调整“现金替代标志”字段描述，统一调整为“0-禁止现金替代”“1-允许现金替代”“2-必须现金替代”三类；</w:t>
      </w:r>
    </w:p>
    <w:p w:rsidR="002B16C5" w:rsidRPr="002B16C5" w:rsidRDefault="002B16C5" w:rsidP="002B16C5">
      <w:pPr>
        <w:pStyle w:val="a3"/>
        <w:kinsoku w:val="0"/>
        <w:overflowPunct w:val="0"/>
        <w:spacing w:before="1" w:line="418" w:lineRule="auto"/>
        <w:ind w:left="221" w:right="369" w:firstLineChars="200" w:firstLine="476"/>
        <w:jc w:val="both"/>
        <w:rPr>
          <w:rFonts w:hAnsi="宋体"/>
          <w:spacing w:val="-2"/>
          <w:sz w:val="24"/>
          <w:szCs w:val="24"/>
        </w:rPr>
      </w:pPr>
      <w:r w:rsidRPr="002B16C5">
        <w:rPr>
          <w:rFonts w:hAnsi="宋体" w:hint="eastAsia"/>
          <w:spacing w:val="-2"/>
          <w:sz w:val="24"/>
          <w:szCs w:val="24"/>
        </w:rPr>
        <w:t>（3）新增“当日净申购的基金份额上限”“当日净赎回的基金份额上限”字段；新增“单个证券账户当日净申购的基金份额上限”“单个证券账户当日净赎回的基金份额上限”字段；新增“单个证券账户当日累计可申购的基金份额上限”“单个证券账户当日累计可赎回的基金份额上限”字段；原“申购上限”“赎回上限”字段调整为“当日累计可申购的基金份额上限”“当日累计可赎回的基金份额上限”；</w:t>
      </w:r>
    </w:p>
    <w:p w:rsidR="002B16C5" w:rsidRPr="002B16C5" w:rsidRDefault="002B16C5" w:rsidP="002B16C5">
      <w:pPr>
        <w:pStyle w:val="a3"/>
        <w:kinsoku w:val="0"/>
        <w:overflowPunct w:val="0"/>
        <w:spacing w:before="1" w:line="418" w:lineRule="auto"/>
        <w:ind w:left="221" w:right="369" w:firstLineChars="200" w:firstLine="476"/>
        <w:jc w:val="both"/>
        <w:rPr>
          <w:rFonts w:hAnsi="宋体"/>
          <w:spacing w:val="-2"/>
          <w:sz w:val="24"/>
          <w:szCs w:val="24"/>
        </w:rPr>
      </w:pPr>
      <w:r w:rsidRPr="002B16C5">
        <w:rPr>
          <w:rFonts w:hAnsi="宋体" w:hint="eastAsia"/>
          <w:spacing w:val="-2"/>
          <w:sz w:val="24"/>
          <w:szCs w:val="24"/>
        </w:rPr>
        <w:lastRenderedPageBreak/>
        <w:t>（4）增加部分字段长度；</w:t>
      </w:r>
    </w:p>
    <w:p w:rsidR="002B16C5" w:rsidRPr="002B16C5" w:rsidRDefault="002B16C5" w:rsidP="002B16C5">
      <w:pPr>
        <w:pStyle w:val="a3"/>
        <w:kinsoku w:val="0"/>
        <w:overflowPunct w:val="0"/>
        <w:spacing w:before="1" w:line="418" w:lineRule="auto"/>
        <w:ind w:left="221" w:right="369" w:firstLineChars="200" w:firstLine="476"/>
        <w:jc w:val="both"/>
        <w:rPr>
          <w:rFonts w:hAnsi="宋体"/>
          <w:spacing w:val="-2"/>
          <w:sz w:val="24"/>
          <w:szCs w:val="24"/>
        </w:rPr>
      </w:pPr>
      <w:r w:rsidRPr="002B16C5">
        <w:rPr>
          <w:rFonts w:hAnsi="宋体" w:hint="eastAsia"/>
          <w:spacing w:val="-2"/>
          <w:sz w:val="24"/>
          <w:szCs w:val="24"/>
        </w:rPr>
        <w:t>（5）新增“申购赎回模式”字段。</w:t>
      </w:r>
    </w:p>
    <w:p w:rsidR="002B16C5" w:rsidRPr="002B16C5" w:rsidRDefault="002B16C5" w:rsidP="002B16C5">
      <w:pPr>
        <w:pStyle w:val="a3"/>
        <w:kinsoku w:val="0"/>
        <w:overflowPunct w:val="0"/>
        <w:spacing w:before="1" w:line="418" w:lineRule="auto"/>
        <w:ind w:left="221" w:right="369" w:firstLineChars="200" w:firstLine="476"/>
        <w:jc w:val="both"/>
        <w:rPr>
          <w:rFonts w:hAnsi="宋体"/>
          <w:spacing w:val="-2"/>
          <w:sz w:val="24"/>
          <w:szCs w:val="24"/>
        </w:rPr>
      </w:pPr>
      <w:r w:rsidRPr="002B16C5">
        <w:rPr>
          <w:rFonts w:hAnsi="宋体" w:hint="eastAsia"/>
          <w:spacing w:val="-2"/>
          <w:sz w:val="24"/>
          <w:szCs w:val="24"/>
        </w:rPr>
        <w:t>具体更新内容详见上交所的相关说明。</w:t>
      </w:r>
    </w:p>
    <w:p w:rsidR="00F82307" w:rsidRPr="00A020D9" w:rsidRDefault="002B16C5" w:rsidP="002B16C5">
      <w:pPr>
        <w:pStyle w:val="a3"/>
        <w:kinsoku w:val="0"/>
        <w:overflowPunct w:val="0"/>
        <w:spacing w:before="1" w:line="418" w:lineRule="auto"/>
        <w:ind w:left="221" w:right="369" w:firstLineChars="200" w:firstLine="476"/>
        <w:jc w:val="both"/>
        <w:rPr>
          <w:rFonts w:hAnsi="宋体"/>
          <w:spacing w:val="-2"/>
          <w:sz w:val="24"/>
          <w:szCs w:val="24"/>
        </w:rPr>
      </w:pPr>
      <w:r w:rsidRPr="002B16C5">
        <w:rPr>
          <w:rFonts w:hAnsi="宋体" w:hint="eastAsia"/>
          <w:spacing w:val="-2"/>
          <w:sz w:val="24"/>
          <w:szCs w:val="24"/>
        </w:rPr>
        <w:t>自2025年11月17日起，上述ETF将采用新版申购赎回清单，具体内容以上交所实际公布的清单为准。</w:t>
      </w:r>
    </w:p>
    <w:p w:rsidR="00F82307" w:rsidRPr="00A020D9" w:rsidRDefault="00B43BBD"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hint="eastAsia"/>
          <w:spacing w:val="-2"/>
          <w:sz w:val="24"/>
          <w:szCs w:val="24"/>
        </w:rPr>
        <w:t>三、其他需要提示的事项</w:t>
      </w:r>
    </w:p>
    <w:p w:rsidR="00F82307" w:rsidRPr="00A020D9" w:rsidRDefault="00B43BBD"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spacing w:val="-2"/>
          <w:sz w:val="24"/>
          <w:szCs w:val="24"/>
        </w:rPr>
        <w:t>1</w:t>
      </w:r>
      <w:r w:rsidRPr="00A020D9">
        <w:rPr>
          <w:rFonts w:hAnsi="宋体" w:hint="eastAsia"/>
          <w:spacing w:val="-2"/>
          <w:sz w:val="24"/>
          <w:szCs w:val="24"/>
        </w:rPr>
        <w:t>、本次更新符合相关法律法规及上述</w:t>
      </w:r>
      <w:r w:rsidRPr="00A020D9">
        <w:rPr>
          <w:rFonts w:hAnsi="宋体"/>
          <w:spacing w:val="-2"/>
          <w:sz w:val="24"/>
          <w:szCs w:val="24"/>
        </w:rPr>
        <w:t>ETF</w:t>
      </w:r>
      <w:r w:rsidRPr="00A020D9">
        <w:rPr>
          <w:rFonts w:hAnsi="宋体" w:hint="eastAsia"/>
          <w:spacing w:val="-2"/>
          <w:sz w:val="24"/>
          <w:szCs w:val="24"/>
        </w:rPr>
        <w:t>的基金合同的规定，本公告主要对本公司旗下部分上交所</w:t>
      </w:r>
      <w:r w:rsidRPr="00A020D9">
        <w:rPr>
          <w:rFonts w:hAnsi="宋体"/>
          <w:spacing w:val="-2"/>
          <w:sz w:val="24"/>
          <w:szCs w:val="24"/>
        </w:rPr>
        <w:t>ETF</w:t>
      </w:r>
      <w:r w:rsidRPr="00A020D9">
        <w:rPr>
          <w:rFonts w:hAnsi="宋体" w:hint="eastAsia"/>
          <w:spacing w:val="-2"/>
          <w:sz w:val="24"/>
          <w:szCs w:val="24"/>
        </w:rPr>
        <w:t>申购赎回清单版本更新的有关事项予以说明。投资者欲了解各</w:t>
      </w:r>
      <w:r w:rsidRPr="00A020D9">
        <w:rPr>
          <w:rFonts w:hAnsi="宋体"/>
          <w:spacing w:val="-2"/>
          <w:sz w:val="24"/>
          <w:szCs w:val="24"/>
        </w:rPr>
        <w:t>ETF</w:t>
      </w:r>
      <w:r w:rsidRPr="00A020D9">
        <w:rPr>
          <w:rFonts w:hAnsi="宋体" w:hint="eastAsia"/>
          <w:spacing w:val="-2"/>
          <w:sz w:val="24"/>
          <w:szCs w:val="24"/>
        </w:rPr>
        <w:t>的详细情况，请阅读各</w:t>
      </w:r>
      <w:r w:rsidRPr="00A020D9">
        <w:rPr>
          <w:rFonts w:hAnsi="宋体"/>
          <w:spacing w:val="-2"/>
          <w:sz w:val="24"/>
          <w:szCs w:val="24"/>
        </w:rPr>
        <w:t>ETF</w:t>
      </w:r>
      <w:r w:rsidRPr="00A020D9">
        <w:rPr>
          <w:rFonts w:hAnsi="宋体" w:hint="eastAsia"/>
          <w:spacing w:val="-2"/>
          <w:sz w:val="24"/>
          <w:szCs w:val="24"/>
        </w:rPr>
        <w:t>的基金合同、招募说明书（更新）、基金产品资料概要（更新）（如涉及）等信息披露文件。</w:t>
      </w:r>
    </w:p>
    <w:p w:rsidR="00F82307" w:rsidRPr="00A020D9" w:rsidRDefault="00B43BBD"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spacing w:val="-2"/>
          <w:sz w:val="24"/>
          <w:szCs w:val="24"/>
        </w:rPr>
        <w:t>2</w:t>
      </w:r>
      <w:r w:rsidRPr="00A020D9">
        <w:rPr>
          <w:rFonts w:hAnsi="宋体" w:hint="eastAsia"/>
          <w:spacing w:val="-2"/>
          <w:sz w:val="24"/>
          <w:szCs w:val="24"/>
        </w:rPr>
        <w:t>、投资者可以登录本公司网站（</w:t>
      </w:r>
      <w:r w:rsidR="00EF4D58" w:rsidRPr="00A020D9">
        <w:rPr>
          <w:rFonts w:hAnsi="宋体" w:hint="eastAsia"/>
          <w:spacing w:val="-2"/>
          <w:sz w:val="24"/>
          <w:szCs w:val="24"/>
        </w:rPr>
        <w:t>www.dongcaijijin.com</w:t>
      </w:r>
      <w:r w:rsidRPr="00A020D9">
        <w:rPr>
          <w:rFonts w:hAnsi="宋体" w:hint="eastAsia"/>
          <w:spacing w:val="-2"/>
          <w:sz w:val="24"/>
          <w:szCs w:val="24"/>
        </w:rPr>
        <w:t>）或拨打客户服务电话（</w:t>
      </w:r>
      <w:r w:rsidR="00EF4D58" w:rsidRPr="00A020D9">
        <w:rPr>
          <w:rFonts w:hAnsi="宋体" w:hint="eastAsia"/>
          <w:spacing w:val="-2"/>
          <w:sz w:val="24"/>
          <w:szCs w:val="24"/>
        </w:rPr>
        <w:t>400-9210-107</w:t>
      </w:r>
      <w:r w:rsidRPr="00A020D9">
        <w:rPr>
          <w:rFonts w:hAnsi="宋体" w:hint="eastAsia"/>
          <w:spacing w:val="-2"/>
          <w:sz w:val="24"/>
          <w:szCs w:val="24"/>
        </w:rPr>
        <w:t>）咨询相关信息。</w:t>
      </w:r>
    </w:p>
    <w:p w:rsidR="00F82307" w:rsidRPr="00A020D9" w:rsidRDefault="00F82307" w:rsidP="00B56AB3">
      <w:pPr>
        <w:pStyle w:val="a3"/>
        <w:kinsoku w:val="0"/>
        <w:overflowPunct w:val="0"/>
        <w:spacing w:before="1" w:line="418" w:lineRule="auto"/>
        <w:ind w:left="221" w:right="369" w:firstLineChars="200" w:firstLine="476"/>
        <w:jc w:val="both"/>
        <w:rPr>
          <w:rFonts w:hAnsi="宋体"/>
          <w:spacing w:val="-2"/>
          <w:sz w:val="24"/>
          <w:szCs w:val="24"/>
        </w:rPr>
      </w:pPr>
    </w:p>
    <w:p w:rsidR="00EF4D58" w:rsidRPr="00A020D9" w:rsidRDefault="00EF4D58"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hint="eastAsia"/>
          <w:spacing w:val="-2"/>
          <w:sz w:val="24"/>
          <w:szCs w:val="24"/>
        </w:rPr>
        <w:t>风险提示：</w:t>
      </w:r>
    </w:p>
    <w:p w:rsidR="00EF4D58" w:rsidRPr="00A020D9" w:rsidRDefault="00EF4D58"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hint="eastAsia"/>
          <w:spacing w:val="-2"/>
          <w:sz w:val="24"/>
          <w:szCs w:val="24"/>
        </w:rPr>
        <w:t>基金管理人承诺以诚实信用、勤勉尽责的原则管理和运用基金资产，但并不保证基金一定盈利，也不保证最低收益；因基金价格可升可跌，亦不保证基金份额持有人能全数取回其原本投资。</w:t>
      </w:r>
    </w:p>
    <w:p w:rsidR="00EF4D58" w:rsidRPr="00A020D9" w:rsidRDefault="00EF4D58"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hint="eastAsia"/>
          <w:spacing w:val="-2"/>
          <w:sz w:val="24"/>
          <w:szCs w:val="24"/>
        </w:rPr>
        <w:t>基金不同于银行储蓄和债券等能够提供固定收益预期的金融工具，基金投资人购买基金，既可能按其持有份额分享基金投资所产生的收益，也可能承担基金投资所带来的损失。基金的过往业绩及其净值高低并不预示其未来业绩表现，基金管理人管理的其他基金的业绩并不构成基金业绩表现的保证。我国基金运作时间较短，不能反映证券市场发展的所有阶段。基金投资人在做出投资决策后，基金运营状况与基金净值波动变化引致的投资风险由投资人自行负担。</w:t>
      </w:r>
    </w:p>
    <w:p w:rsidR="00EF4D58" w:rsidRPr="00A020D9" w:rsidRDefault="00EF4D58"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hint="eastAsia"/>
          <w:spacing w:val="-2"/>
          <w:sz w:val="24"/>
          <w:szCs w:val="24"/>
        </w:rPr>
        <w:t>基金投资人在做出投资决策前，请务必详细阅读该基金相关的《基金合同》、《招募说明书》、《基金产品资料概要》及其更新等法律文件，全面了解该基金的具体情况、风险评级及特有风险。请务必了解投资者适当性管理相关规定，提前进行风险承受能力测评，在了解基金收益与风险特征的前提下选择与自身风险承受能力相匹配的基金产品进行投资。如基金投资人开立基金账户时提供的相</w:t>
      </w:r>
      <w:r w:rsidRPr="00A020D9">
        <w:rPr>
          <w:rFonts w:hAnsi="宋体" w:hint="eastAsia"/>
          <w:spacing w:val="-2"/>
          <w:sz w:val="24"/>
          <w:szCs w:val="24"/>
        </w:rPr>
        <w:lastRenderedPageBreak/>
        <w:t>关信息发生重要变化，可能影响风险承受能力评价结果，请及时告知基金销售机构并更新风险承受能力测评结果。</w:t>
      </w:r>
    </w:p>
    <w:p w:rsidR="00EF4D58" w:rsidRPr="00A020D9" w:rsidRDefault="00EF4D58"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hint="eastAsia"/>
          <w:spacing w:val="-2"/>
          <w:sz w:val="24"/>
          <w:szCs w:val="24"/>
        </w:rPr>
        <w:t>基金有风险，投资需谨慎。</w:t>
      </w:r>
    </w:p>
    <w:p w:rsidR="00EF4D58" w:rsidRPr="00A020D9" w:rsidRDefault="00EF4D58" w:rsidP="00B56AB3">
      <w:pPr>
        <w:pStyle w:val="a3"/>
        <w:kinsoku w:val="0"/>
        <w:overflowPunct w:val="0"/>
        <w:spacing w:before="1" w:line="418" w:lineRule="auto"/>
        <w:ind w:left="221" w:right="369" w:firstLineChars="200" w:firstLine="476"/>
        <w:jc w:val="both"/>
        <w:rPr>
          <w:rFonts w:hAnsi="宋体"/>
          <w:spacing w:val="-2"/>
          <w:sz w:val="24"/>
          <w:szCs w:val="24"/>
        </w:rPr>
      </w:pPr>
      <w:r w:rsidRPr="00A020D9">
        <w:rPr>
          <w:rFonts w:hAnsi="宋体" w:hint="eastAsia"/>
          <w:spacing w:val="-2"/>
          <w:sz w:val="24"/>
          <w:szCs w:val="24"/>
        </w:rPr>
        <w:t>特此公告。</w:t>
      </w:r>
    </w:p>
    <w:p w:rsidR="00EF4D58" w:rsidRPr="00A020D9" w:rsidRDefault="00EF4D58" w:rsidP="00A020D9">
      <w:pPr>
        <w:pStyle w:val="a3"/>
        <w:kinsoku w:val="0"/>
        <w:overflowPunct w:val="0"/>
        <w:spacing w:before="1" w:line="418" w:lineRule="auto"/>
        <w:ind w:left="221" w:right="369" w:firstLineChars="200" w:firstLine="476"/>
        <w:jc w:val="both"/>
        <w:rPr>
          <w:rFonts w:hAnsi="宋体"/>
          <w:spacing w:val="-2"/>
          <w:sz w:val="24"/>
          <w:szCs w:val="24"/>
        </w:rPr>
      </w:pPr>
    </w:p>
    <w:p w:rsidR="00EF4D58" w:rsidRPr="00A020D9" w:rsidRDefault="00EF4D58" w:rsidP="00A020D9">
      <w:pPr>
        <w:pStyle w:val="a3"/>
        <w:kinsoku w:val="0"/>
        <w:overflowPunct w:val="0"/>
        <w:spacing w:before="1" w:line="418" w:lineRule="auto"/>
        <w:ind w:left="221" w:right="369" w:firstLineChars="200" w:firstLine="476"/>
        <w:jc w:val="right"/>
        <w:rPr>
          <w:rFonts w:hAnsi="宋体"/>
          <w:spacing w:val="-2"/>
          <w:sz w:val="24"/>
          <w:szCs w:val="24"/>
        </w:rPr>
      </w:pPr>
      <w:r w:rsidRPr="00A020D9">
        <w:rPr>
          <w:rFonts w:hAnsi="宋体" w:hint="eastAsia"/>
          <w:spacing w:val="-2"/>
          <w:sz w:val="24"/>
          <w:szCs w:val="24"/>
        </w:rPr>
        <w:t>东财基金管理有限公司</w:t>
      </w:r>
    </w:p>
    <w:p w:rsidR="00EF4D58" w:rsidRPr="00A020D9" w:rsidRDefault="00EF4D58" w:rsidP="00A020D9">
      <w:pPr>
        <w:pStyle w:val="a3"/>
        <w:kinsoku w:val="0"/>
        <w:overflowPunct w:val="0"/>
        <w:spacing w:before="1" w:line="418" w:lineRule="auto"/>
        <w:ind w:left="221" w:right="369" w:firstLineChars="200" w:firstLine="476"/>
        <w:jc w:val="right"/>
        <w:rPr>
          <w:rFonts w:hAnsi="宋体"/>
          <w:spacing w:val="-2"/>
          <w:sz w:val="24"/>
          <w:szCs w:val="24"/>
        </w:rPr>
      </w:pPr>
      <w:r w:rsidRPr="00A020D9">
        <w:rPr>
          <w:rFonts w:hAnsi="宋体" w:hint="eastAsia"/>
          <w:spacing w:val="-2"/>
          <w:sz w:val="24"/>
          <w:szCs w:val="24"/>
        </w:rPr>
        <w:t>2025年11月</w:t>
      </w:r>
      <w:r w:rsidRPr="00A020D9">
        <w:rPr>
          <w:rFonts w:hAnsi="宋体"/>
          <w:spacing w:val="-2"/>
          <w:sz w:val="24"/>
          <w:szCs w:val="24"/>
        </w:rPr>
        <w:t>18</w:t>
      </w:r>
      <w:r w:rsidRPr="00A020D9">
        <w:rPr>
          <w:rFonts w:hAnsi="宋体" w:hint="eastAsia"/>
          <w:spacing w:val="-2"/>
          <w:sz w:val="24"/>
          <w:szCs w:val="24"/>
        </w:rPr>
        <w:t>日</w:t>
      </w:r>
    </w:p>
    <w:p w:rsidR="00B43BBD" w:rsidRDefault="00B43BBD" w:rsidP="00EF4D58">
      <w:pPr>
        <w:pStyle w:val="a3"/>
        <w:kinsoku w:val="0"/>
        <w:overflowPunct w:val="0"/>
        <w:spacing w:line="417" w:lineRule="auto"/>
        <w:ind w:left="220" w:right="459" w:firstLine="420"/>
        <w:jc w:val="both"/>
      </w:pPr>
    </w:p>
    <w:sectPr w:rsidR="00B43BBD" w:rsidSect="006A1A5B">
      <w:pgSz w:w="11910" w:h="16840"/>
      <w:pgMar w:top="1460" w:right="1340" w:bottom="280" w:left="158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6E5017" w16cex:dateUtc="2025-11-17T05:39:00Z"/>
  <w16cex:commentExtensible w16cex:durableId="01F2DF18" w16cex:dateUtc="2025-11-17T05:46: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34D" w:rsidRDefault="00EA134D" w:rsidP="00EF4D58">
      <w:r>
        <w:separator/>
      </w:r>
    </w:p>
  </w:endnote>
  <w:endnote w:type="continuationSeparator" w:id="0">
    <w:p w:rsidR="00EA134D" w:rsidRDefault="00EA134D" w:rsidP="00EF4D5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34D" w:rsidRDefault="00EA134D" w:rsidP="00EF4D58">
      <w:r>
        <w:separator/>
      </w:r>
    </w:p>
  </w:footnote>
  <w:footnote w:type="continuationSeparator" w:id="0">
    <w:p w:rsidR="00EA134D" w:rsidRDefault="00EA134D" w:rsidP="00EF4D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
  <w:rsids>
    <w:rsidRoot w:val="00EF4D58"/>
    <w:rsid w:val="00136666"/>
    <w:rsid w:val="00157955"/>
    <w:rsid w:val="001E0192"/>
    <w:rsid w:val="001E3555"/>
    <w:rsid w:val="00211732"/>
    <w:rsid w:val="00244662"/>
    <w:rsid w:val="002B16C5"/>
    <w:rsid w:val="002C2891"/>
    <w:rsid w:val="002F0EBA"/>
    <w:rsid w:val="00327E19"/>
    <w:rsid w:val="003E53E7"/>
    <w:rsid w:val="004875C0"/>
    <w:rsid w:val="005504B1"/>
    <w:rsid w:val="0061674E"/>
    <w:rsid w:val="00660984"/>
    <w:rsid w:val="006A1A5B"/>
    <w:rsid w:val="007414B4"/>
    <w:rsid w:val="008213E7"/>
    <w:rsid w:val="008B05DF"/>
    <w:rsid w:val="00966A12"/>
    <w:rsid w:val="009F449A"/>
    <w:rsid w:val="009F6833"/>
    <w:rsid w:val="00A020D9"/>
    <w:rsid w:val="00A70834"/>
    <w:rsid w:val="00AA5B10"/>
    <w:rsid w:val="00AC4AFD"/>
    <w:rsid w:val="00B43BBD"/>
    <w:rsid w:val="00B56AB3"/>
    <w:rsid w:val="00BE08A5"/>
    <w:rsid w:val="00DD6032"/>
    <w:rsid w:val="00E44394"/>
    <w:rsid w:val="00EA134D"/>
    <w:rsid w:val="00EF4D58"/>
    <w:rsid w:val="00F771E0"/>
    <w:rsid w:val="00F82307"/>
    <w:rsid w:val="00F912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1A5B"/>
    <w:pPr>
      <w:widowControl w:val="0"/>
      <w:autoSpaceDE w:val="0"/>
      <w:autoSpaceDN w:val="0"/>
      <w:adjustRightInd w:val="0"/>
    </w:pPr>
    <w:rPr>
      <w:rFonts w:ascii="宋体" w:eastAsia="宋体" w:hAnsi="Times New Roman" w:cs="宋体"/>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6A1A5B"/>
    <w:rPr>
      <w:sz w:val="21"/>
      <w:szCs w:val="21"/>
    </w:rPr>
  </w:style>
  <w:style w:type="character" w:customStyle="1" w:styleId="Char">
    <w:name w:val="正文文本 Char"/>
    <w:basedOn w:val="a0"/>
    <w:link w:val="a3"/>
    <w:uiPriority w:val="99"/>
    <w:semiHidden/>
    <w:rsid w:val="006A1A5B"/>
    <w:rPr>
      <w:rFonts w:ascii="宋体" w:eastAsia="宋体" w:hAnsi="Times New Roman" w:cs="宋体"/>
      <w:kern w:val="0"/>
      <w:sz w:val="22"/>
    </w:rPr>
  </w:style>
  <w:style w:type="paragraph" w:styleId="a4">
    <w:name w:val="List Paragraph"/>
    <w:basedOn w:val="a"/>
    <w:uiPriority w:val="1"/>
    <w:qFormat/>
    <w:rsid w:val="006A1A5B"/>
    <w:rPr>
      <w:rFonts w:ascii="Times New Roman" w:eastAsiaTheme="minorEastAsia" w:cs="Times New Roman"/>
      <w:sz w:val="24"/>
      <w:szCs w:val="24"/>
    </w:rPr>
  </w:style>
  <w:style w:type="paragraph" w:customStyle="1" w:styleId="TableParagraph">
    <w:name w:val="Table Paragraph"/>
    <w:basedOn w:val="a"/>
    <w:uiPriority w:val="1"/>
    <w:qFormat/>
    <w:rsid w:val="006A1A5B"/>
    <w:pPr>
      <w:jc w:val="center"/>
    </w:pPr>
    <w:rPr>
      <w:sz w:val="24"/>
      <w:szCs w:val="24"/>
    </w:rPr>
  </w:style>
  <w:style w:type="paragraph" w:styleId="a5">
    <w:name w:val="header"/>
    <w:basedOn w:val="a"/>
    <w:link w:val="Char0"/>
    <w:uiPriority w:val="99"/>
    <w:unhideWhenUsed/>
    <w:rsid w:val="00EF4D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F4D58"/>
    <w:rPr>
      <w:rFonts w:ascii="宋体" w:eastAsia="宋体" w:hAnsi="Times New Roman" w:cs="宋体"/>
      <w:kern w:val="0"/>
      <w:sz w:val="18"/>
      <w:szCs w:val="18"/>
    </w:rPr>
  </w:style>
  <w:style w:type="paragraph" w:styleId="a6">
    <w:name w:val="footer"/>
    <w:basedOn w:val="a"/>
    <w:link w:val="Char1"/>
    <w:uiPriority w:val="99"/>
    <w:unhideWhenUsed/>
    <w:rsid w:val="00EF4D58"/>
    <w:pPr>
      <w:tabs>
        <w:tab w:val="center" w:pos="4153"/>
        <w:tab w:val="right" w:pos="8306"/>
      </w:tabs>
      <w:snapToGrid w:val="0"/>
    </w:pPr>
    <w:rPr>
      <w:sz w:val="18"/>
      <w:szCs w:val="18"/>
    </w:rPr>
  </w:style>
  <w:style w:type="character" w:customStyle="1" w:styleId="Char1">
    <w:name w:val="页脚 Char"/>
    <w:basedOn w:val="a0"/>
    <w:link w:val="a6"/>
    <w:uiPriority w:val="99"/>
    <w:rsid w:val="00EF4D58"/>
    <w:rPr>
      <w:rFonts w:ascii="宋体" w:eastAsia="宋体" w:hAnsi="Times New Roman" w:cs="宋体"/>
      <w:kern w:val="0"/>
      <w:sz w:val="18"/>
      <w:szCs w:val="18"/>
    </w:rPr>
  </w:style>
  <w:style w:type="paragraph" w:styleId="a7">
    <w:name w:val="Balloon Text"/>
    <w:basedOn w:val="a"/>
    <w:link w:val="Char2"/>
    <w:uiPriority w:val="99"/>
    <w:semiHidden/>
    <w:unhideWhenUsed/>
    <w:rsid w:val="00EF4D58"/>
    <w:rPr>
      <w:sz w:val="18"/>
      <w:szCs w:val="18"/>
    </w:rPr>
  </w:style>
  <w:style w:type="character" w:customStyle="1" w:styleId="Char2">
    <w:name w:val="批注框文本 Char"/>
    <w:basedOn w:val="a0"/>
    <w:link w:val="a7"/>
    <w:uiPriority w:val="99"/>
    <w:semiHidden/>
    <w:rsid w:val="00EF4D58"/>
    <w:rPr>
      <w:rFonts w:ascii="宋体" w:eastAsia="宋体" w:hAnsi="Times New Roman" w:cs="宋体"/>
      <w:kern w:val="0"/>
      <w:sz w:val="18"/>
      <w:szCs w:val="18"/>
    </w:rPr>
  </w:style>
  <w:style w:type="paragraph" w:styleId="a8">
    <w:name w:val="Revision"/>
    <w:hidden/>
    <w:uiPriority w:val="99"/>
    <w:semiHidden/>
    <w:rsid w:val="00EF4D58"/>
    <w:rPr>
      <w:rFonts w:ascii="宋体" w:eastAsia="宋体" w:hAnsi="Times New Roman" w:cs="宋体"/>
      <w:kern w:val="0"/>
      <w:sz w:val="22"/>
    </w:rPr>
  </w:style>
  <w:style w:type="character" w:styleId="a9">
    <w:name w:val="annotation reference"/>
    <w:basedOn w:val="a0"/>
    <w:uiPriority w:val="99"/>
    <w:semiHidden/>
    <w:unhideWhenUsed/>
    <w:rsid w:val="00F9127C"/>
    <w:rPr>
      <w:sz w:val="21"/>
      <w:szCs w:val="21"/>
    </w:rPr>
  </w:style>
  <w:style w:type="paragraph" w:styleId="aa">
    <w:name w:val="annotation text"/>
    <w:basedOn w:val="a"/>
    <w:link w:val="Char3"/>
    <w:uiPriority w:val="99"/>
    <w:semiHidden/>
    <w:unhideWhenUsed/>
    <w:rsid w:val="00F9127C"/>
  </w:style>
  <w:style w:type="character" w:customStyle="1" w:styleId="Char3">
    <w:name w:val="批注文字 Char"/>
    <w:basedOn w:val="a0"/>
    <w:link w:val="aa"/>
    <w:uiPriority w:val="99"/>
    <w:semiHidden/>
    <w:rsid w:val="00F9127C"/>
    <w:rPr>
      <w:rFonts w:ascii="宋体" w:eastAsia="宋体" w:hAnsi="Times New Roman" w:cs="宋体"/>
      <w:kern w:val="0"/>
      <w:sz w:val="22"/>
    </w:rPr>
  </w:style>
  <w:style w:type="paragraph" w:styleId="ab">
    <w:name w:val="annotation subject"/>
    <w:basedOn w:val="aa"/>
    <w:next w:val="aa"/>
    <w:link w:val="Char4"/>
    <w:uiPriority w:val="99"/>
    <w:semiHidden/>
    <w:unhideWhenUsed/>
    <w:rsid w:val="00F9127C"/>
    <w:rPr>
      <w:b/>
      <w:bCs/>
    </w:rPr>
  </w:style>
  <w:style w:type="character" w:customStyle="1" w:styleId="Char4">
    <w:name w:val="批注主题 Char"/>
    <w:basedOn w:val="Char3"/>
    <w:link w:val="ab"/>
    <w:uiPriority w:val="99"/>
    <w:semiHidden/>
    <w:rsid w:val="00F9127C"/>
    <w:rPr>
      <w:rFonts w:ascii="宋体" w:eastAsia="宋体" w:hAnsi="Times New Roman" w:cs="宋体"/>
      <w:b/>
      <w:bCs/>
      <w:kern w:val="0"/>
      <w:sz w:val="22"/>
    </w:rPr>
  </w:style>
</w:styles>
</file>

<file path=word/webSettings.xml><?xml version="1.0" encoding="utf-8"?>
<w:webSettings xmlns:r="http://schemas.openxmlformats.org/officeDocument/2006/relationships" xmlns:w="http://schemas.openxmlformats.org/wordprocessingml/2006/main">
  <w:divs>
    <w:div w:id="516583753">
      <w:bodyDiv w:val="1"/>
      <w:marLeft w:val="0"/>
      <w:marRight w:val="0"/>
      <w:marTop w:val="0"/>
      <w:marBottom w:val="0"/>
      <w:divBdr>
        <w:top w:val="none" w:sz="0" w:space="0" w:color="auto"/>
        <w:left w:val="none" w:sz="0" w:space="0" w:color="auto"/>
        <w:bottom w:val="none" w:sz="0" w:space="0" w:color="auto"/>
        <w:right w:val="none" w:sz="0" w:space="0" w:color="auto"/>
      </w:divBdr>
    </w:div>
    <w:div w:id="750781798">
      <w:bodyDiv w:val="1"/>
      <w:marLeft w:val="0"/>
      <w:marRight w:val="0"/>
      <w:marTop w:val="0"/>
      <w:marBottom w:val="0"/>
      <w:divBdr>
        <w:top w:val="none" w:sz="0" w:space="0" w:color="auto"/>
        <w:left w:val="none" w:sz="0" w:space="0" w:color="auto"/>
        <w:bottom w:val="none" w:sz="0" w:space="0" w:color="auto"/>
        <w:right w:val="none" w:sz="0" w:space="0" w:color="auto"/>
      </w:divBdr>
    </w:div>
    <w:div w:id="1182628735">
      <w:bodyDiv w:val="1"/>
      <w:marLeft w:val="0"/>
      <w:marRight w:val="0"/>
      <w:marTop w:val="0"/>
      <w:marBottom w:val="0"/>
      <w:divBdr>
        <w:top w:val="none" w:sz="0" w:space="0" w:color="auto"/>
        <w:left w:val="none" w:sz="0" w:space="0" w:color="auto"/>
        <w:bottom w:val="none" w:sz="0" w:space="0" w:color="auto"/>
        <w:right w:val="none" w:sz="0" w:space="0" w:color="auto"/>
      </w:divBdr>
      <w:divsChild>
        <w:div w:id="1871840316">
          <w:marLeft w:val="0"/>
          <w:marRight w:val="0"/>
          <w:marTop w:val="0"/>
          <w:marBottom w:val="0"/>
          <w:divBdr>
            <w:top w:val="none" w:sz="0" w:space="0" w:color="auto"/>
            <w:left w:val="none" w:sz="0" w:space="0" w:color="auto"/>
            <w:bottom w:val="none" w:sz="0" w:space="0" w:color="auto"/>
            <w:right w:val="none" w:sz="0" w:space="0" w:color="auto"/>
          </w:divBdr>
        </w:div>
        <w:div w:id="2036494946">
          <w:marLeft w:val="0"/>
          <w:marRight w:val="0"/>
          <w:marTop w:val="0"/>
          <w:marBottom w:val="0"/>
          <w:divBdr>
            <w:top w:val="none" w:sz="0" w:space="0" w:color="auto"/>
            <w:left w:val="none" w:sz="0" w:space="0" w:color="auto"/>
            <w:bottom w:val="none" w:sz="0" w:space="0" w:color="auto"/>
            <w:right w:val="none" w:sz="0" w:space="0" w:color="auto"/>
          </w:divBdr>
        </w:div>
      </w:divsChild>
    </w:div>
    <w:div w:id="1796752277">
      <w:bodyDiv w:val="1"/>
      <w:marLeft w:val="0"/>
      <w:marRight w:val="0"/>
      <w:marTop w:val="0"/>
      <w:marBottom w:val="0"/>
      <w:divBdr>
        <w:top w:val="none" w:sz="0" w:space="0" w:color="auto"/>
        <w:left w:val="none" w:sz="0" w:space="0" w:color="auto"/>
        <w:bottom w:val="none" w:sz="0" w:space="0" w:color="auto"/>
        <w:right w:val="none" w:sz="0" w:space="0" w:color="auto"/>
      </w:divBdr>
    </w:div>
    <w:div w:id="1872718979">
      <w:bodyDiv w:val="1"/>
      <w:marLeft w:val="0"/>
      <w:marRight w:val="0"/>
      <w:marTop w:val="0"/>
      <w:marBottom w:val="0"/>
      <w:divBdr>
        <w:top w:val="none" w:sz="0" w:space="0" w:color="auto"/>
        <w:left w:val="none" w:sz="0" w:space="0" w:color="auto"/>
        <w:bottom w:val="none" w:sz="0" w:space="0" w:color="auto"/>
        <w:right w:val="none" w:sz="0" w:space="0" w:color="auto"/>
      </w:divBdr>
      <w:divsChild>
        <w:div w:id="581449558">
          <w:marLeft w:val="0"/>
          <w:marRight w:val="0"/>
          <w:marTop w:val="0"/>
          <w:marBottom w:val="0"/>
          <w:divBdr>
            <w:top w:val="none" w:sz="0" w:space="0" w:color="auto"/>
            <w:left w:val="none" w:sz="0" w:space="0" w:color="auto"/>
            <w:bottom w:val="none" w:sz="0" w:space="0" w:color="auto"/>
            <w:right w:val="none" w:sz="0" w:space="0" w:color="auto"/>
          </w:divBdr>
        </w:div>
        <w:div w:id="206957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1419</Characters>
  <Application>Microsoft Office Word</Application>
  <DocSecurity>4</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ZHONGM</cp:lastModifiedBy>
  <cp:revision>2</cp:revision>
  <dcterms:created xsi:type="dcterms:W3CDTF">2025-11-17T16:01:00Z</dcterms:created>
  <dcterms:modified xsi:type="dcterms:W3CDTF">2025-11-17T16:01:00Z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ies>
</file>