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国泰聚享纯债债券型证券投资基金分红公告</w:t>
      </w:r>
    </w:p>
    <w:p w:rsidR="00893436" w:rsidRPr="001950FA" w:rsidRDefault="00893436" w:rsidP="00B14D73">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2025年11月18日</w:t>
      </w: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835"/>
        <w:gridCol w:w="2268"/>
        <w:gridCol w:w="2168"/>
      </w:tblGrid>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国泰聚享纯债债券型证券投资基金</w:t>
            </w:r>
          </w:p>
        </w:tc>
      </w:tr>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国泰聚享纯债债券</w:t>
            </w:r>
          </w:p>
        </w:tc>
      </w:tr>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006762</w:t>
            </w:r>
          </w:p>
        </w:tc>
      </w:tr>
      <w:tr w:rsidR="0039192C" w:rsidRPr="001950FA" w:rsidTr="00F85BE8">
        <w:trPr>
          <w:jc w:val="center"/>
        </w:trPr>
        <w:tc>
          <w:tcPr>
            <w:tcW w:w="5203"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436"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2018年12月13日</w:t>
            </w:r>
          </w:p>
        </w:tc>
      </w:tr>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江苏银行股份有限公司</w:t>
            </w:r>
          </w:p>
        </w:tc>
      </w:tr>
      <w:tr w:rsidR="0039192C" w:rsidRPr="001950FA" w:rsidTr="00F85BE8">
        <w:trPr>
          <w:jc w:val="center"/>
        </w:trPr>
        <w:tc>
          <w:tcPr>
            <w:tcW w:w="5203"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436"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《中华人民共和国证券投资基金法》、《公开募集证券投资基金运作管理办法》、《国泰聚享纯债债券型证券投资基金基金合同》等</w:t>
            </w:r>
          </w:p>
        </w:tc>
      </w:tr>
      <w:tr w:rsidR="00893436" w:rsidRPr="001950FA" w:rsidTr="00F85BE8">
        <w:trPr>
          <w:jc w:val="center"/>
        </w:trPr>
        <w:tc>
          <w:tcPr>
            <w:tcW w:w="5203"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436" w:type="dxa"/>
            <w:gridSpan w:val="2"/>
          </w:tcPr>
          <w:p w:rsidR="00893436" w:rsidRPr="001950FA" w:rsidRDefault="00DF4F4A" w:rsidP="00B14D73">
            <w:pPr>
              <w:spacing w:line="360" w:lineRule="auto"/>
              <w:rPr>
                <w:rFonts w:ascii="宋体" w:eastAsia="宋体" w:hAnsi="宋体"/>
                <w:sz w:val="21"/>
                <w:szCs w:val="21"/>
              </w:rPr>
            </w:pPr>
            <w:r>
              <w:rPr>
                <w:rFonts w:ascii="宋体" w:eastAsia="宋体" w:hAnsi="宋体"/>
                <w:sz w:val="21"/>
                <w:szCs w:val="21"/>
              </w:rPr>
              <w:t>202</w:t>
            </w:r>
            <w:r>
              <w:rPr>
                <w:rFonts w:ascii="宋体" w:eastAsia="宋体" w:hAnsi="宋体" w:hint="eastAsia"/>
                <w:sz w:val="21"/>
                <w:szCs w:val="21"/>
              </w:rPr>
              <w:t>5</w:t>
            </w:r>
            <w:r w:rsidR="0039192C" w:rsidRPr="001950FA">
              <w:rPr>
                <w:rFonts w:ascii="宋体" w:eastAsia="宋体" w:hAnsi="宋体"/>
                <w:sz w:val="21"/>
                <w:szCs w:val="21"/>
              </w:rPr>
              <w:t>年</w:t>
            </w:r>
            <w:r>
              <w:rPr>
                <w:rFonts w:ascii="宋体" w:eastAsia="宋体" w:hAnsi="宋体"/>
                <w:sz w:val="21"/>
                <w:szCs w:val="21"/>
              </w:rPr>
              <w:t>1</w:t>
            </w:r>
            <w:r>
              <w:rPr>
                <w:rFonts w:ascii="宋体" w:eastAsia="宋体" w:hAnsi="宋体" w:hint="eastAsia"/>
                <w:sz w:val="21"/>
                <w:szCs w:val="21"/>
              </w:rPr>
              <w:t>1</w:t>
            </w:r>
            <w:r w:rsidR="0039192C" w:rsidRPr="001950FA">
              <w:rPr>
                <w:rFonts w:ascii="宋体" w:eastAsia="宋体" w:hAnsi="宋体"/>
                <w:sz w:val="21"/>
                <w:szCs w:val="21"/>
              </w:rPr>
              <w:t>月</w:t>
            </w:r>
            <w:r>
              <w:rPr>
                <w:rFonts w:ascii="宋体" w:eastAsia="宋体" w:hAnsi="宋体"/>
                <w:sz w:val="21"/>
                <w:szCs w:val="21"/>
              </w:rPr>
              <w:t>1</w:t>
            </w:r>
            <w:r>
              <w:rPr>
                <w:rFonts w:ascii="宋体" w:eastAsia="宋体" w:hAnsi="宋体" w:hint="eastAsia"/>
                <w:sz w:val="21"/>
                <w:szCs w:val="21"/>
              </w:rPr>
              <w:t>4</w:t>
            </w:r>
            <w:r w:rsidR="0039192C" w:rsidRPr="001950FA">
              <w:rPr>
                <w:rFonts w:ascii="宋体" w:eastAsia="宋体" w:hAnsi="宋体"/>
                <w:sz w:val="21"/>
                <w:szCs w:val="21"/>
              </w:rPr>
              <w:t>日</w:t>
            </w:r>
          </w:p>
        </w:tc>
      </w:tr>
      <w:tr w:rsidR="00B84889" w:rsidRPr="001950FA" w:rsidTr="00F85BE8">
        <w:trPr>
          <w:jc w:val="center"/>
        </w:trPr>
        <w:tc>
          <w:tcPr>
            <w:tcW w:w="5203" w:type="dxa"/>
            <w:gridSpan w:val="2"/>
            <w:vAlign w:val="center"/>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436" w:type="dxa"/>
            <w:gridSpan w:val="2"/>
            <w:vAlign w:val="center"/>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本次分红为2025年度第一次分红。</w:t>
            </w:r>
          </w:p>
        </w:tc>
      </w:tr>
      <w:tr w:rsidR="00B84889" w:rsidRPr="001950FA" w:rsidTr="00F85BE8">
        <w:trPr>
          <w:jc w:val="center"/>
        </w:trPr>
        <w:tc>
          <w:tcPr>
            <w:tcW w:w="5203" w:type="dxa"/>
            <w:gridSpan w:val="2"/>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国泰聚享纯债债券A</w:t>
            </w:r>
          </w:p>
        </w:tc>
        <w:tc>
          <w:tcPr>
            <w:tcW w:w="21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国泰聚享纯债债券C</w:t>
            </w:r>
          </w:p>
        </w:tc>
      </w:tr>
      <w:tr w:rsidR="00B84889" w:rsidRPr="001950FA" w:rsidTr="00F85BE8">
        <w:trPr>
          <w:jc w:val="center"/>
        </w:trPr>
        <w:tc>
          <w:tcPr>
            <w:tcW w:w="5203" w:type="dxa"/>
            <w:gridSpan w:val="2"/>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006762</w:t>
            </w:r>
          </w:p>
        </w:tc>
        <w:tc>
          <w:tcPr>
            <w:tcW w:w="21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021808</w:t>
            </w:r>
          </w:p>
        </w:tc>
      </w:tr>
      <w:tr w:rsidR="00B84889" w:rsidRPr="001950FA" w:rsidTr="00F85BE8">
        <w:trPr>
          <w:jc w:val="center"/>
        </w:trPr>
        <w:tc>
          <w:tcPr>
            <w:tcW w:w="2368" w:type="dxa"/>
            <w:vMerge w:val="restart"/>
            <w:vAlign w:val="center"/>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835" w:type="dxa"/>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1.0242</w:t>
            </w:r>
          </w:p>
        </w:tc>
        <w:tc>
          <w:tcPr>
            <w:tcW w:w="2168" w:type="dxa"/>
          </w:tcPr>
          <w:p w:rsidR="00B84889" w:rsidRPr="001950FA" w:rsidRDefault="00B84889" w:rsidP="001675F9">
            <w:pPr>
              <w:spacing w:line="360" w:lineRule="auto"/>
              <w:rPr>
                <w:rFonts w:ascii="宋体" w:eastAsia="宋体" w:hAnsi="宋体"/>
                <w:sz w:val="21"/>
                <w:szCs w:val="21"/>
              </w:rPr>
            </w:pPr>
            <w:r w:rsidRPr="001950FA">
              <w:rPr>
                <w:rFonts w:ascii="宋体" w:eastAsia="宋体" w:hAnsi="宋体"/>
                <w:sz w:val="21"/>
                <w:szCs w:val="21"/>
              </w:rPr>
              <w:t>1.0284</w:t>
            </w:r>
          </w:p>
        </w:tc>
      </w:tr>
      <w:tr w:rsidR="00B84889" w:rsidRPr="001950FA" w:rsidTr="00F85BE8">
        <w:trPr>
          <w:trHeight w:val="405"/>
          <w:jc w:val="center"/>
        </w:trPr>
        <w:tc>
          <w:tcPr>
            <w:tcW w:w="2368" w:type="dxa"/>
            <w:vMerge/>
          </w:tcPr>
          <w:p w:rsidR="00B84889" w:rsidRPr="001950FA" w:rsidRDefault="00B84889" w:rsidP="001675F9">
            <w:pPr>
              <w:spacing w:line="360" w:lineRule="auto"/>
              <w:rPr>
                <w:rFonts w:ascii="宋体" w:eastAsia="宋体" w:hAnsi="宋体"/>
                <w:color w:val="000000"/>
                <w:sz w:val="21"/>
                <w:szCs w:val="21"/>
              </w:rPr>
            </w:pPr>
          </w:p>
        </w:tc>
        <w:tc>
          <w:tcPr>
            <w:tcW w:w="2835" w:type="dxa"/>
            <w:vAlign w:val="center"/>
          </w:tcPr>
          <w:p w:rsidR="00B84889" w:rsidRPr="001950FA" w:rsidRDefault="00B84889"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255ACD" w:rsidP="001675F9">
            <w:pPr>
              <w:spacing w:line="360" w:lineRule="auto"/>
              <w:rPr>
                <w:rFonts w:ascii="宋体" w:eastAsia="宋体" w:hAnsi="宋体"/>
                <w:sz w:val="21"/>
                <w:szCs w:val="21"/>
              </w:rPr>
            </w:pPr>
            <w:r w:rsidRPr="00255ACD">
              <w:rPr>
                <w:rFonts w:ascii="宋体" w:eastAsia="宋体" w:hAnsi="宋体"/>
                <w:sz w:val="21"/>
                <w:szCs w:val="21"/>
              </w:rPr>
              <w:t>35,639,391.98</w:t>
            </w:r>
          </w:p>
        </w:tc>
        <w:tc>
          <w:tcPr>
            <w:tcW w:w="2168" w:type="dxa"/>
          </w:tcPr>
          <w:p w:rsidR="00B84889" w:rsidRPr="001950FA" w:rsidRDefault="00255ACD" w:rsidP="001675F9">
            <w:pPr>
              <w:spacing w:line="360" w:lineRule="auto"/>
              <w:rPr>
                <w:rFonts w:ascii="宋体" w:eastAsia="宋体" w:hAnsi="宋体"/>
                <w:sz w:val="21"/>
                <w:szCs w:val="21"/>
              </w:rPr>
            </w:pPr>
            <w:r w:rsidRPr="00255ACD">
              <w:rPr>
                <w:rFonts w:ascii="宋体" w:eastAsia="宋体" w:hAnsi="宋体"/>
                <w:sz w:val="21"/>
                <w:szCs w:val="21"/>
              </w:rPr>
              <w:t>139,351.94</w:t>
            </w:r>
          </w:p>
        </w:tc>
      </w:tr>
      <w:tr w:rsidR="00FE7BF2" w:rsidRPr="001950FA" w:rsidTr="00F85BE8">
        <w:trPr>
          <w:jc w:val="center"/>
        </w:trPr>
        <w:tc>
          <w:tcPr>
            <w:tcW w:w="5203" w:type="dxa"/>
            <w:gridSpan w:val="2"/>
          </w:tcPr>
          <w:p w:rsidR="00FE7BF2" w:rsidRPr="001950FA" w:rsidRDefault="00FE7BF2" w:rsidP="001675F9">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1675F9">
            <w:pPr>
              <w:spacing w:line="360" w:lineRule="auto"/>
              <w:rPr>
                <w:rFonts w:ascii="宋体" w:eastAsia="宋体" w:hAnsi="宋体"/>
                <w:sz w:val="21"/>
                <w:szCs w:val="21"/>
              </w:rPr>
            </w:pPr>
            <w:r w:rsidRPr="001950FA">
              <w:rPr>
                <w:rFonts w:ascii="宋体" w:eastAsia="宋体" w:hAnsi="宋体" w:hint="eastAsia"/>
                <w:sz w:val="21"/>
                <w:szCs w:val="21"/>
              </w:rPr>
              <w:t>0.200</w:t>
            </w:r>
          </w:p>
        </w:tc>
        <w:tc>
          <w:tcPr>
            <w:tcW w:w="2168" w:type="dxa"/>
          </w:tcPr>
          <w:p w:rsidR="00FE7BF2" w:rsidRPr="001950FA" w:rsidRDefault="00FE7BF2" w:rsidP="001675F9">
            <w:pPr>
              <w:spacing w:line="360" w:lineRule="auto"/>
              <w:rPr>
                <w:rFonts w:ascii="宋体" w:eastAsia="宋体" w:hAnsi="宋体"/>
                <w:sz w:val="21"/>
                <w:szCs w:val="21"/>
              </w:rPr>
            </w:pPr>
            <w:r w:rsidRPr="001950FA">
              <w:rPr>
                <w:rFonts w:ascii="宋体" w:eastAsia="宋体" w:hAnsi="宋体" w:hint="eastAsia"/>
                <w:sz w:val="21"/>
                <w:szCs w:val="21"/>
              </w:rPr>
              <w:t>0.200</w:t>
            </w:r>
          </w:p>
        </w:tc>
      </w:tr>
    </w:tbl>
    <w:p w:rsidR="006C1700" w:rsidRDefault="00672430">
      <w:pPr>
        <w:spacing w:line="360" w:lineRule="auto"/>
        <w:rPr>
          <w:rFonts w:ascii="宋体" w:eastAsia="宋体" w:hAnsi="宋体"/>
          <w:sz w:val="21"/>
          <w:szCs w:val="21"/>
        </w:rPr>
      </w:pPr>
      <w:r>
        <w:rPr>
          <w:rFonts w:ascii="宋体" w:eastAsia="宋体" w:hAnsi="宋体"/>
          <w:sz w:val="21"/>
          <w:szCs w:val="21"/>
        </w:rPr>
        <w:t>注：（1）在符合有关基金分红条件的前提下，本基金管理人可以根据实际情况进行收益分配，具体分配方案以公告为准，若《基金合同》生效不满3个月可不进行收益分配；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（2）基金收益分配后各类基金份额净值不能低于面值，即基金收益分配基准日的各类基金份额净值减去每单位该类基金份额收益分配金额后不能低于面值。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lastRenderedPageBreak/>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2025年11月19日</w:t>
            </w:r>
          </w:p>
        </w:tc>
      </w:tr>
      <w:tr w:rsidR="00087F98" w:rsidRPr="001950FA" w:rsidTr="00087F98">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087F98">
            <w:pPr>
              <w:spacing w:line="360" w:lineRule="auto"/>
              <w:rPr>
                <w:rFonts w:ascii="宋体" w:eastAsia="宋体" w:hAnsi="宋体"/>
                <w:sz w:val="21"/>
                <w:szCs w:val="21"/>
              </w:rPr>
            </w:pPr>
            <w:r w:rsidRPr="001950FA">
              <w:rPr>
                <w:rFonts w:ascii="宋体" w:eastAsia="宋体" w:hAnsi="宋体"/>
                <w:sz w:val="21"/>
                <w:szCs w:val="21"/>
              </w:rPr>
              <w:t>2025年11月19日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2025年11月20日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11月19日除息后的基金份额净值为计算基准确定再投资份额。本基金管理人对红利再投资所确定的基金份额于2025年11月20日直接计入其基金账户，2025年11月21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2" w:name="_Toc275961420"/>
      <w:r w:rsidRPr="001950FA">
        <w:rPr>
          <w:rFonts w:ascii="宋体" w:eastAsia="宋体" w:hAnsi="宋体"/>
          <w:bCs w:val="0"/>
          <w:color w:val="000000"/>
          <w:sz w:val="21"/>
          <w:szCs w:val="21"/>
        </w:rPr>
        <w:t>3 其他需要提示的事项</w:t>
      </w:r>
      <w:bookmarkEnd w:id="2"/>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1）权益登记日以后（含权益登记日）申请申购或转入的基金份额不享有本次分红权益，权益登记日以后（含权益登记日）申请赎回或转出的基金份额享有本次分红权益；</w:t>
      </w:r>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2）因分红导致基金份额净值调整到面值或面值附近，在市场波动等因素的影响下，基金投资仍可能出现亏损或基金份额净值仍有可能低于面值。</w:t>
      </w:r>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6C1700" w:rsidRDefault="00672430">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1675F9"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二〇二五年十一月十八日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2F9" w:rsidRDefault="005D42F9" w:rsidP="00893436">
      <w:r>
        <w:separator/>
      </w:r>
    </w:p>
  </w:endnote>
  <w:endnote w:type="continuationSeparator" w:id="0">
    <w:p w:rsidR="005D42F9" w:rsidRDefault="005D42F9"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2F9" w:rsidRDefault="005D42F9" w:rsidP="00893436">
      <w:r>
        <w:separator/>
      </w:r>
    </w:p>
  </w:footnote>
  <w:footnote w:type="continuationSeparator" w:id="0">
    <w:p w:rsidR="005D42F9" w:rsidRDefault="005D42F9"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436"/>
    <w:rsid w:val="00041353"/>
    <w:rsid w:val="00053698"/>
    <w:rsid w:val="00057AC1"/>
    <w:rsid w:val="00085F5C"/>
    <w:rsid w:val="00087F98"/>
    <w:rsid w:val="0009778C"/>
    <w:rsid w:val="000A19B2"/>
    <w:rsid w:val="000C39F6"/>
    <w:rsid w:val="000E2D66"/>
    <w:rsid w:val="00111BD0"/>
    <w:rsid w:val="00135CA1"/>
    <w:rsid w:val="00157206"/>
    <w:rsid w:val="0016074B"/>
    <w:rsid w:val="001675F9"/>
    <w:rsid w:val="0017077E"/>
    <w:rsid w:val="001950FA"/>
    <w:rsid w:val="00226206"/>
    <w:rsid w:val="00242E4D"/>
    <w:rsid w:val="00255ACD"/>
    <w:rsid w:val="00266A99"/>
    <w:rsid w:val="00284B1B"/>
    <w:rsid w:val="002A63B7"/>
    <w:rsid w:val="002B6A76"/>
    <w:rsid w:val="003160F8"/>
    <w:rsid w:val="0032061C"/>
    <w:rsid w:val="00323007"/>
    <w:rsid w:val="003340A3"/>
    <w:rsid w:val="00362297"/>
    <w:rsid w:val="0039192C"/>
    <w:rsid w:val="003E51F2"/>
    <w:rsid w:val="003E715B"/>
    <w:rsid w:val="00410642"/>
    <w:rsid w:val="00413675"/>
    <w:rsid w:val="0046617D"/>
    <w:rsid w:val="0046784D"/>
    <w:rsid w:val="00486934"/>
    <w:rsid w:val="004966BA"/>
    <w:rsid w:val="0050279B"/>
    <w:rsid w:val="00506E3A"/>
    <w:rsid w:val="00525F40"/>
    <w:rsid w:val="005715B6"/>
    <w:rsid w:val="005C74A7"/>
    <w:rsid w:val="005D42F9"/>
    <w:rsid w:val="00602C3F"/>
    <w:rsid w:val="00626653"/>
    <w:rsid w:val="006602FD"/>
    <w:rsid w:val="006649D0"/>
    <w:rsid w:val="00672430"/>
    <w:rsid w:val="00687863"/>
    <w:rsid w:val="006A2E06"/>
    <w:rsid w:val="006C1700"/>
    <w:rsid w:val="00721B55"/>
    <w:rsid w:val="00784965"/>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B6D44"/>
    <w:rsid w:val="00B11F02"/>
    <w:rsid w:val="00B14D73"/>
    <w:rsid w:val="00B44BBE"/>
    <w:rsid w:val="00B77B08"/>
    <w:rsid w:val="00B84889"/>
    <w:rsid w:val="00BA2102"/>
    <w:rsid w:val="00BA7F58"/>
    <w:rsid w:val="00BD7533"/>
    <w:rsid w:val="00BF5698"/>
    <w:rsid w:val="00C33DDD"/>
    <w:rsid w:val="00C3473F"/>
    <w:rsid w:val="00C82C9D"/>
    <w:rsid w:val="00C93BA2"/>
    <w:rsid w:val="00CB3D18"/>
    <w:rsid w:val="00CC333F"/>
    <w:rsid w:val="00CC53FB"/>
    <w:rsid w:val="00CF600F"/>
    <w:rsid w:val="00D20292"/>
    <w:rsid w:val="00DA77C4"/>
    <w:rsid w:val="00DB6924"/>
    <w:rsid w:val="00DF4F4A"/>
    <w:rsid w:val="00E24390"/>
    <w:rsid w:val="00E379B4"/>
    <w:rsid w:val="00E8116A"/>
    <w:rsid w:val="00F0033B"/>
    <w:rsid w:val="00F055D7"/>
    <w:rsid w:val="00F4212E"/>
    <w:rsid w:val="00F45E48"/>
    <w:rsid w:val="00F85BE8"/>
    <w:rsid w:val="00FC4488"/>
    <w:rsid w:val="00FE7BF2"/>
    <w:rsid w:val="00FF0B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kern w:val="2"/>
      <w:sz w:val="32"/>
    </w:rPr>
  </w:style>
  <w:style w:type="paragraph" w:styleId="1">
    <w:name w:val="heading 1"/>
    <w:basedOn w:val="a"/>
    <w:next w:val="a"/>
    <w:link w:val="10"/>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93436"/>
    <w:rPr>
      <w:rFonts w:ascii="Times New Roman" w:eastAsia="宋体" w:hAnsi="Times New Roman" w:cs="Times New Roman"/>
      <w:b/>
      <w:bCs/>
      <w:kern w:val="44"/>
      <w:sz w:val="44"/>
      <w:szCs w:val="44"/>
    </w:rPr>
  </w:style>
  <w:style w:type="character" w:customStyle="1" w:styleId="20">
    <w:name w:val="标题 2 字符"/>
    <w:link w:val="2"/>
    <w:rsid w:val="00893436"/>
    <w:rPr>
      <w:rFonts w:ascii="Arial" w:eastAsia="黑体" w:hAnsi="Arial" w:cs="Times New Roman"/>
      <w:b/>
      <w:bCs/>
      <w:sz w:val="32"/>
      <w:szCs w:val="32"/>
    </w:rPr>
  </w:style>
  <w:style w:type="character" w:styleId="a3">
    <w:name w:val="footnote reference"/>
    <w:rsid w:val="00893436"/>
    <w:rPr>
      <w:vertAlign w:val="superscript"/>
    </w:rPr>
  </w:style>
  <w:style w:type="paragraph" w:styleId="a4">
    <w:name w:val="footnote text"/>
    <w:basedOn w:val="a"/>
    <w:link w:val="a5"/>
    <w:rsid w:val="00893436"/>
    <w:pPr>
      <w:snapToGrid w:val="0"/>
      <w:jc w:val="left"/>
    </w:pPr>
    <w:rPr>
      <w:rFonts w:eastAsia="宋体"/>
      <w:sz w:val="18"/>
    </w:rPr>
  </w:style>
  <w:style w:type="character" w:customStyle="1" w:styleId="a5">
    <w:name w:val="脚注文本 字符"/>
    <w:link w:val="a4"/>
    <w:rsid w:val="00893436"/>
    <w:rPr>
      <w:rFonts w:ascii="Times New Roman" w:eastAsia="宋体" w:hAnsi="Times New Roman" w:cs="Times New Roman"/>
      <w:sz w:val="18"/>
      <w:szCs w:val="20"/>
    </w:rPr>
  </w:style>
  <w:style w:type="paragraph" w:styleId="a6">
    <w:name w:val="Document Map"/>
    <w:basedOn w:val="a"/>
    <w:link w:val="a7"/>
    <w:uiPriority w:val="99"/>
    <w:semiHidden/>
    <w:unhideWhenUsed/>
    <w:rsid w:val="00893436"/>
    <w:rPr>
      <w:rFonts w:ascii="宋体" w:eastAsia="宋体"/>
      <w:sz w:val="18"/>
      <w:szCs w:val="18"/>
    </w:rPr>
  </w:style>
  <w:style w:type="character" w:customStyle="1" w:styleId="a7">
    <w:name w:val="文档结构图 字符"/>
    <w:link w:val="a6"/>
    <w:uiPriority w:val="99"/>
    <w:semiHidden/>
    <w:rsid w:val="00893436"/>
    <w:rPr>
      <w:rFonts w:ascii="宋体" w:eastAsia="宋体" w:hAnsi="Times New Roman" w:cs="Times New Roman"/>
      <w:sz w:val="18"/>
      <w:szCs w:val="18"/>
    </w:rPr>
  </w:style>
  <w:style w:type="paragraph" w:styleId="a8">
    <w:name w:val="header"/>
    <w:basedOn w:val="a"/>
    <w:link w:val="a9"/>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3160F8"/>
    <w:rPr>
      <w:rFonts w:ascii="Times New Roman" w:eastAsia="方正仿宋简体" w:hAnsi="Times New Roman" w:cs="Times New Roman"/>
      <w:sz w:val="18"/>
      <w:szCs w:val="18"/>
    </w:rPr>
  </w:style>
  <w:style w:type="paragraph" w:styleId="aa">
    <w:name w:val="footer"/>
    <w:basedOn w:val="a"/>
    <w:link w:val="ab"/>
    <w:uiPriority w:val="99"/>
    <w:unhideWhenUsed/>
    <w:rsid w:val="003160F8"/>
    <w:pPr>
      <w:tabs>
        <w:tab w:val="center" w:pos="4153"/>
        <w:tab w:val="right" w:pos="8306"/>
      </w:tabs>
      <w:snapToGrid w:val="0"/>
      <w:jc w:val="left"/>
    </w:pPr>
    <w:rPr>
      <w:sz w:val="18"/>
      <w:szCs w:val="18"/>
    </w:rPr>
  </w:style>
  <w:style w:type="character" w:customStyle="1" w:styleId="ab">
    <w:name w:val="页脚 字符"/>
    <w:link w:val="aa"/>
    <w:uiPriority w:val="99"/>
    <w:rsid w:val="003160F8"/>
    <w:rPr>
      <w:rFonts w:ascii="Times New Roman" w:eastAsia="方正仿宋简体" w:hAnsi="Times New Roman" w:cs="Times New Roman"/>
      <w:sz w:val="18"/>
      <w:szCs w:val="18"/>
    </w:rPr>
  </w:style>
  <w:style w:type="paragraph" w:styleId="ac">
    <w:name w:val="Balloon Text"/>
    <w:basedOn w:val="a"/>
    <w:link w:val="ad"/>
    <w:uiPriority w:val="99"/>
    <w:semiHidden/>
    <w:unhideWhenUsed/>
    <w:rsid w:val="00B44BBE"/>
    <w:rPr>
      <w:sz w:val="18"/>
      <w:szCs w:val="18"/>
    </w:rPr>
  </w:style>
  <w:style w:type="character" w:customStyle="1" w:styleId="ad">
    <w:name w:val="批注框文本 字符"/>
    <w:link w:val="ac"/>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4</DocSecurity>
  <Lines>9</Lines>
  <Paragraphs>2</Paragraphs>
  <ScaleCrop>false</ScaleCrop>
  <Company>微软中国</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2025-11-17T16:01:00Z</dcterms:created>
  <dcterms:modified xsi:type="dcterms:W3CDTF">2025-11-17T16:01:00Z</dcterms:modified>
</cp:coreProperties>
</file>