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74" w:rsidRDefault="00252674"/>
    <w:p w:rsidR="001E4BCF" w:rsidRDefault="001E4BCF" w:rsidP="001E4BCF">
      <w:pPr>
        <w:jc w:val="center"/>
        <w:rPr>
          <w:rFonts w:ascii="宋体" w:eastAsia="宋体" w:hAnsi="宋体"/>
          <w:b/>
          <w:sz w:val="28"/>
        </w:rPr>
      </w:pPr>
      <w:r w:rsidRPr="001E4BCF">
        <w:rPr>
          <w:rFonts w:ascii="宋体" w:eastAsia="宋体" w:hAnsi="宋体" w:hint="eastAsia"/>
          <w:b/>
          <w:sz w:val="28"/>
        </w:rPr>
        <w:t>博时富灿纯债一年定期开放债券型发起式证券投资基金分红公告</w:t>
      </w:r>
    </w:p>
    <w:p w:rsidR="001E4BCF" w:rsidRDefault="001E4BCF" w:rsidP="001E4BCF">
      <w:pPr>
        <w:jc w:val="center"/>
        <w:rPr>
          <w:rFonts w:ascii="宋体" w:eastAsia="宋体" w:hAnsi="宋体"/>
          <w:b/>
          <w:sz w:val="24"/>
        </w:rPr>
      </w:pPr>
      <w:r w:rsidRPr="001E4BCF">
        <w:rPr>
          <w:rFonts w:ascii="宋体" w:eastAsia="宋体" w:hAnsi="宋体" w:hint="eastAsia"/>
          <w:b/>
          <w:sz w:val="24"/>
        </w:rPr>
        <w:t>公告送出日期：</w:t>
      </w:r>
      <w:r w:rsidRPr="001E4BCF">
        <w:rPr>
          <w:rFonts w:ascii="宋体" w:eastAsia="宋体" w:hAnsi="宋体"/>
          <w:b/>
          <w:sz w:val="24"/>
        </w:rPr>
        <w:t>2025年11月18日</w:t>
      </w:r>
    </w:p>
    <w:p w:rsidR="001E4BCF" w:rsidRDefault="001E4BCF" w:rsidP="001E4BCF">
      <w:pPr>
        <w:jc w:val="center"/>
        <w:rPr>
          <w:rFonts w:ascii="宋体" w:eastAsia="宋体" w:hAnsi="宋体"/>
          <w:b/>
          <w:sz w:val="24"/>
        </w:rPr>
      </w:pPr>
    </w:p>
    <w:p w:rsidR="001E4BCF" w:rsidRDefault="001E4BCF" w:rsidP="001E4BCF">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基金名称</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博时富灿纯债一年定期开放债券型发起式证券投资基金</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基金简称</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博时富灿一年定开债发起式</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基金主代码</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rPr>
              <w:t>009167</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基金合同生效日</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rPr>
              <w:t>2020年3月26日</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基金管理人名称</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博时基金管理有限公司</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基金托管人名称</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华夏银行股份有限公司</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公告依据</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中华人民共和国证券投资基金法》、《公开募集证券投资基金运作管理办法》、《博时富灿纯债一年定期开放债券型发起式证券投资基金基金合同》、《博时富灿纯债一年定期开放债券型发起式证券投资基金招募说明书》等</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收益分配基准日</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rPr>
              <w:t>2025年11月13日</w:t>
            </w:r>
          </w:p>
        </w:tc>
      </w:tr>
      <w:tr w:rsidR="001E4BCF" w:rsidTr="001E4BCF">
        <w:tc>
          <w:tcPr>
            <w:tcW w:w="2840" w:type="dxa"/>
            <w:vMerge w:val="restart"/>
            <w:vAlign w:val="center"/>
          </w:tcPr>
          <w:p w:rsidR="001E4BCF" w:rsidRPr="001E4BCF" w:rsidRDefault="001E4BCF" w:rsidP="001E4BCF">
            <w:pPr>
              <w:rPr>
                <w:rFonts w:ascii="宋体" w:eastAsia="宋体" w:hAnsi="宋体"/>
              </w:rPr>
            </w:pPr>
            <w:r>
              <w:rPr>
                <w:rFonts w:ascii="宋体" w:eastAsia="宋体" w:hAnsi="宋体" w:hint="eastAsia"/>
              </w:rPr>
              <w:t>截止收益分配基准日的相关指标</w:t>
            </w:r>
          </w:p>
        </w:tc>
        <w:tc>
          <w:tcPr>
            <w:tcW w:w="2841" w:type="dxa"/>
            <w:vAlign w:val="center"/>
          </w:tcPr>
          <w:p w:rsidR="001E4BCF" w:rsidRPr="001E4BCF" w:rsidRDefault="001E4BCF" w:rsidP="001E4BCF">
            <w:pPr>
              <w:rPr>
                <w:rFonts w:ascii="宋体" w:eastAsia="宋体" w:hAnsi="宋体"/>
              </w:rPr>
            </w:pPr>
            <w:r>
              <w:rPr>
                <w:rFonts w:ascii="宋体" w:eastAsia="宋体" w:hAnsi="宋体" w:hint="eastAsia"/>
              </w:rPr>
              <w:t>基准日基金份额净值（单位：元）</w:t>
            </w:r>
          </w:p>
        </w:tc>
        <w:tc>
          <w:tcPr>
            <w:tcW w:w="2841" w:type="dxa"/>
            <w:vAlign w:val="center"/>
          </w:tcPr>
          <w:p w:rsidR="001E4BCF" w:rsidRPr="001E4BCF" w:rsidRDefault="001E4BCF" w:rsidP="001E4BCF">
            <w:pPr>
              <w:rPr>
                <w:rFonts w:ascii="宋体" w:eastAsia="宋体" w:hAnsi="宋体"/>
              </w:rPr>
            </w:pPr>
            <w:r>
              <w:rPr>
                <w:rFonts w:ascii="宋体" w:eastAsia="宋体" w:hAnsi="宋体"/>
              </w:rPr>
              <w:t>1.0617</w:t>
            </w:r>
          </w:p>
        </w:tc>
      </w:tr>
      <w:tr w:rsidR="001E4BCF" w:rsidTr="001E4BCF">
        <w:tc>
          <w:tcPr>
            <w:tcW w:w="2840" w:type="dxa"/>
            <w:vMerge/>
            <w:vAlign w:val="center"/>
          </w:tcPr>
          <w:p w:rsidR="001E4BCF" w:rsidRDefault="001E4BCF" w:rsidP="001E4BCF"/>
        </w:tc>
        <w:tc>
          <w:tcPr>
            <w:tcW w:w="2841" w:type="dxa"/>
            <w:vAlign w:val="center"/>
          </w:tcPr>
          <w:p w:rsidR="001E4BCF" w:rsidRPr="001E4BCF" w:rsidRDefault="001E4BCF" w:rsidP="001E4BCF">
            <w:pPr>
              <w:rPr>
                <w:rFonts w:ascii="宋体" w:eastAsia="宋体" w:hAnsi="宋体"/>
              </w:rPr>
            </w:pPr>
            <w:r>
              <w:rPr>
                <w:rFonts w:ascii="宋体" w:eastAsia="宋体" w:hAnsi="宋体" w:hint="eastAsia"/>
              </w:rPr>
              <w:t>基准日基金可供分配利润（单位：元）</w:t>
            </w:r>
          </w:p>
        </w:tc>
        <w:tc>
          <w:tcPr>
            <w:tcW w:w="2841" w:type="dxa"/>
            <w:vAlign w:val="center"/>
          </w:tcPr>
          <w:p w:rsidR="001E4BCF" w:rsidRPr="001E4BCF" w:rsidRDefault="001E4BCF" w:rsidP="001E4BCF">
            <w:pPr>
              <w:rPr>
                <w:rFonts w:ascii="宋体" w:eastAsia="宋体" w:hAnsi="宋体"/>
              </w:rPr>
            </w:pPr>
            <w:r>
              <w:rPr>
                <w:rFonts w:ascii="宋体" w:eastAsia="宋体" w:hAnsi="宋体"/>
              </w:rPr>
              <w:t>58,261,752.54</w:t>
            </w:r>
          </w:p>
        </w:tc>
      </w:tr>
      <w:tr w:rsidR="001E4BCF" w:rsidTr="001E4BCF">
        <w:tc>
          <w:tcPr>
            <w:tcW w:w="2840" w:type="dxa"/>
            <w:vMerge/>
            <w:vAlign w:val="center"/>
          </w:tcPr>
          <w:p w:rsidR="001E4BCF" w:rsidRDefault="001E4BCF" w:rsidP="001E4BCF"/>
        </w:tc>
        <w:tc>
          <w:tcPr>
            <w:tcW w:w="2841" w:type="dxa"/>
            <w:vAlign w:val="center"/>
          </w:tcPr>
          <w:p w:rsidR="001E4BCF" w:rsidRPr="001E4BCF" w:rsidRDefault="001E4BCF" w:rsidP="001E4BCF">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1E4BCF" w:rsidRPr="001E4BCF" w:rsidRDefault="001E4BCF" w:rsidP="001E4BCF">
            <w:pPr>
              <w:rPr>
                <w:rFonts w:ascii="宋体" w:eastAsia="宋体" w:hAnsi="宋体"/>
              </w:rPr>
            </w:pPr>
            <w:r>
              <w:rPr>
                <w:rFonts w:ascii="宋体" w:eastAsia="宋体" w:hAnsi="宋体"/>
              </w:rPr>
              <w:t>-</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rPr>
              <w:t>0.4780</w:t>
            </w:r>
          </w:p>
        </w:tc>
      </w:tr>
      <w:tr w:rsidR="001E4BCF" w:rsidTr="001E4BCF">
        <w:tc>
          <w:tcPr>
            <w:tcW w:w="2840" w:type="dxa"/>
            <w:vAlign w:val="center"/>
          </w:tcPr>
          <w:p w:rsidR="001E4BCF" w:rsidRPr="001E4BCF" w:rsidRDefault="001E4BCF" w:rsidP="001E4BCF">
            <w:pPr>
              <w:rPr>
                <w:rFonts w:ascii="宋体" w:eastAsia="宋体" w:hAnsi="宋体"/>
              </w:rPr>
            </w:pPr>
            <w:r>
              <w:rPr>
                <w:rFonts w:ascii="宋体" w:eastAsia="宋体" w:hAnsi="宋体" w:hint="eastAsia"/>
              </w:rPr>
              <w:t>有关年度分红次数的说明</w:t>
            </w:r>
          </w:p>
        </w:tc>
        <w:tc>
          <w:tcPr>
            <w:tcW w:w="5682" w:type="dxa"/>
            <w:gridSpan w:val="2"/>
            <w:vAlign w:val="center"/>
          </w:tcPr>
          <w:p w:rsidR="001E4BCF" w:rsidRPr="001E4BCF" w:rsidRDefault="001E4BCF" w:rsidP="001E4BCF">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1E4BCF" w:rsidRDefault="001E4BCF" w:rsidP="001E4BCF"/>
    <w:p w:rsidR="001E4BCF" w:rsidRDefault="001E4BCF" w:rsidP="001E4BCF">
      <w:pPr>
        <w:pStyle w:val="a4"/>
        <w:spacing w:before="0" w:beforeAutospacing="0" w:after="0" w:afterAutospacing="0" w:line="360" w:lineRule="auto"/>
        <w:ind w:firstLine="420"/>
        <w:divId w:val="1451977324"/>
        <w:rPr>
          <w:sz w:val="21"/>
          <w:szCs w:val="21"/>
        </w:rPr>
      </w:pPr>
      <w:r w:rsidRPr="001E4BCF">
        <w:rPr>
          <w:rFonts w:hint="eastAsia"/>
          <w:sz w:val="21"/>
        </w:rPr>
        <w:t>注：</w:t>
      </w:r>
      <w:r>
        <w:rPr>
          <w:rFonts w:hint="eastAsia"/>
          <w:sz w:val="21"/>
          <w:szCs w:val="21"/>
        </w:rPr>
        <w:t> 本基金每10份基金份额发放红利0.4780元人民币。 </w:t>
      </w:r>
    </w:p>
    <w:p w:rsidR="001E4BCF" w:rsidRDefault="001E4BCF" w:rsidP="001E4BCF">
      <w:pPr>
        <w:pStyle w:val="3"/>
        <w:divId w:val="1451977324"/>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1E4BCF" w:rsidTr="00BD2460">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权益登记日</w:t>
            </w:r>
          </w:p>
        </w:tc>
        <w:tc>
          <w:tcPr>
            <w:tcW w:w="5682" w:type="dxa"/>
            <w:vAlign w:val="center"/>
          </w:tcPr>
          <w:p w:rsidR="001E4BCF" w:rsidRDefault="001E4BCF" w:rsidP="001E4BCF">
            <w:r>
              <w:rPr>
                <w:rFonts w:ascii="宋体" w:eastAsia="宋体" w:hAnsi="宋体"/>
              </w:rPr>
              <w:t>2025年11月20日</w:t>
            </w:r>
          </w:p>
        </w:tc>
      </w:tr>
      <w:tr w:rsidR="001E4BCF" w:rsidTr="008E3DC1">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除息日</w:t>
            </w:r>
          </w:p>
        </w:tc>
        <w:tc>
          <w:tcPr>
            <w:tcW w:w="5682" w:type="dxa"/>
            <w:vAlign w:val="center"/>
          </w:tcPr>
          <w:p w:rsidR="001E4BCF" w:rsidRDefault="001E4BCF" w:rsidP="001E4BCF">
            <w:r>
              <w:rPr>
                <w:rFonts w:ascii="宋体" w:eastAsia="宋体" w:hAnsi="宋体"/>
              </w:rPr>
              <w:t>2025年11月20日</w:t>
            </w:r>
          </w:p>
        </w:tc>
      </w:tr>
      <w:tr w:rsidR="001E4BCF" w:rsidTr="00692684">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现金红利发放日</w:t>
            </w:r>
          </w:p>
        </w:tc>
        <w:tc>
          <w:tcPr>
            <w:tcW w:w="5682" w:type="dxa"/>
            <w:vAlign w:val="center"/>
          </w:tcPr>
          <w:p w:rsidR="001E4BCF" w:rsidRDefault="001E4BCF" w:rsidP="001E4BCF">
            <w:r>
              <w:rPr>
                <w:rFonts w:ascii="宋体" w:eastAsia="宋体" w:hAnsi="宋体"/>
              </w:rPr>
              <w:t>2025年11月24日</w:t>
            </w:r>
          </w:p>
        </w:tc>
      </w:tr>
      <w:tr w:rsidR="001E4BCF" w:rsidTr="00285187">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分红对象</w:t>
            </w:r>
          </w:p>
        </w:tc>
        <w:tc>
          <w:tcPr>
            <w:tcW w:w="5682" w:type="dxa"/>
            <w:vAlign w:val="center"/>
          </w:tcPr>
          <w:p w:rsidR="001E4BCF" w:rsidRDefault="001E4BCF" w:rsidP="001E4BCF">
            <w:r>
              <w:rPr>
                <w:rFonts w:ascii="宋体" w:eastAsia="宋体" w:hAnsi="宋体" w:hint="eastAsia"/>
              </w:rPr>
              <w:t>权益登记日登记在册的本基金份额持有人</w:t>
            </w:r>
          </w:p>
        </w:tc>
      </w:tr>
      <w:tr w:rsidR="001E4BCF" w:rsidTr="00573E00">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红利再投资相关事项的说明</w:t>
            </w:r>
          </w:p>
        </w:tc>
        <w:tc>
          <w:tcPr>
            <w:tcW w:w="5682" w:type="dxa"/>
            <w:vAlign w:val="center"/>
          </w:tcPr>
          <w:p w:rsidR="001E4BCF" w:rsidRDefault="001E4BCF" w:rsidP="001E4BCF">
            <w:r>
              <w:rPr>
                <w:rFonts w:ascii="宋体" w:eastAsia="宋体" w:hAnsi="宋体" w:hint="eastAsia"/>
              </w:rPr>
              <w:t>选择红利再投资方式的投资者所转换的基金份额将以</w:t>
            </w:r>
            <w:r>
              <w:rPr>
                <w:rFonts w:ascii="宋体" w:eastAsia="宋体" w:hAnsi="宋体"/>
              </w:rPr>
              <w:t>2025年11月20日的基金份额净值为计算基准确定再投资份额，红利再投资所转换的基金份额于2025年11月21日直接划入其基金账户，2025年11月24日起投资者可以查询、赎回。</w:t>
            </w:r>
          </w:p>
        </w:tc>
      </w:tr>
      <w:tr w:rsidR="001E4BCF" w:rsidTr="0053045C">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1E4BCF" w:rsidRDefault="001E4BCF" w:rsidP="001E4BCF">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1E4BCF" w:rsidTr="00446358">
        <w:trPr>
          <w:divId w:val="1451977324"/>
        </w:trPr>
        <w:tc>
          <w:tcPr>
            <w:tcW w:w="2840" w:type="dxa"/>
            <w:vAlign w:val="center"/>
          </w:tcPr>
          <w:p w:rsidR="001E4BCF" w:rsidRPr="001E4BCF" w:rsidRDefault="001E4BCF" w:rsidP="001E4BCF">
            <w:pPr>
              <w:rPr>
                <w:rFonts w:ascii="宋体" w:eastAsia="宋体" w:hAnsi="宋体"/>
              </w:rPr>
            </w:pPr>
            <w:r>
              <w:rPr>
                <w:rFonts w:ascii="宋体" w:eastAsia="宋体" w:hAnsi="宋体" w:hint="eastAsia"/>
              </w:rPr>
              <w:t>费用相关事项的说明</w:t>
            </w:r>
          </w:p>
        </w:tc>
        <w:tc>
          <w:tcPr>
            <w:tcW w:w="5682" w:type="dxa"/>
            <w:vAlign w:val="center"/>
          </w:tcPr>
          <w:p w:rsidR="001E4BCF" w:rsidRDefault="001E4BCF" w:rsidP="001E4BCF">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1E4BCF" w:rsidRDefault="001E4BCF" w:rsidP="001E4BCF">
      <w:pPr>
        <w:divId w:val="1451977324"/>
      </w:pPr>
    </w:p>
    <w:p w:rsidR="001E4BCF" w:rsidRDefault="001E4BCF" w:rsidP="001E4BCF">
      <w:pPr>
        <w:pStyle w:val="3"/>
        <w:divId w:val="1451977324"/>
        <w:rPr>
          <w:rFonts w:ascii="宋体" w:eastAsia="宋体" w:hAnsi="宋体"/>
          <w:sz w:val="21"/>
        </w:rPr>
      </w:pPr>
      <w:r w:rsidRPr="001E4BCF">
        <w:rPr>
          <w:rFonts w:ascii="宋体" w:eastAsia="宋体" w:hAnsi="宋体" w:hint="eastAsia"/>
          <w:sz w:val="21"/>
        </w:rPr>
        <w:t>3 其他需要提示的事项</w:t>
      </w:r>
    </w:p>
    <w:p w:rsidR="001E4BCF" w:rsidRDefault="001E4BCF">
      <w:pPr>
        <w:pStyle w:val="a4"/>
        <w:spacing w:before="0" w:beforeAutospacing="0" w:after="0" w:afterAutospacing="0" w:line="360" w:lineRule="auto"/>
        <w:ind w:firstLine="420"/>
        <w:divId w:val="1718582337"/>
        <w:rPr>
          <w:sz w:val="21"/>
          <w:szCs w:val="21"/>
        </w:rPr>
      </w:pPr>
      <w:r>
        <w:rPr>
          <w:rFonts w:hint="eastAsia"/>
          <w:sz w:val="21"/>
          <w:szCs w:val="21"/>
        </w:rPr>
        <w:t xml:space="preserve">（1）权益登记日申购或转换转入的基金份额不享有本次分红权益，赎回或转换转出的基金份额享有本次分红权益。 </w:t>
      </w:r>
    </w:p>
    <w:p w:rsidR="001E4BCF" w:rsidRDefault="001E4BCF">
      <w:pPr>
        <w:pStyle w:val="a4"/>
        <w:spacing w:before="0" w:beforeAutospacing="0" w:after="0" w:afterAutospacing="0" w:line="360" w:lineRule="auto"/>
        <w:ind w:firstLine="420"/>
        <w:divId w:val="1718582337"/>
        <w:rPr>
          <w:sz w:val="21"/>
          <w:szCs w:val="21"/>
        </w:rPr>
      </w:pPr>
      <w:r>
        <w:rPr>
          <w:rFonts w:hint="eastAsia"/>
          <w:sz w:val="21"/>
          <w:szCs w:val="21"/>
        </w:rPr>
        <w:t xml:space="preserve">（2）对于未选择本基金具体分红方式的投资者，本基金默认的分红方式为现金红利方式。 </w:t>
      </w:r>
    </w:p>
    <w:p w:rsidR="001E4BCF" w:rsidRDefault="001E4BCF">
      <w:pPr>
        <w:pStyle w:val="a4"/>
        <w:spacing w:before="0" w:beforeAutospacing="0" w:after="0" w:afterAutospacing="0" w:line="360" w:lineRule="auto"/>
        <w:ind w:firstLine="420"/>
        <w:divId w:val="1718582337"/>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11月20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1E4BCF" w:rsidRDefault="001E4BCF">
      <w:pPr>
        <w:pStyle w:val="a4"/>
        <w:spacing w:before="0" w:beforeAutospacing="0" w:after="0" w:afterAutospacing="0" w:line="360" w:lineRule="auto"/>
        <w:ind w:firstLine="420"/>
        <w:divId w:val="1718582337"/>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1E4BCF" w:rsidRDefault="001E4BCF">
      <w:pPr>
        <w:pStyle w:val="a4"/>
        <w:spacing w:before="0" w:beforeAutospacing="0" w:after="0" w:afterAutospacing="0" w:line="360" w:lineRule="auto"/>
        <w:ind w:firstLine="420"/>
        <w:divId w:val="1718582337"/>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1E4BCF" w:rsidRDefault="001E4BCF" w:rsidP="001E4BCF">
      <w:pPr>
        <w:pStyle w:val="a4"/>
        <w:spacing w:before="0" w:beforeAutospacing="0" w:after="0" w:afterAutospacing="0" w:line="360" w:lineRule="auto"/>
        <w:ind w:firstLine="420"/>
        <w:divId w:val="1718582337"/>
        <w:rPr>
          <w:sz w:val="21"/>
          <w:szCs w:val="21"/>
        </w:rPr>
      </w:pPr>
      <w:r>
        <w:rPr>
          <w:rFonts w:hint="eastAsia"/>
          <w:sz w:val="21"/>
          <w:szCs w:val="21"/>
        </w:rPr>
        <w:t xml:space="preserve">特此公告。 </w:t>
      </w:r>
    </w:p>
    <w:p w:rsidR="001E4BCF" w:rsidRDefault="001E4BCF" w:rsidP="001E4BCF">
      <w:pPr>
        <w:pStyle w:val="a4"/>
        <w:spacing w:before="0" w:beforeAutospacing="0" w:after="0" w:afterAutospacing="0" w:line="360" w:lineRule="auto"/>
        <w:ind w:firstLine="420"/>
        <w:divId w:val="1718582337"/>
        <w:rPr>
          <w:sz w:val="21"/>
          <w:szCs w:val="21"/>
        </w:rPr>
      </w:pPr>
    </w:p>
    <w:p w:rsidR="001E4BCF" w:rsidRDefault="001E4BCF" w:rsidP="001E4BCF">
      <w:pPr>
        <w:pStyle w:val="a4"/>
        <w:spacing w:before="0" w:beforeAutospacing="0" w:after="0" w:afterAutospacing="0" w:line="360" w:lineRule="auto"/>
        <w:ind w:firstLine="420"/>
        <w:divId w:val="1718582337"/>
        <w:rPr>
          <w:sz w:val="21"/>
          <w:szCs w:val="21"/>
        </w:rPr>
      </w:pPr>
    </w:p>
    <w:p w:rsidR="001E4BCF" w:rsidRDefault="001E4BCF" w:rsidP="001E4BCF">
      <w:pPr>
        <w:pStyle w:val="a4"/>
        <w:spacing w:before="0" w:beforeAutospacing="0" w:after="0" w:afterAutospacing="0" w:line="360" w:lineRule="auto"/>
        <w:ind w:firstLine="420"/>
        <w:divId w:val="1718582337"/>
        <w:rPr>
          <w:sz w:val="21"/>
          <w:szCs w:val="21"/>
        </w:rPr>
      </w:pPr>
    </w:p>
    <w:p w:rsidR="001E4BCF" w:rsidRDefault="001E4BCF" w:rsidP="001E4BCF">
      <w:pPr>
        <w:pStyle w:val="a4"/>
        <w:spacing w:before="0" w:beforeAutospacing="0" w:after="0" w:afterAutospacing="0" w:line="360" w:lineRule="auto"/>
        <w:ind w:firstLine="420"/>
        <w:jc w:val="right"/>
        <w:divId w:val="1718582337"/>
        <w:rPr>
          <w:sz w:val="21"/>
          <w:szCs w:val="21"/>
        </w:rPr>
      </w:pPr>
      <w:r w:rsidRPr="001E4BCF">
        <w:rPr>
          <w:rFonts w:hint="eastAsia"/>
          <w:sz w:val="21"/>
          <w:szCs w:val="21"/>
        </w:rPr>
        <w:t>博时基金管理有限公司</w:t>
      </w:r>
    </w:p>
    <w:p w:rsidR="001E4BCF" w:rsidRPr="001E4BCF" w:rsidRDefault="001E4BCF" w:rsidP="001E4BCF">
      <w:pPr>
        <w:pStyle w:val="a4"/>
        <w:spacing w:before="0" w:beforeAutospacing="0" w:after="0" w:afterAutospacing="0" w:line="360" w:lineRule="auto"/>
        <w:ind w:firstLine="420"/>
        <w:jc w:val="right"/>
        <w:divId w:val="1718582337"/>
        <w:rPr>
          <w:sz w:val="21"/>
          <w:szCs w:val="21"/>
        </w:rPr>
      </w:pPr>
      <w:r w:rsidRPr="001E4BCF">
        <w:rPr>
          <w:sz w:val="21"/>
          <w:szCs w:val="21"/>
        </w:rPr>
        <w:t>2025年11月18日</w:t>
      </w:r>
    </w:p>
    <w:sectPr w:rsidR="001E4BCF" w:rsidRPr="001E4BCF" w:rsidSect="001D59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4BCF"/>
    <w:rsid w:val="001D594B"/>
    <w:rsid w:val="001E4BCF"/>
    <w:rsid w:val="00252674"/>
    <w:rsid w:val="00676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4B"/>
    <w:pPr>
      <w:widowControl w:val="0"/>
      <w:jc w:val="both"/>
    </w:pPr>
  </w:style>
  <w:style w:type="paragraph" w:styleId="3">
    <w:name w:val="heading 3"/>
    <w:basedOn w:val="a"/>
    <w:next w:val="a"/>
    <w:link w:val="3Char"/>
    <w:uiPriority w:val="9"/>
    <w:unhideWhenUsed/>
    <w:qFormat/>
    <w:rsid w:val="001E4B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E4BCF"/>
    <w:rPr>
      <w:b/>
      <w:bCs/>
      <w:sz w:val="32"/>
      <w:szCs w:val="32"/>
    </w:rPr>
  </w:style>
  <w:style w:type="table" w:styleId="a3">
    <w:name w:val="Table Grid"/>
    <w:basedOn w:val="a1"/>
    <w:uiPriority w:val="59"/>
    <w:rsid w:val="001E4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E4BC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1E4BC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E4BCF"/>
    <w:rPr>
      <w:b/>
      <w:bCs/>
      <w:sz w:val="32"/>
      <w:szCs w:val="32"/>
    </w:rPr>
  </w:style>
  <w:style w:type="table" w:styleId="a3">
    <w:name w:val="Table Grid"/>
    <w:basedOn w:val="a1"/>
    <w:uiPriority w:val="59"/>
    <w:rsid w:val="001E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1E4B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1977324">
      <w:bodyDiv w:val="1"/>
      <w:marLeft w:val="0"/>
      <w:marRight w:val="0"/>
      <w:marTop w:val="0"/>
      <w:marBottom w:val="0"/>
      <w:divBdr>
        <w:top w:val="none" w:sz="0" w:space="0" w:color="auto"/>
        <w:left w:val="none" w:sz="0" w:space="0" w:color="auto"/>
        <w:bottom w:val="none" w:sz="0" w:space="0" w:color="auto"/>
        <w:right w:val="none" w:sz="0" w:space="0" w:color="auto"/>
      </w:divBdr>
      <w:divsChild>
        <w:div w:id="171858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4</DocSecurity>
  <Lines>10</Lines>
  <Paragraphs>2</Paragraphs>
  <ScaleCrop>false</ScaleCrop>
  <Company>mycompany</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2025-11-17T16:02:00Z</dcterms:created>
  <dcterms:modified xsi:type="dcterms:W3CDTF">2025-11-17T16:02:00Z</dcterms:modified>
</cp:coreProperties>
</file>