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DF" w:rsidRDefault="00004BDF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bookmarkStart w:id="0" w:name="_GoBack"/>
      <w:bookmarkEnd w:id="0"/>
    </w:p>
    <w:p w:rsidR="00004BDF" w:rsidRDefault="0076103A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兴业基金管理有限公司关于旗下部分上交所</w:t>
      </w:r>
      <w:r>
        <w:rPr>
          <w:rFonts w:ascii="Calibri" w:eastAsia="宋体" w:hAnsi="Calibri" w:cs="Times New Roman"/>
          <w:b/>
          <w:sz w:val="24"/>
          <w:szCs w:val="24"/>
          <w:shd w:val="clear" w:color="auto" w:fill="FFFFFF"/>
        </w:rPr>
        <w:t>ETF</w:t>
      </w:r>
      <w:r>
        <w:rPr>
          <w:rFonts w:ascii="Calibri" w:eastAsia="宋体" w:hAnsi="Calibri" w:cs="Times New Roman"/>
          <w:b/>
          <w:sz w:val="24"/>
          <w:szCs w:val="24"/>
          <w:shd w:val="clear" w:color="auto" w:fill="FFFFFF"/>
        </w:rPr>
        <w:t>申购赎回清单版本更新的公告</w:t>
      </w:r>
    </w:p>
    <w:p w:rsidR="00004BDF" w:rsidRDefault="00004BDF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</w:rPr>
      </w:pP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根据上海证券交易所最新</w:t>
      </w:r>
      <w:r>
        <w:rPr>
          <w:rFonts w:ascii="宋体" w:eastAsia="宋体" w:hAnsi="宋体" w:cs="Times New Roman"/>
          <w:szCs w:val="21"/>
        </w:rPr>
        <w:t>ETF申购赎回清单格式规则，自2025年11月17日起，</w:t>
      </w:r>
      <w:r>
        <w:rPr>
          <w:rFonts w:ascii="宋体" w:eastAsia="宋体" w:hAnsi="宋体" w:cs="Times New Roman" w:hint="eastAsia"/>
          <w:szCs w:val="21"/>
        </w:rPr>
        <w:t>兴业</w:t>
      </w:r>
      <w:r>
        <w:rPr>
          <w:rFonts w:ascii="宋体" w:eastAsia="宋体" w:hAnsi="宋体" w:cs="Times New Roman"/>
          <w:szCs w:val="21"/>
        </w:rPr>
        <w:t>基金管理有限公司（以下简称“本公司”）对旗下部分上交所ETF申购赎回清单进行版本更新，具体如下：</w:t>
      </w:r>
    </w:p>
    <w:p w:rsidR="00004BDF" w:rsidRDefault="0076103A">
      <w:pPr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一、本公司旗下拟更新申购赎回清单版本的上交所</w:t>
      </w:r>
      <w:r>
        <w:rPr>
          <w:rFonts w:ascii="宋体" w:eastAsia="宋体" w:hAnsi="宋体" w:cs="Times New Roman"/>
          <w:b/>
          <w:szCs w:val="21"/>
        </w:rPr>
        <w:t>ETF列表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134"/>
        <w:gridCol w:w="3544"/>
        <w:gridCol w:w="1976"/>
        <w:gridCol w:w="2227"/>
      </w:tblGrid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扩位简称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510570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兴业中证500交易型开放式指数证券投资基金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兴业500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兴业中证500ETF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510370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兴业沪深300交易型开放式指数证券投资基金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兴业300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300指数ETF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530680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兴业上证180交易型开放式指数证券投资基金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180E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上证180指数ETF基金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563650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兴业中证A500交易型开放式指数证券投资基金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A500中证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中证A500龙头ETF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589050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兴业上证科创板综合价格交易型开放式指数证券投资基金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科创E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科创综指ETF兴业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563620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兴业中证全指自由现金流交易型开放式指数证券投资基金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现金流全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自由现金流全指ETF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563570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兴业中证金融科技主题交易型开放式指数证券投资基金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金融科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金融科技ETF兴业</w:t>
            </w:r>
          </w:p>
        </w:tc>
      </w:tr>
      <w:tr w:rsidR="00004BD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56356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兴业中证科技优势成长50策略交易型开放式指数证券投资基金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科技成长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04BDF" w:rsidRDefault="0076103A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科技成长ETF兴业</w:t>
            </w:r>
          </w:p>
        </w:tc>
      </w:tr>
    </w:tbl>
    <w:p w:rsidR="00004BDF" w:rsidRDefault="00004BDF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004BDF" w:rsidRDefault="0076103A">
      <w:pPr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二、修订情况说明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上交所</w:t>
      </w:r>
      <w:r>
        <w:rPr>
          <w:rFonts w:ascii="宋体" w:eastAsia="宋体" w:hAnsi="宋体" w:cs="Times New Roman"/>
          <w:szCs w:val="21"/>
        </w:rPr>
        <w:t>ETF新版申购赎回清单格式修订如下：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（1）原“申购上限”、“赎回上限”字段调整为“当日累计可申购的基金份额上限”、“当日累计可赎回的基金份额上限”字段，并新增“当日净申购的基金份额上限”、“当日净赎回的基金份额上限”、“单个证券账户当日净申购的基金份额上限”、“单个证券账户当日净赎回的基金份额上限”、“单个证券账户当日累计可申购的基金份额上限”、“单个证券账户当日累计可赎回的基金份额上限”字段；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（2）新增“申购赎回模式”字段；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（3）新增“挂牌市场”标识；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（4）调整“现金替代标志”字段描</w:t>
      </w:r>
      <w:r>
        <w:rPr>
          <w:rFonts w:ascii="宋体" w:eastAsia="宋体" w:hAnsi="宋体" w:cs="Times New Roman" w:hint="eastAsia"/>
          <w:szCs w:val="21"/>
        </w:rPr>
        <w:t>述：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①若</w:t>
      </w:r>
      <w:r>
        <w:rPr>
          <w:rFonts w:ascii="宋体" w:eastAsia="宋体" w:hAnsi="宋体" w:cs="Times New Roman"/>
          <w:szCs w:val="21"/>
        </w:rPr>
        <w:t>ETF采用实物申赎模式，对于沪市成份证券，“允许现金替代”标志表示申购基金份额优先使用成份券，成份券不足时差额部分用现金替代，赎回基金份额时该成份券不允许</w:t>
      </w:r>
      <w:r>
        <w:rPr>
          <w:rFonts w:ascii="宋体" w:eastAsia="宋体" w:hAnsi="宋体" w:cs="Times New Roman"/>
          <w:szCs w:val="21"/>
        </w:rPr>
        <w:lastRenderedPageBreak/>
        <w:t>使用现金作为替代；对于非沪市成份证券，在申购赎回基金份额时，该成份券只能使用现金作为替代，根据基金管理人代买卖情况，与投资者进行退款或补款。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②若ETF采用现金申赎模式，“允许现金替代”标志表示在申购赎回基金份额时，该成份券只能使用现金作为替代，根据基金管理人代买卖情况，与投资者进行退款或补款。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自2025年11月17日起，本公司旗下上述上交所ETF将</w:t>
      </w:r>
      <w:r>
        <w:rPr>
          <w:rFonts w:ascii="宋体" w:eastAsia="宋体" w:hAnsi="宋体" w:cs="Times New Roman" w:hint="eastAsia"/>
          <w:szCs w:val="21"/>
        </w:rPr>
        <w:t>采用新版申购赎回清单。相应基金的招募说明书、产品资料概要（如涉及）也将根据实际情况进行必要修改。</w:t>
      </w:r>
    </w:p>
    <w:p w:rsidR="00004BDF" w:rsidRDefault="00004BDF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004BDF" w:rsidRDefault="0076103A">
      <w:pPr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三、重要提示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本公告仅对本公司旗下部分上交所</w:t>
      </w:r>
      <w:r>
        <w:rPr>
          <w:rFonts w:ascii="宋体" w:eastAsia="宋体" w:hAnsi="宋体" w:cs="Times New Roman"/>
          <w:szCs w:val="21"/>
        </w:rPr>
        <w:t>ETF申购赎回清单版本更新并相应修改招募说明书</w:t>
      </w:r>
      <w:r>
        <w:rPr>
          <w:rFonts w:ascii="宋体" w:eastAsia="宋体" w:hAnsi="宋体" w:cs="Times New Roman" w:hint="eastAsia"/>
          <w:szCs w:val="21"/>
        </w:rPr>
        <w:t>、产品资料概要（如涉及）</w:t>
      </w:r>
      <w:r>
        <w:rPr>
          <w:rFonts w:ascii="宋体" w:eastAsia="宋体" w:hAnsi="宋体" w:cs="Times New Roman"/>
          <w:szCs w:val="21"/>
        </w:rPr>
        <w:t>的事项进行说明。本公司旗下ETF申购赎回清单以证券交易所实际公布的为准，投资者可登录本公司网站进行查询。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如有疑问，投资者可访问本公司网站(</w:t>
      </w:r>
      <w:r>
        <w:rPr>
          <w:rFonts w:ascii="宋体" w:eastAsia="宋体" w:hAnsi="宋体" w:cs="Times New Roman"/>
          <w:szCs w:val="21"/>
        </w:rPr>
        <w:t>www.</w:t>
      </w:r>
      <w:r>
        <w:rPr>
          <w:rFonts w:ascii="宋体" w:eastAsia="宋体" w:hAnsi="宋体" w:cs="Times New Roman" w:hint="eastAsia"/>
          <w:szCs w:val="21"/>
        </w:rPr>
        <w:t>cib-</w:t>
      </w:r>
      <w:r>
        <w:rPr>
          <w:rFonts w:ascii="宋体" w:eastAsia="宋体" w:hAnsi="宋体" w:cs="Times New Roman"/>
          <w:szCs w:val="21"/>
        </w:rPr>
        <w:t>fund.</w:t>
      </w:r>
      <w:r>
        <w:rPr>
          <w:rFonts w:ascii="宋体" w:eastAsia="宋体" w:hAnsi="宋体" w:cs="Times New Roman" w:hint="eastAsia"/>
          <w:szCs w:val="21"/>
        </w:rPr>
        <w:t>com.</w:t>
      </w:r>
      <w:r>
        <w:rPr>
          <w:rFonts w:ascii="宋体" w:eastAsia="宋体" w:hAnsi="宋体" w:cs="Times New Roman"/>
          <w:szCs w:val="21"/>
        </w:rPr>
        <w:t>cn</w:t>
      </w:r>
      <w:r>
        <w:rPr>
          <w:rFonts w:ascii="宋体" w:eastAsia="宋体" w:hAnsi="宋体" w:cs="Times New Roman" w:hint="eastAsia"/>
          <w:szCs w:val="21"/>
        </w:rPr>
        <w:t>)或拨打客户服务电话（</w:t>
      </w:r>
      <w:r>
        <w:rPr>
          <w:rFonts w:ascii="宋体" w:eastAsia="宋体" w:hAnsi="宋体" w:cs="Times New Roman"/>
          <w:szCs w:val="21"/>
        </w:rPr>
        <w:t>40000-95561</w:t>
      </w:r>
      <w:r>
        <w:rPr>
          <w:rFonts w:ascii="宋体" w:eastAsia="宋体" w:hAnsi="宋体" w:cs="Times New Roman" w:hint="eastAsia"/>
          <w:szCs w:val="21"/>
        </w:rPr>
        <w:t>）咨询相关事宜。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风险提示：基金管理人依照恪尽职守、诚实信用、谨慎勤勉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/价格变化引致的投资风险，由投资人自行负担。投资有风险，投资者在投资基金之前，请仔细阅读基金的基金合同、招募说明书和基金产品资料概要等法律文件，全面认识基金的风险收益特征和产品特性，充分考虑自身的风险承受能力，在了解产品情况、听取销售机构/证券经纪机构适当性匹配意见的基础上，理性判断市场，谨慎做出投资决策。基金具体风险评级结果以销售机构/证券经纪机构提供的评级结果为准。</w:t>
      </w:r>
    </w:p>
    <w:p w:rsidR="00004BDF" w:rsidRDefault="0076103A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特此公告</w:t>
      </w:r>
    </w:p>
    <w:p w:rsidR="00004BDF" w:rsidRDefault="00004BDF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004BDF" w:rsidRDefault="00004BDF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004BDF" w:rsidRDefault="0076103A">
      <w:pPr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兴业基金管理有限公司</w:t>
      </w:r>
    </w:p>
    <w:p w:rsidR="00004BDF" w:rsidRDefault="0076103A">
      <w:pPr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2025年</w:t>
      </w:r>
      <w:r>
        <w:rPr>
          <w:rFonts w:ascii="宋体" w:eastAsia="宋体" w:hAnsi="宋体" w:cs="Times New Roman"/>
          <w:szCs w:val="21"/>
        </w:rPr>
        <w:t>11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17</w:t>
      </w:r>
      <w:r>
        <w:rPr>
          <w:rFonts w:ascii="宋体" w:eastAsia="宋体" w:hAnsi="宋体" w:cs="Times New Roman" w:hint="eastAsia"/>
          <w:szCs w:val="21"/>
        </w:rPr>
        <w:t>日</w:t>
      </w:r>
    </w:p>
    <w:p w:rsidR="00004BDF" w:rsidRDefault="00004BDF">
      <w:pPr>
        <w:jc w:val="right"/>
        <w:rPr>
          <w:rFonts w:ascii="宋体" w:eastAsia="宋体" w:hAnsi="宋体" w:cs="Times New Roman"/>
          <w:szCs w:val="21"/>
        </w:rPr>
      </w:pPr>
    </w:p>
    <w:sectPr w:rsidR="00004BDF" w:rsidSect="005F7B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03A" w:rsidRDefault="0076103A">
      <w:r>
        <w:separator/>
      </w:r>
    </w:p>
  </w:endnote>
  <w:endnote w:type="continuationSeparator" w:id="0">
    <w:p w:rsidR="0076103A" w:rsidRDefault="00761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183387"/>
    </w:sdtPr>
    <w:sdtContent>
      <w:sdt>
        <w:sdtPr>
          <w:id w:val="1208468275"/>
        </w:sdtPr>
        <w:sdtContent>
          <w:p w:rsidR="00004BDF" w:rsidRDefault="0076103A">
            <w:pPr>
              <w:pStyle w:val="a3"/>
              <w:jc w:val="center"/>
            </w:pPr>
            <w:r>
              <w:rPr>
                <w:rFonts w:ascii="宋体" w:eastAsia="宋体" w:hAnsi="宋体"/>
                <w:lang w:val="zh-CN"/>
              </w:rPr>
              <w:t xml:space="preserve"> </w:t>
            </w:r>
            <w:r w:rsidR="005F7BE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PAGE</w:instrText>
            </w:r>
            <w:r w:rsidR="005F7BE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6E200F">
              <w:rPr>
                <w:rFonts w:ascii="宋体" w:eastAsia="宋体" w:hAnsi="宋体"/>
                <w:b/>
                <w:bCs/>
                <w:noProof/>
              </w:rPr>
              <w:t>1</w:t>
            </w:r>
            <w:r w:rsidR="005F7BE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lang w:val="zh-CN"/>
              </w:rPr>
              <w:t xml:space="preserve"> / </w:t>
            </w:r>
            <w:r w:rsidR="005F7BE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NUMPAGES</w:instrText>
            </w:r>
            <w:r w:rsidR="005F7BE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6E200F">
              <w:rPr>
                <w:rFonts w:ascii="宋体" w:eastAsia="宋体" w:hAnsi="宋体"/>
                <w:b/>
                <w:bCs/>
                <w:noProof/>
              </w:rPr>
              <w:t>2</w:t>
            </w:r>
            <w:r w:rsidR="005F7BE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03A" w:rsidRDefault="0076103A">
      <w:r>
        <w:separator/>
      </w:r>
    </w:p>
  </w:footnote>
  <w:footnote w:type="continuationSeparator" w:id="0">
    <w:p w:rsidR="0076103A" w:rsidRDefault="00761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004BDF"/>
    <w:rsid w:val="00004BDF"/>
    <w:rsid w:val="005F7BED"/>
    <w:rsid w:val="006E200F"/>
    <w:rsid w:val="0076103A"/>
    <w:rsid w:val="009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ED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F7BED"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Char"/>
    <w:qFormat/>
    <w:rsid w:val="005F7BED"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Char"/>
    <w:qFormat/>
    <w:rsid w:val="005F7BED"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Char"/>
    <w:qFormat/>
    <w:rsid w:val="005F7BED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Char"/>
    <w:qFormat/>
    <w:rsid w:val="005F7BED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Char"/>
    <w:qFormat/>
    <w:rsid w:val="005F7BED"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Char"/>
    <w:qFormat/>
    <w:rsid w:val="005F7BED"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Char"/>
    <w:qFormat/>
    <w:rsid w:val="005F7BED"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Char"/>
    <w:qFormat/>
    <w:rsid w:val="005F7BED"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F7BED"/>
    <w:rPr>
      <w:rFonts w:ascii="等线 Light" w:eastAsia="等线 Light" w:hAnsi="等线 Light" w:cs="Arial"/>
      <w:color w:val="0F4761"/>
      <w:kern w:val="2"/>
      <w:sz w:val="48"/>
      <w:szCs w:val="48"/>
      <w:lang w:val="en-US" w:eastAsia="zh-CN" w:bidi="ar-SA"/>
    </w:rPr>
  </w:style>
  <w:style w:type="character" w:customStyle="1" w:styleId="2Char">
    <w:name w:val="标题 2 Char"/>
    <w:basedOn w:val="a0"/>
    <w:link w:val="2"/>
    <w:rsid w:val="005F7BED"/>
    <w:rPr>
      <w:rFonts w:ascii="等线 Light" w:eastAsia="等线 Light" w:hAnsi="等线 Light" w:cs="Arial"/>
      <w:color w:val="0F4761"/>
      <w:kern w:val="2"/>
      <w:sz w:val="40"/>
      <w:szCs w:val="40"/>
      <w:lang w:val="en-US" w:eastAsia="zh-CN" w:bidi="ar-SA"/>
    </w:rPr>
  </w:style>
  <w:style w:type="character" w:customStyle="1" w:styleId="3Char">
    <w:name w:val="标题 3 Char"/>
    <w:basedOn w:val="a0"/>
    <w:link w:val="3"/>
    <w:rsid w:val="005F7BED"/>
    <w:rPr>
      <w:rFonts w:ascii="等线 Light" w:eastAsia="等线 Light" w:hAnsi="等线 Light" w:cs="Arial"/>
      <w:color w:val="0F4761"/>
      <w:kern w:val="2"/>
      <w:sz w:val="32"/>
      <w:szCs w:val="32"/>
      <w:lang w:val="en-US" w:eastAsia="zh-CN" w:bidi="ar-SA"/>
    </w:rPr>
  </w:style>
  <w:style w:type="character" w:customStyle="1" w:styleId="4Char">
    <w:name w:val="标题 4 Char"/>
    <w:basedOn w:val="a0"/>
    <w:link w:val="4"/>
    <w:rsid w:val="005F7BED"/>
    <w:rPr>
      <w:rFonts w:ascii="等线" w:eastAsia="等线" w:hAnsi="等线" w:cs="Arial"/>
      <w:color w:val="0F4761"/>
      <w:kern w:val="2"/>
      <w:sz w:val="28"/>
      <w:szCs w:val="28"/>
      <w:lang w:val="en-US" w:eastAsia="zh-CN" w:bidi="ar-SA"/>
    </w:rPr>
  </w:style>
  <w:style w:type="character" w:customStyle="1" w:styleId="5Char">
    <w:name w:val="标题 5 Char"/>
    <w:basedOn w:val="a0"/>
    <w:link w:val="5"/>
    <w:rsid w:val="005F7BED"/>
    <w:rPr>
      <w:rFonts w:ascii="等线" w:eastAsia="等线" w:hAnsi="等线" w:cs="Arial"/>
      <w:color w:val="0F4761"/>
      <w:kern w:val="2"/>
      <w:sz w:val="24"/>
      <w:szCs w:val="24"/>
      <w:lang w:val="en-US" w:eastAsia="zh-CN" w:bidi="ar-SA"/>
    </w:rPr>
  </w:style>
  <w:style w:type="character" w:customStyle="1" w:styleId="6Char">
    <w:name w:val="标题 6 Char"/>
    <w:basedOn w:val="a0"/>
    <w:link w:val="6"/>
    <w:rsid w:val="005F7BED"/>
    <w:rPr>
      <w:rFonts w:ascii="等线" w:eastAsia="等线" w:hAnsi="等线" w:cs="Arial"/>
      <w:b/>
      <w:bCs/>
      <w:color w:val="0F4761"/>
      <w:kern w:val="2"/>
      <w:sz w:val="21"/>
      <w:szCs w:val="22"/>
      <w:lang w:val="en-US" w:eastAsia="zh-CN" w:bidi="ar-SA"/>
    </w:rPr>
  </w:style>
  <w:style w:type="character" w:customStyle="1" w:styleId="7Char">
    <w:name w:val="标题 7 Char"/>
    <w:basedOn w:val="a0"/>
    <w:link w:val="7"/>
    <w:rsid w:val="005F7BED"/>
    <w:rPr>
      <w:rFonts w:ascii="等线" w:eastAsia="等线" w:hAnsi="等线" w:cs="Arial"/>
      <w:b/>
      <w:bCs/>
      <w:color w:val="595959"/>
      <w:kern w:val="2"/>
      <w:sz w:val="21"/>
      <w:szCs w:val="22"/>
      <w:lang w:val="en-US" w:eastAsia="zh-CN" w:bidi="ar-SA"/>
    </w:rPr>
  </w:style>
  <w:style w:type="character" w:customStyle="1" w:styleId="8Char">
    <w:name w:val="标题 8 Char"/>
    <w:basedOn w:val="a0"/>
    <w:link w:val="8"/>
    <w:rsid w:val="005F7BED"/>
    <w:rPr>
      <w:rFonts w:ascii="等线" w:eastAsia="等线" w:hAnsi="等线" w:cs="Arial"/>
      <w:color w:val="595959"/>
      <w:kern w:val="2"/>
      <w:sz w:val="21"/>
      <w:szCs w:val="22"/>
      <w:lang w:val="en-US" w:eastAsia="zh-CN" w:bidi="ar-SA"/>
    </w:rPr>
  </w:style>
  <w:style w:type="character" w:customStyle="1" w:styleId="9Char">
    <w:name w:val="标题 9 Char"/>
    <w:basedOn w:val="a0"/>
    <w:link w:val="9"/>
    <w:rsid w:val="005F7BED"/>
    <w:rPr>
      <w:rFonts w:ascii="等线" w:eastAsia="等线 Light" w:hAnsi="等线" w:cs="Arial"/>
      <w:color w:val="595959"/>
      <w:kern w:val="2"/>
      <w:sz w:val="21"/>
      <w:szCs w:val="22"/>
      <w:lang w:val="en-US" w:eastAsia="zh-CN" w:bidi="ar-SA"/>
    </w:rPr>
  </w:style>
  <w:style w:type="paragraph" w:styleId="a3">
    <w:name w:val="footer"/>
    <w:basedOn w:val="a"/>
    <w:qFormat/>
    <w:rsid w:val="005F7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F7B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qFormat/>
    <w:rsid w:val="005F7BED"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6">
    <w:name w:val="Title"/>
    <w:basedOn w:val="a"/>
    <w:next w:val="a"/>
    <w:qFormat/>
    <w:rsid w:val="005F7BED"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styleId="a7">
    <w:name w:val="Hyperlink"/>
    <w:basedOn w:val="a0"/>
    <w:qFormat/>
    <w:rsid w:val="005F7BED"/>
    <w:rPr>
      <w:color w:val="467886"/>
      <w:u w:val="single"/>
    </w:rPr>
  </w:style>
  <w:style w:type="paragraph" w:styleId="a8">
    <w:name w:val="Quote"/>
    <w:basedOn w:val="a"/>
    <w:next w:val="a"/>
    <w:qFormat/>
    <w:rsid w:val="005F7BED"/>
    <w:pPr>
      <w:spacing w:before="160" w:after="160"/>
      <w:jc w:val="center"/>
    </w:pPr>
    <w:rPr>
      <w:i/>
      <w:iCs/>
      <w:color w:val="404040"/>
    </w:rPr>
  </w:style>
  <w:style w:type="paragraph" w:styleId="a9">
    <w:name w:val="List Paragraph"/>
    <w:basedOn w:val="a"/>
    <w:qFormat/>
    <w:rsid w:val="005F7BED"/>
    <w:pPr>
      <w:ind w:left="720"/>
      <w:contextualSpacing/>
    </w:pPr>
  </w:style>
  <w:style w:type="character" w:customStyle="1" w:styleId="10">
    <w:name w:val="明显强调1"/>
    <w:basedOn w:val="a0"/>
    <w:qFormat/>
    <w:rsid w:val="005F7BED"/>
    <w:rPr>
      <w:i/>
      <w:iCs/>
      <w:color w:val="0F4761"/>
    </w:rPr>
  </w:style>
  <w:style w:type="paragraph" w:styleId="aa">
    <w:name w:val="Intense Quote"/>
    <w:basedOn w:val="a"/>
    <w:next w:val="a"/>
    <w:qFormat/>
    <w:rsid w:val="005F7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1">
    <w:name w:val="明显参考1"/>
    <w:basedOn w:val="a0"/>
    <w:qFormat/>
    <w:rsid w:val="005F7BED"/>
    <w:rPr>
      <w:b/>
      <w:bCs/>
      <w:caps w:val="0"/>
      <w:smallCaps/>
      <w:color w:val="0F4761"/>
      <w:spacing w:val="5"/>
    </w:rPr>
  </w:style>
  <w:style w:type="character" w:customStyle="1" w:styleId="12">
    <w:name w:val="未处理的提及1"/>
    <w:basedOn w:val="a0"/>
    <w:qFormat/>
    <w:rsid w:val="005F7BED"/>
    <w:rPr>
      <w:color w:val="605E5C"/>
      <w:shd w:val="clear" w:color="auto" w:fill="E1DFDD"/>
    </w:rPr>
  </w:style>
  <w:style w:type="paragraph" w:styleId="ab">
    <w:name w:val="Balloon Text"/>
    <w:basedOn w:val="a"/>
    <w:qFormat/>
    <w:rsid w:val="005F7BED"/>
    <w:rPr>
      <w:sz w:val="18"/>
      <w:szCs w:val="18"/>
    </w:rPr>
  </w:style>
  <w:style w:type="character" w:styleId="ac">
    <w:name w:val="annotation reference"/>
    <w:basedOn w:val="a0"/>
    <w:qFormat/>
    <w:rsid w:val="005F7BED"/>
    <w:rPr>
      <w:sz w:val="21"/>
      <w:szCs w:val="21"/>
    </w:rPr>
  </w:style>
  <w:style w:type="paragraph" w:styleId="ad">
    <w:name w:val="annotation text"/>
    <w:basedOn w:val="a"/>
    <w:qFormat/>
    <w:rsid w:val="005F7BED"/>
    <w:pPr>
      <w:jc w:val="left"/>
    </w:pPr>
  </w:style>
  <w:style w:type="paragraph" w:styleId="ae">
    <w:name w:val="annotation subject"/>
    <w:basedOn w:val="ad"/>
    <w:next w:val="ad"/>
    <w:qFormat/>
    <w:rsid w:val="005F7BED"/>
    <w:rPr>
      <w:b/>
      <w:bCs/>
    </w:rPr>
  </w:style>
  <w:style w:type="paragraph" w:styleId="13">
    <w:name w:val="toc 1"/>
    <w:basedOn w:val="a"/>
    <w:next w:val="a"/>
    <w:autoRedefine/>
    <w:qFormat/>
    <w:rsid w:val="005F7BED"/>
  </w:style>
  <w:style w:type="paragraph" w:styleId="20">
    <w:name w:val="toc 2"/>
    <w:basedOn w:val="a"/>
    <w:next w:val="a"/>
    <w:autoRedefine/>
    <w:qFormat/>
    <w:rsid w:val="005F7BED"/>
    <w:pPr>
      <w:ind w:left="420"/>
    </w:pPr>
  </w:style>
  <w:style w:type="paragraph" w:styleId="30">
    <w:name w:val="toc 3"/>
    <w:basedOn w:val="a"/>
    <w:next w:val="a"/>
    <w:autoRedefine/>
    <w:qFormat/>
    <w:rsid w:val="005F7BED"/>
    <w:pPr>
      <w:ind w:left="840"/>
    </w:pPr>
  </w:style>
  <w:style w:type="paragraph" w:styleId="40">
    <w:name w:val="toc 4"/>
    <w:basedOn w:val="a"/>
    <w:next w:val="a"/>
    <w:autoRedefine/>
    <w:qFormat/>
    <w:rsid w:val="005F7BED"/>
    <w:pPr>
      <w:ind w:left="1260"/>
    </w:pPr>
  </w:style>
  <w:style w:type="paragraph" w:styleId="50">
    <w:name w:val="toc 5"/>
    <w:basedOn w:val="a"/>
    <w:next w:val="a"/>
    <w:autoRedefine/>
    <w:qFormat/>
    <w:rsid w:val="005F7BED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51B53E8-0274-4844-8A53-01C7315E00E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4</DocSecurity>
  <Lines>11</Lines>
  <Paragraphs>3</Paragraphs>
  <ScaleCrop>false</ScaleCrop>
  <Company>cib-fund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肖南</dc:creator>
  <cp:lastModifiedBy>ZHONGM</cp:lastModifiedBy>
  <cp:revision>2</cp:revision>
  <cp:lastPrinted>2025-03-17T09:00:00Z</cp:lastPrinted>
  <dcterms:created xsi:type="dcterms:W3CDTF">2025-11-16T16:02:00Z</dcterms:created>
  <dcterms:modified xsi:type="dcterms:W3CDTF">2025-11-16T16:02:00Z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5DE21356319E20172EF3D367D5A45677</vt:lpwstr>
  </property>
</Properties>
</file>