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2E2" w:rsidRDefault="003A3E2D">
      <w:pPr>
        <w:jc w:val="center"/>
        <w:rPr>
          <w:b/>
          <w:color w:val="000000"/>
          <w:sz w:val="30"/>
          <w:szCs w:val="30"/>
        </w:rPr>
      </w:pPr>
      <w:r>
        <w:rPr>
          <w:rFonts w:ascii="宋体" w:hAnsi="宋体" w:hint="eastAsia"/>
          <w:b/>
          <w:color w:val="000000"/>
          <w:kern w:val="0"/>
          <w:sz w:val="30"/>
          <w:szCs w:val="30"/>
        </w:rPr>
        <w:t>关于富国标普石油天然气勘探及生产精选行业交易型开放式指数证券投资基金（</w:t>
      </w:r>
      <w:r>
        <w:rPr>
          <w:rFonts w:ascii="宋体" w:hAnsi="宋体" w:hint="eastAsia"/>
          <w:b/>
          <w:color w:val="000000"/>
          <w:kern w:val="0"/>
          <w:sz w:val="30"/>
          <w:szCs w:val="30"/>
        </w:rPr>
        <w:t>QDII</w:t>
      </w:r>
      <w:r>
        <w:rPr>
          <w:rFonts w:ascii="宋体" w:hAnsi="宋体" w:hint="eastAsia"/>
          <w:b/>
          <w:color w:val="000000"/>
          <w:kern w:val="0"/>
          <w:sz w:val="30"/>
          <w:szCs w:val="30"/>
        </w:rPr>
        <w:t>）暂停申购业务的公告</w:t>
      </w:r>
    </w:p>
    <w:p w:rsidR="006002E2" w:rsidRDefault="006002E2">
      <w:pPr>
        <w:jc w:val="right"/>
        <w:rPr>
          <w:b/>
          <w:color w:val="000000"/>
          <w:sz w:val="30"/>
          <w:szCs w:val="30"/>
        </w:rPr>
      </w:pPr>
    </w:p>
    <w:p w:rsidR="006002E2" w:rsidRDefault="003A3E2D">
      <w:pPr>
        <w:jc w:val="center"/>
        <w:rPr>
          <w:rFonts w:ascii="宋体" w:hAnsi="宋体"/>
          <w:color w:val="000000"/>
          <w:kern w:val="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11</w:t>
      </w:r>
      <w:r>
        <w:rPr>
          <w:rFonts w:ascii="宋体" w:hAnsi="宋体" w:hint="eastAsia"/>
          <w:color w:val="000000"/>
          <w:kern w:val="0"/>
          <w:sz w:val="24"/>
        </w:rPr>
        <w:t>月</w:t>
      </w:r>
      <w:r>
        <w:rPr>
          <w:rFonts w:ascii="宋体" w:hAnsi="宋体" w:hint="eastAsia"/>
          <w:color w:val="000000"/>
          <w:kern w:val="0"/>
          <w:sz w:val="24"/>
        </w:rPr>
        <w:t>17</w:t>
      </w:r>
      <w:r>
        <w:rPr>
          <w:rFonts w:ascii="宋体" w:hAnsi="宋体" w:hint="eastAsia"/>
          <w:color w:val="000000"/>
          <w:kern w:val="0"/>
          <w:sz w:val="24"/>
        </w:rPr>
        <w:t>日</w:t>
      </w:r>
    </w:p>
    <w:p w:rsidR="006002E2" w:rsidRDefault="006002E2">
      <w:pPr>
        <w:jc w:val="center"/>
        <w:rPr>
          <w:rFonts w:ascii="宋体" w:hAnsi="宋体"/>
          <w:color w:val="000000"/>
          <w:kern w:val="0"/>
          <w:sz w:val="18"/>
          <w:szCs w:val="22"/>
        </w:rPr>
      </w:pPr>
    </w:p>
    <w:p w:rsidR="006002E2" w:rsidRDefault="003A3E2D">
      <w:pPr>
        <w:pStyle w:val="a"/>
      </w:pPr>
      <w:r>
        <w:rPr>
          <w:rFonts w:hint="eastAsia"/>
        </w:rPr>
        <w:t>公告基本信息</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8"/>
        <w:gridCol w:w="2693"/>
        <w:gridCol w:w="5676"/>
      </w:tblGrid>
      <w:tr w:rsidR="006002E2">
        <w:trPr>
          <w:cantSplit/>
          <w:jc w:val="center"/>
        </w:trPr>
        <w:tc>
          <w:tcPr>
            <w:tcW w:w="4531" w:type="dxa"/>
            <w:gridSpan w:val="2"/>
            <w:vAlign w:val="center"/>
          </w:tcPr>
          <w:p w:rsidR="006002E2" w:rsidRDefault="003A3E2D">
            <w:pPr>
              <w:rPr>
                <w:rFonts w:ascii="宋体" w:hAnsi="宋体"/>
                <w:color w:val="000000"/>
                <w:sz w:val="24"/>
                <w:highlight w:val="cyan"/>
              </w:rPr>
            </w:pPr>
            <w:r>
              <w:rPr>
                <w:rFonts w:ascii="宋体" w:hAnsi="宋体" w:hint="eastAsia"/>
                <w:color w:val="000000"/>
                <w:sz w:val="24"/>
              </w:rPr>
              <w:t>基金名称</w:t>
            </w:r>
          </w:p>
        </w:tc>
        <w:tc>
          <w:tcPr>
            <w:tcW w:w="5676" w:type="dxa"/>
            <w:vAlign w:val="center"/>
          </w:tcPr>
          <w:p w:rsidR="006002E2" w:rsidRDefault="003A3E2D">
            <w:pPr>
              <w:rPr>
                <w:rFonts w:ascii="宋体" w:hAnsi="宋体"/>
                <w:color w:val="000000"/>
                <w:sz w:val="24"/>
                <w:highlight w:val="cyan"/>
              </w:rPr>
            </w:pPr>
            <w:r>
              <w:rPr>
                <w:rFonts w:ascii="宋体" w:hAnsi="宋体" w:hint="eastAsia"/>
                <w:color w:val="000000"/>
                <w:kern w:val="0"/>
                <w:sz w:val="24"/>
              </w:rPr>
              <w:t>富国标普石油天然气勘探及生产精选行业交易型开放式指数证券投资基金（</w:t>
            </w:r>
            <w:r>
              <w:rPr>
                <w:rFonts w:ascii="宋体" w:hAnsi="宋体" w:hint="eastAsia"/>
                <w:color w:val="000000"/>
                <w:kern w:val="0"/>
                <w:sz w:val="24"/>
              </w:rPr>
              <w:t>QDII</w:t>
            </w:r>
            <w:r>
              <w:rPr>
                <w:rFonts w:ascii="宋体" w:hAnsi="宋体" w:hint="eastAsia"/>
                <w:color w:val="000000"/>
                <w:kern w:val="0"/>
                <w:sz w:val="24"/>
              </w:rPr>
              <w:t>）</w:t>
            </w:r>
          </w:p>
        </w:tc>
      </w:tr>
      <w:tr w:rsidR="006002E2">
        <w:trPr>
          <w:cantSplit/>
          <w:jc w:val="center"/>
        </w:trPr>
        <w:tc>
          <w:tcPr>
            <w:tcW w:w="4531" w:type="dxa"/>
            <w:gridSpan w:val="2"/>
            <w:vAlign w:val="center"/>
          </w:tcPr>
          <w:p w:rsidR="006002E2" w:rsidRDefault="003A3E2D">
            <w:pPr>
              <w:rPr>
                <w:rFonts w:ascii="宋体" w:hAnsi="宋体"/>
                <w:color w:val="000000"/>
                <w:kern w:val="0"/>
                <w:sz w:val="24"/>
              </w:rPr>
            </w:pPr>
            <w:r>
              <w:rPr>
                <w:rFonts w:ascii="宋体" w:hAnsi="宋体" w:hint="eastAsia"/>
                <w:color w:val="000000"/>
                <w:sz w:val="24"/>
              </w:rPr>
              <w:t>基金简称</w:t>
            </w:r>
          </w:p>
        </w:tc>
        <w:tc>
          <w:tcPr>
            <w:tcW w:w="5676" w:type="dxa"/>
            <w:vAlign w:val="center"/>
          </w:tcPr>
          <w:p w:rsidR="006002E2" w:rsidRDefault="003A3E2D">
            <w:pPr>
              <w:rPr>
                <w:rFonts w:ascii="宋体" w:hAnsi="宋体"/>
                <w:color w:val="000000"/>
                <w:kern w:val="0"/>
                <w:sz w:val="24"/>
              </w:rPr>
            </w:pPr>
            <w:r>
              <w:rPr>
                <w:rFonts w:ascii="宋体" w:hAnsi="宋体" w:hint="eastAsia"/>
                <w:color w:val="000000"/>
                <w:kern w:val="0"/>
                <w:sz w:val="24"/>
              </w:rPr>
              <w:t>富国标普石油天然气勘探及生产精选行业</w:t>
            </w:r>
            <w:r>
              <w:rPr>
                <w:rFonts w:ascii="宋体" w:hAnsi="宋体" w:hint="eastAsia"/>
                <w:color w:val="000000"/>
                <w:kern w:val="0"/>
                <w:sz w:val="24"/>
              </w:rPr>
              <w:t>ETF</w:t>
            </w:r>
            <w:r>
              <w:rPr>
                <w:rFonts w:ascii="宋体" w:hAnsi="宋体" w:hint="eastAsia"/>
                <w:color w:val="000000"/>
                <w:kern w:val="0"/>
                <w:sz w:val="24"/>
              </w:rPr>
              <w:t>（</w:t>
            </w:r>
            <w:r>
              <w:rPr>
                <w:rFonts w:ascii="宋体" w:hAnsi="宋体" w:hint="eastAsia"/>
                <w:color w:val="000000"/>
                <w:kern w:val="0"/>
                <w:sz w:val="24"/>
              </w:rPr>
              <w:t>QDII</w:t>
            </w:r>
            <w:r>
              <w:rPr>
                <w:rFonts w:ascii="宋体" w:hAnsi="宋体" w:hint="eastAsia"/>
                <w:color w:val="000000"/>
                <w:kern w:val="0"/>
                <w:sz w:val="24"/>
              </w:rPr>
              <w:t>）</w:t>
            </w:r>
          </w:p>
        </w:tc>
      </w:tr>
      <w:tr w:rsidR="006002E2">
        <w:trPr>
          <w:cantSplit/>
          <w:jc w:val="center"/>
        </w:trPr>
        <w:tc>
          <w:tcPr>
            <w:tcW w:w="4531" w:type="dxa"/>
            <w:gridSpan w:val="2"/>
            <w:vAlign w:val="center"/>
          </w:tcPr>
          <w:p w:rsidR="006002E2" w:rsidRDefault="003A3E2D">
            <w:pPr>
              <w:rPr>
                <w:rFonts w:ascii="宋体" w:hAnsi="宋体"/>
                <w:color w:val="000000"/>
                <w:kern w:val="0"/>
                <w:sz w:val="24"/>
              </w:rPr>
            </w:pPr>
            <w:r>
              <w:rPr>
                <w:rFonts w:ascii="宋体" w:hAnsi="宋体" w:hint="eastAsia"/>
                <w:color w:val="000000"/>
                <w:sz w:val="24"/>
              </w:rPr>
              <w:t>基金主代码</w:t>
            </w:r>
          </w:p>
        </w:tc>
        <w:tc>
          <w:tcPr>
            <w:tcW w:w="5676" w:type="dxa"/>
            <w:vAlign w:val="center"/>
          </w:tcPr>
          <w:p w:rsidR="006002E2" w:rsidRDefault="003A3E2D">
            <w:pPr>
              <w:rPr>
                <w:rFonts w:ascii="宋体" w:hAnsi="宋体"/>
                <w:color w:val="000000"/>
                <w:kern w:val="0"/>
                <w:sz w:val="24"/>
              </w:rPr>
            </w:pPr>
            <w:r>
              <w:rPr>
                <w:rFonts w:ascii="宋体" w:hAnsi="宋体" w:hint="eastAsia"/>
                <w:color w:val="000000"/>
                <w:kern w:val="0"/>
                <w:sz w:val="24"/>
              </w:rPr>
              <w:t>513350</w:t>
            </w:r>
          </w:p>
        </w:tc>
      </w:tr>
      <w:tr w:rsidR="006002E2">
        <w:trPr>
          <w:cantSplit/>
          <w:jc w:val="center"/>
        </w:trPr>
        <w:tc>
          <w:tcPr>
            <w:tcW w:w="4531" w:type="dxa"/>
            <w:gridSpan w:val="2"/>
            <w:vAlign w:val="center"/>
          </w:tcPr>
          <w:p w:rsidR="006002E2" w:rsidRDefault="003A3E2D">
            <w:pPr>
              <w:rPr>
                <w:rFonts w:ascii="宋体" w:hAnsi="宋体"/>
                <w:color w:val="000000"/>
                <w:kern w:val="0"/>
                <w:sz w:val="24"/>
              </w:rPr>
            </w:pPr>
            <w:r>
              <w:rPr>
                <w:rFonts w:ascii="宋体" w:hAnsi="宋体" w:hint="eastAsia"/>
                <w:color w:val="000000"/>
                <w:sz w:val="24"/>
              </w:rPr>
              <w:t>基金管理人名称</w:t>
            </w:r>
          </w:p>
        </w:tc>
        <w:tc>
          <w:tcPr>
            <w:tcW w:w="5676" w:type="dxa"/>
            <w:vAlign w:val="center"/>
          </w:tcPr>
          <w:p w:rsidR="006002E2" w:rsidRDefault="003A3E2D">
            <w:pPr>
              <w:rPr>
                <w:rFonts w:ascii="宋体" w:hAnsi="宋体"/>
                <w:color w:val="000000"/>
                <w:kern w:val="0"/>
                <w:sz w:val="24"/>
              </w:rPr>
            </w:pPr>
            <w:r>
              <w:rPr>
                <w:rFonts w:ascii="宋体" w:hAnsi="宋体" w:hint="eastAsia"/>
                <w:color w:val="000000"/>
                <w:kern w:val="0"/>
                <w:sz w:val="24"/>
              </w:rPr>
              <w:t>富国基金管理有限公司</w:t>
            </w:r>
          </w:p>
        </w:tc>
      </w:tr>
      <w:tr w:rsidR="006002E2">
        <w:trPr>
          <w:cantSplit/>
          <w:jc w:val="center"/>
        </w:trPr>
        <w:tc>
          <w:tcPr>
            <w:tcW w:w="4531" w:type="dxa"/>
            <w:gridSpan w:val="2"/>
            <w:vAlign w:val="center"/>
          </w:tcPr>
          <w:p w:rsidR="006002E2" w:rsidRDefault="003A3E2D">
            <w:pPr>
              <w:rPr>
                <w:rFonts w:ascii="宋体" w:hAnsi="宋体"/>
                <w:color w:val="000000"/>
                <w:kern w:val="0"/>
                <w:sz w:val="24"/>
              </w:rPr>
            </w:pPr>
            <w:r>
              <w:rPr>
                <w:rFonts w:ascii="宋体" w:hAnsi="宋体" w:hint="eastAsia"/>
                <w:color w:val="000000"/>
                <w:sz w:val="24"/>
              </w:rPr>
              <w:t>公告依据</w:t>
            </w:r>
          </w:p>
        </w:tc>
        <w:tc>
          <w:tcPr>
            <w:tcW w:w="5676" w:type="dxa"/>
            <w:vAlign w:val="center"/>
          </w:tcPr>
          <w:p w:rsidR="006002E2" w:rsidRDefault="003A3E2D">
            <w:pPr>
              <w:rPr>
                <w:rFonts w:ascii="宋体" w:hAnsi="宋体"/>
                <w:color w:val="000000"/>
                <w:kern w:val="0"/>
                <w:sz w:val="24"/>
              </w:rPr>
            </w:pPr>
            <w:r>
              <w:rPr>
                <w:rFonts w:ascii="宋体" w:hAnsi="宋体" w:hint="eastAsia"/>
                <w:color w:val="000000"/>
                <w:kern w:val="0"/>
                <w:sz w:val="24"/>
              </w:rPr>
              <w:t>《中华人民共和国证券投资基金法》及配套法规、《富国标普石油天然气勘探及生产精选行业交易型开放式指数证券投资基金（</w:t>
            </w:r>
            <w:r>
              <w:rPr>
                <w:rFonts w:ascii="宋体" w:hAnsi="宋体" w:hint="eastAsia"/>
                <w:color w:val="000000"/>
                <w:kern w:val="0"/>
                <w:sz w:val="24"/>
              </w:rPr>
              <w:t>QDII</w:t>
            </w:r>
            <w:r>
              <w:rPr>
                <w:rFonts w:ascii="宋体" w:hAnsi="宋体" w:hint="eastAsia"/>
                <w:color w:val="000000"/>
                <w:kern w:val="0"/>
                <w:sz w:val="24"/>
              </w:rPr>
              <w:t>）基金合同》、《富国标普石油天然气勘探及生产精选行业交易型开放式指数证券投资基金（</w:t>
            </w:r>
            <w:r>
              <w:rPr>
                <w:rFonts w:ascii="宋体" w:hAnsi="宋体" w:hint="eastAsia"/>
                <w:color w:val="000000"/>
                <w:kern w:val="0"/>
                <w:sz w:val="24"/>
              </w:rPr>
              <w:t>QDII</w:t>
            </w:r>
            <w:r>
              <w:rPr>
                <w:rFonts w:ascii="宋体" w:hAnsi="宋体" w:hint="eastAsia"/>
                <w:color w:val="000000"/>
                <w:kern w:val="0"/>
                <w:sz w:val="24"/>
              </w:rPr>
              <w:t>）招募说明书》及其更新等</w:t>
            </w:r>
          </w:p>
        </w:tc>
      </w:tr>
      <w:tr w:rsidR="006002E2">
        <w:trPr>
          <w:cantSplit/>
          <w:jc w:val="center"/>
        </w:trPr>
        <w:tc>
          <w:tcPr>
            <w:tcW w:w="1838" w:type="dxa"/>
            <w:vMerge w:val="restart"/>
            <w:vAlign w:val="center"/>
          </w:tcPr>
          <w:p w:rsidR="006002E2" w:rsidRDefault="003A3E2D">
            <w:pPr>
              <w:spacing w:after="59" w:line="264" w:lineRule="auto"/>
              <w:rPr>
                <w:rFonts w:ascii="宋体" w:hAnsi="宋体"/>
                <w:color w:val="000000"/>
                <w:sz w:val="24"/>
              </w:rPr>
            </w:pPr>
            <w:r>
              <w:rPr>
                <w:rFonts w:ascii="宋体" w:hAnsi="宋体"/>
                <w:color w:val="000000"/>
                <w:sz w:val="24"/>
              </w:rPr>
              <w:t>暂停相关业务的起始日及原因说明</w:t>
            </w:r>
            <w:r>
              <w:rPr>
                <w:rFonts w:ascii="宋体" w:hAnsi="宋体"/>
                <w:color w:val="000000"/>
                <w:sz w:val="24"/>
              </w:rPr>
              <w:t xml:space="preserve"> </w:t>
            </w:r>
          </w:p>
        </w:tc>
        <w:tc>
          <w:tcPr>
            <w:tcW w:w="2693" w:type="dxa"/>
            <w:vAlign w:val="center"/>
          </w:tcPr>
          <w:p w:rsidR="006002E2" w:rsidRDefault="003A3E2D">
            <w:pPr>
              <w:spacing w:line="276" w:lineRule="auto"/>
              <w:rPr>
                <w:rFonts w:ascii="宋体" w:hAnsi="宋体"/>
                <w:color w:val="000000"/>
                <w:sz w:val="24"/>
              </w:rPr>
            </w:pPr>
            <w:r>
              <w:rPr>
                <w:rFonts w:ascii="宋体" w:hAnsi="宋体"/>
                <w:color w:val="000000"/>
                <w:sz w:val="24"/>
              </w:rPr>
              <w:t>暂停申购起始日</w:t>
            </w:r>
            <w:r>
              <w:rPr>
                <w:rFonts w:ascii="宋体" w:hAnsi="宋体"/>
                <w:color w:val="000000"/>
                <w:sz w:val="24"/>
              </w:rPr>
              <w:t xml:space="preserve">  </w:t>
            </w:r>
          </w:p>
        </w:tc>
        <w:tc>
          <w:tcPr>
            <w:tcW w:w="5676" w:type="dxa"/>
            <w:vAlign w:val="center"/>
          </w:tcPr>
          <w:p w:rsidR="006002E2" w:rsidRDefault="003A3E2D">
            <w:pPr>
              <w:spacing w:line="276" w:lineRule="auto"/>
              <w:rPr>
                <w:rFonts w:ascii="宋体" w:hAnsi="宋体"/>
                <w:color w:val="000000"/>
                <w:sz w:val="24"/>
              </w:rPr>
            </w:pP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11</w:t>
            </w:r>
            <w:r>
              <w:rPr>
                <w:rFonts w:ascii="宋体" w:hAnsi="宋体" w:hint="eastAsia"/>
                <w:color w:val="000000"/>
                <w:sz w:val="24"/>
              </w:rPr>
              <w:t>月</w:t>
            </w:r>
            <w:r>
              <w:rPr>
                <w:rFonts w:ascii="宋体" w:hAnsi="宋体" w:hint="eastAsia"/>
                <w:color w:val="000000"/>
                <w:sz w:val="24"/>
              </w:rPr>
              <w:t>17</w:t>
            </w:r>
            <w:r>
              <w:rPr>
                <w:rFonts w:ascii="宋体" w:hAnsi="宋体" w:hint="eastAsia"/>
                <w:color w:val="000000"/>
                <w:sz w:val="24"/>
              </w:rPr>
              <w:t>日</w:t>
            </w:r>
          </w:p>
        </w:tc>
      </w:tr>
      <w:tr w:rsidR="006002E2">
        <w:trPr>
          <w:cantSplit/>
          <w:jc w:val="center"/>
        </w:trPr>
        <w:tc>
          <w:tcPr>
            <w:tcW w:w="1838" w:type="dxa"/>
            <w:vMerge/>
            <w:vAlign w:val="center"/>
          </w:tcPr>
          <w:p w:rsidR="006002E2" w:rsidRDefault="006002E2">
            <w:pPr>
              <w:rPr>
                <w:rFonts w:ascii="宋体" w:hAnsi="宋体"/>
                <w:color w:val="000000"/>
                <w:sz w:val="24"/>
              </w:rPr>
            </w:pPr>
          </w:p>
        </w:tc>
        <w:tc>
          <w:tcPr>
            <w:tcW w:w="2693" w:type="dxa"/>
            <w:vAlign w:val="center"/>
          </w:tcPr>
          <w:p w:rsidR="006002E2" w:rsidRDefault="003A3E2D">
            <w:pPr>
              <w:rPr>
                <w:rFonts w:ascii="宋体" w:hAnsi="宋体"/>
                <w:color w:val="000000"/>
                <w:sz w:val="24"/>
              </w:rPr>
            </w:pPr>
            <w:r>
              <w:rPr>
                <w:rFonts w:ascii="宋体" w:hAnsi="宋体"/>
                <w:color w:val="000000"/>
                <w:sz w:val="24"/>
              </w:rPr>
              <w:t>暂停申购的原因说明</w:t>
            </w:r>
            <w:r>
              <w:rPr>
                <w:rFonts w:ascii="宋体" w:hAnsi="宋体"/>
                <w:color w:val="000000"/>
                <w:sz w:val="24"/>
              </w:rPr>
              <w:t xml:space="preserve"> </w:t>
            </w:r>
          </w:p>
        </w:tc>
        <w:tc>
          <w:tcPr>
            <w:tcW w:w="5676" w:type="dxa"/>
            <w:vAlign w:val="center"/>
          </w:tcPr>
          <w:p w:rsidR="006002E2" w:rsidRDefault="003A3E2D">
            <w:pPr>
              <w:rPr>
                <w:rFonts w:ascii="宋体" w:hAnsi="宋体"/>
                <w:color w:val="000000"/>
                <w:sz w:val="24"/>
              </w:rPr>
            </w:pPr>
            <w:r>
              <w:rPr>
                <w:rFonts w:ascii="宋体" w:hAnsi="宋体" w:hint="eastAsia"/>
                <w:color w:val="000000"/>
                <w:sz w:val="24"/>
              </w:rPr>
              <w:t>为了保证基金的平稳运作，保护基金持有人的利益。</w:t>
            </w:r>
          </w:p>
        </w:tc>
      </w:tr>
    </w:tbl>
    <w:p w:rsidR="006002E2" w:rsidRDefault="003A3E2D">
      <w:pPr>
        <w:pStyle w:val="a"/>
      </w:pPr>
      <w:r>
        <w:t>其他需要提示的事项</w:t>
      </w:r>
    </w:p>
    <w:p w:rsidR="006002E2" w:rsidRDefault="003A3E2D">
      <w:pPr>
        <w:ind w:firstLine="420"/>
        <w:rPr>
          <w:color w:val="000000"/>
          <w:sz w:val="24"/>
        </w:rPr>
      </w:pPr>
      <w:r>
        <w:rPr>
          <w:color w:val="000000"/>
          <w:sz w:val="24"/>
        </w:rPr>
        <w:t>1</w:t>
      </w:r>
      <w:r>
        <w:rPr>
          <w:color w:val="000000"/>
          <w:sz w:val="24"/>
        </w:rPr>
        <w:t>、在暂停本基金的申购业务期间，本基金的赎回等业务正常办理。</w:t>
      </w:r>
    </w:p>
    <w:p w:rsidR="006002E2" w:rsidRDefault="003A3E2D">
      <w:pPr>
        <w:ind w:firstLine="420"/>
        <w:rPr>
          <w:color w:val="000000"/>
          <w:sz w:val="24"/>
        </w:rPr>
      </w:pPr>
      <w:r>
        <w:rPr>
          <w:color w:val="000000"/>
          <w:sz w:val="24"/>
        </w:rPr>
        <w:t>2</w:t>
      </w:r>
      <w:r>
        <w:rPr>
          <w:color w:val="000000"/>
          <w:sz w:val="24"/>
        </w:rPr>
        <w:t>、关于恢复本基金申购业务的时间，基金管理人将另行公告。</w:t>
      </w:r>
    </w:p>
    <w:p w:rsidR="006002E2" w:rsidRDefault="003A3E2D">
      <w:pPr>
        <w:ind w:firstLine="420"/>
        <w:rPr>
          <w:color w:val="000000"/>
          <w:sz w:val="24"/>
        </w:rPr>
      </w:pPr>
      <w:r>
        <w:rPr>
          <w:color w:val="000000"/>
          <w:sz w:val="24"/>
        </w:rPr>
        <w:t>3</w:t>
      </w:r>
      <w:r>
        <w:rPr>
          <w:color w:val="000000"/>
          <w:sz w:val="24"/>
        </w:rPr>
        <w:t>、投资者可以登录富国基金管理有限公司网站</w:t>
      </w:r>
      <w:r>
        <w:rPr>
          <w:color w:val="000000"/>
          <w:sz w:val="24"/>
        </w:rPr>
        <w:t>www.fullgoal.com.cn</w:t>
      </w:r>
      <w:r>
        <w:rPr>
          <w:color w:val="000000"/>
          <w:sz w:val="24"/>
        </w:rPr>
        <w:t>或拨打富国基金管理有限公司客户服务热线</w:t>
      </w:r>
      <w:r>
        <w:rPr>
          <w:color w:val="000000"/>
          <w:sz w:val="24"/>
        </w:rPr>
        <w:t>95105686</w:t>
      </w:r>
      <w:r>
        <w:rPr>
          <w:color w:val="000000"/>
          <w:sz w:val="24"/>
        </w:rPr>
        <w:t>、</w:t>
      </w:r>
      <w:r>
        <w:rPr>
          <w:color w:val="000000"/>
          <w:sz w:val="24"/>
        </w:rPr>
        <w:t>4008880688</w:t>
      </w:r>
      <w:r>
        <w:rPr>
          <w:color w:val="000000"/>
          <w:sz w:val="24"/>
        </w:rPr>
        <w:t>（全国统一，均免长途费）进行相关咨询。</w:t>
      </w:r>
    </w:p>
    <w:p w:rsidR="006002E2" w:rsidRDefault="003A3E2D">
      <w:pPr>
        <w:ind w:firstLine="420"/>
        <w:rPr>
          <w:color w:val="000000"/>
          <w:sz w:val="24"/>
        </w:rPr>
      </w:pPr>
      <w:r>
        <w:rPr>
          <w:color w:val="000000"/>
          <w:sz w:val="24"/>
        </w:rPr>
        <w:t>4</w:t>
      </w:r>
      <w:r>
        <w:rPr>
          <w:color w:val="000000"/>
          <w:sz w:val="24"/>
        </w:rPr>
        <w:t>、风险提示：本公司承诺以诚实信用、勤勉尽责的原则管理和运用基金资产，但不保证基金一定盈利，也不保证最低收益。敬请投资者注意投资风险。投资者投资于上述基金前应认真阅读基金的基金合同、更新的招募说明书及相关公告。</w:t>
      </w:r>
      <w:bookmarkStart w:id="0" w:name="_GoBack"/>
      <w:bookmarkEnd w:id="0"/>
    </w:p>
    <w:p w:rsidR="006002E2" w:rsidRDefault="003A3E2D">
      <w:pPr>
        <w:ind w:firstLine="420"/>
        <w:rPr>
          <w:color w:val="000000"/>
          <w:sz w:val="24"/>
        </w:rPr>
      </w:pPr>
      <w:r>
        <w:rPr>
          <w:color w:val="000000"/>
          <w:sz w:val="24"/>
        </w:rPr>
        <w:t>特此公告。</w:t>
      </w:r>
    </w:p>
    <w:p w:rsidR="006002E2" w:rsidRDefault="003A3E2D">
      <w:pPr>
        <w:jc w:val="right"/>
        <w:rPr>
          <w:rFonts w:ascii="宋体" w:hAnsi="宋体"/>
          <w:color w:val="000000"/>
          <w:kern w:val="0"/>
          <w:sz w:val="24"/>
        </w:rPr>
      </w:pPr>
      <w:r>
        <w:rPr>
          <w:rFonts w:ascii="宋体" w:hAnsi="宋体" w:hint="eastAsia"/>
          <w:color w:val="000000"/>
          <w:kern w:val="0"/>
          <w:sz w:val="24"/>
        </w:rPr>
        <w:t>富国基金管理有限公司</w:t>
      </w:r>
    </w:p>
    <w:p w:rsidR="006002E2" w:rsidRDefault="003A3E2D">
      <w:pPr>
        <w:jc w:val="right"/>
        <w:rPr>
          <w:rFonts w:ascii="宋体" w:hAnsi="宋体"/>
          <w:color w:val="000000"/>
          <w:kern w:val="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w:t>
      </w:r>
      <w:r>
        <w:rPr>
          <w:rFonts w:ascii="宋体" w:hAnsi="宋体" w:hint="eastAsia"/>
          <w:color w:val="000000"/>
          <w:kern w:val="0"/>
          <w:sz w:val="24"/>
        </w:rPr>
        <w:t>1</w:t>
      </w:r>
      <w:r>
        <w:rPr>
          <w:rFonts w:ascii="宋体" w:hAnsi="宋体" w:hint="eastAsia"/>
          <w:color w:val="000000"/>
          <w:kern w:val="0"/>
          <w:sz w:val="24"/>
        </w:rPr>
        <w:t>月</w:t>
      </w:r>
      <w:r>
        <w:rPr>
          <w:rFonts w:ascii="宋体" w:hAnsi="宋体" w:hint="eastAsia"/>
          <w:color w:val="000000"/>
          <w:kern w:val="0"/>
          <w:sz w:val="24"/>
        </w:rPr>
        <w:t>17</w:t>
      </w:r>
      <w:r>
        <w:rPr>
          <w:rFonts w:ascii="宋体" w:hAnsi="宋体" w:hint="eastAsia"/>
          <w:color w:val="000000"/>
          <w:kern w:val="0"/>
          <w:sz w:val="24"/>
        </w:rPr>
        <w:t>日</w:t>
      </w:r>
    </w:p>
    <w:sectPr w:rsidR="006002E2" w:rsidSect="006002E2">
      <w:pgSz w:w="11906" w:h="16838"/>
      <w:pgMar w:top="2268" w:right="2268" w:bottom="2268" w:left="2268"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755180"/>
    <w:multiLevelType w:val="multilevel"/>
    <w:tmpl w:val="63755180"/>
    <w:lvl w:ilvl="0">
      <w:start w:val="1"/>
      <w:numFmt w:val="decimal"/>
      <w:pStyle w:val="1"/>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B4426EE"/>
    <w:multiLevelType w:val="multilevel"/>
    <w:tmpl w:val="7B4426EE"/>
    <w:lvl w:ilvl="0">
      <w:start w:val="1"/>
      <w:numFmt w:val="decimal"/>
      <w:pStyle w:val="a"/>
      <w:suff w:val="space"/>
      <w:lvlText w:val="%1."/>
      <w:lvlJc w:val="left"/>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87F42"/>
    <w:rsid w:val="000321DE"/>
    <w:rsid w:val="00032D94"/>
    <w:rsid w:val="000455FD"/>
    <w:rsid w:val="000634F0"/>
    <w:rsid w:val="000819CB"/>
    <w:rsid w:val="000B15ED"/>
    <w:rsid w:val="000B5FFC"/>
    <w:rsid w:val="000D013A"/>
    <w:rsid w:val="000D09B6"/>
    <w:rsid w:val="000D34BA"/>
    <w:rsid w:val="00103B85"/>
    <w:rsid w:val="00124A37"/>
    <w:rsid w:val="00125246"/>
    <w:rsid w:val="001434F1"/>
    <w:rsid w:val="00160463"/>
    <w:rsid w:val="0017409F"/>
    <w:rsid w:val="001A23F3"/>
    <w:rsid w:val="001C6EF6"/>
    <w:rsid w:val="001E3807"/>
    <w:rsid w:val="002246FB"/>
    <w:rsid w:val="00242AF0"/>
    <w:rsid w:val="002553C3"/>
    <w:rsid w:val="0025618E"/>
    <w:rsid w:val="00281AE2"/>
    <w:rsid w:val="00282DEB"/>
    <w:rsid w:val="00293001"/>
    <w:rsid w:val="00297C7D"/>
    <w:rsid w:val="002A383F"/>
    <w:rsid w:val="002D4627"/>
    <w:rsid w:val="002D4A9A"/>
    <w:rsid w:val="002D774C"/>
    <w:rsid w:val="00335FBE"/>
    <w:rsid w:val="0033773A"/>
    <w:rsid w:val="00340BC0"/>
    <w:rsid w:val="00363752"/>
    <w:rsid w:val="003673E9"/>
    <w:rsid w:val="00370B6E"/>
    <w:rsid w:val="00387F42"/>
    <w:rsid w:val="00393457"/>
    <w:rsid w:val="00397CAB"/>
    <w:rsid w:val="003A3E2D"/>
    <w:rsid w:val="003B4695"/>
    <w:rsid w:val="003B74CD"/>
    <w:rsid w:val="003C2515"/>
    <w:rsid w:val="003C6409"/>
    <w:rsid w:val="003F07FE"/>
    <w:rsid w:val="00400574"/>
    <w:rsid w:val="00422CC6"/>
    <w:rsid w:val="0046512C"/>
    <w:rsid w:val="00467B56"/>
    <w:rsid w:val="00473206"/>
    <w:rsid w:val="00475730"/>
    <w:rsid w:val="00492A32"/>
    <w:rsid w:val="004A0315"/>
    <w:rsid w:val="004D08A0"/>
    <w:rsid w:val="004E7045"/>
    <w:rsid w:val="00507A11"/>
    <w:rsid w:val="0051160B"/>
    <w:rsid w:val="00513F60"/>
    <w:rsid w:val="00544911"/>
    <w:rsid w:val="00552AD6"/>
    <w:rsid w:val="005929FF"/>
    <w:rsid w:val="005A3FF7"/>
    <w:rsid w:val="005A6FFF"/>
    <w:rsid w:val="005F1E8E"/>
    <w:rsid w:val="006002E2"/>
    <w:rsid w:val="0061664E"/>
    <w:rsid w:val="00627A7F"/>
    <w:rsid w:val="00627E9A"/>
    <w:rsid w:val="006462FC"/>
    <w:rsid w:val="00660B3C"/>
    <w:rsid w:val="00684853"/>
    <w:rsid w:val="006915BB"/>
    <w:rsid w:val="006D382F"/>
    <w:rsid w:val="006F0CFF"/>
    <w:rsid w:val="006F26F9"/>
    <w:rsid w:val="007158BF"/>
    <w:rsid w:val="00752807"/>
    <w:rsid w:val="007D4DDF"/>
    <w:rsid w:val="007E2B84"/>
    <w:rsid w:val="00804656"/>
    <w:rsid w:val="008162FD"/>
    <w:rsid w:val="00821974"/>
    <w:rsid w:val="008256C6"/>
    <w:rsid w:val="0083283D"/>
    <w:rsid w:val="00846ED6"/>
    <w:rsid w:val="0087552A"/>
    <w:rsid w:val="0089500E"/>
    <w:rsid w:val="00897A96"/>
    <w:rsid w:val="008A16E2"/>
    <w:rsid w:val="008E08B6"/>
    <w:rsid w:val="009269A3"/>
    <w:rsid w:val="00930914"/>
    <w:rsid w:val="00932CA8"/>
    <w:rsid w:val="009413D9"/>
    <w:rsid w:val="00961000"/>
    <w:rsid w:val="009752B9"/>
    <w:rsid w:val="009E3371"/>
    <w:rsid w:val="009F21A3"/>
    <w:rsid w:val="00A04FD8"/>
    <w:rsid w:val="00A06FF9"/>
    <w:rsid w:val="00A54746"/>
    <w:rsid w:val="00A90AC9"/>
    <w:rsid w:val="00AC478E"/>
    <w:rsid w:val="00AF02DA"/>
    <w:rsid w:val="00B020E2"/>
    <w:rsid w:val="00B039C5"/>
    <w:rsid w:val="00B23342"/>
    <w:rsid w:val="00B252A6"/>
    <w:rsid w:val="00B27512"/>
    <w:rsid w:val="00B37EDF"/>
    <w:rsid w:val="00B5552F"/>
    <w:rsid w:val="00B82CD1"/>
    <w:rsid w:val="00BA0B26"/>
    <w:rsid w:val="00BB0834"/>
    <w:rsid w:val="00BB3F60"/>
    <w:rsid w:val="00BB41FD"/>
    <w:rsid w:val="00BC2B20"/>
    <w:rsid w:val="00BD4EFC"/>
    <w:rsid w:val="00C0304E"/>
    <w:rsid w:val="00C14369"/>
    <w:rsid w:val="00C32EF7"/>
    <w:rsid w:val="00C563AF"/>
    <w:rsid w:val="00C82B41"/>
    <w:rsid w:val="00C8335E"/>
    <w:rsid w:val="00C84751"/>
    <w:rsid w:val="00C979D2"/>
    <w:rsid w:val="00CE7544"/>
    <w:rsid w:val="00D3544B"/>
    <w:rsid w:val="00D7653E"/>
    <w:rsid w:val="00D91D63"/>
    <w:rsid w:val="00DB794B"/>
    <w:rsid w:val="00DC1C3B"/>
    <w:rsid w:val="00E458D5"/>
    <w:rsid w:val="00E6133E"/>
    <w:rsid w:val="00E63817"/>
    <w:rsid w:val="00E663C8"/>
    <w:rsid w:val="00EC409E"/>
    <w:rsid w:val="00ED2EA3"/>
    <w:rsid w:val="00F04119"/>
    <w:rsid w:val="00F076FE"/>
    <w:rsid w:val="00F07740"/>
    <w:rsid w:val="00F93F60"/>
    <w:rsid w:val="00FD2AE2"/>
    <w:rsid w:val="0C563B48"/>
    <w:rsid w:val="1B28721C"/>
    <w:rsid w:val="1EDA4087"/>
    <w:rsid w:val="218302AE"/>
    <w:rsid w:val="260F767F"/>
    <w:rsid w:val="58E460CF"/>
    <w:rsid w:val="607A2E6B"/>
    <w:rsid w:val="64993277"/>
    <w:rsid w:val="66560C4D"/>
    <w:rsid w:val="6D5F02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semiHidden="1" w:unhideWhenUsed="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002E2"/>
    <w:pPr>
      <w:widowControl w:val="0"/>
      <w:jc w:val="both"/>
    </w:pPr>
    <w:rPr>
      <w:kern w:val="2"/>
      <w:sz w:val="21"/>
      <w:szCs w:val="24"/>
    </w:rPr>
  </w:style>
  <w:style w:type="paragraph" w:styleId="1">
    <w:name w:val="heading 1"/>
    <w:basedOn w:val="a0"/>
    <w:next w:val="a0"/>
    <w:uiPriority w:val="9"/>
    <w:qFormat/>
    <w:rsid w:val="006002E2"/>
    <w:pPr>
      <w:keepNext/>
      <w:keepLines/>
      <w:numPr>
        <w:numId w:val="1"/>
      </w:numPr>
      <w:spacing w:before="340" w:after="330" w:line="578" w:lineRule="auto"/>
      <w:outlineLvl w:val="0"/>
    </w:pPr>
    <w:rPr>
      <w:b/>
      <w:bCs/>
      <w:kern w:val="44"/>
      <w:sz w:val="44"/>
      <w:szCs w:val="44"/>
    </w:rPr>
  </w:style>
  <w:style w:type="paragraph" w:styleId="2">
    <w:name w:val="heading 2"/>
    <w:basedOn w:val="a0"/>
    <w:next w:val="a0"/>
    <w:qFormat/>
    <w:rsid w:val="006002E2"/>
    <w:pPr>
      <w:keepNext/>
      <w:keepLines/>
      <w:spacing w:before="260" w:after="260" w:line="415"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0"/>
    <w:semiHidden/>
    <w:qFormat/>
    <w:rsid w:val="006002E2"/>
    <w:pPr>
      <w:shd w:val="clear" w:color="auto" w:fill="000080"/>
    </w:pPr>
  </w:style>
  <w:style w:type="paragraph" w:styleId="3">
    <w:name w:val="toc 3"/>
    <w:autoRedefine/>
    <w:uiPriority w:val="39"/>
    <w:unhideWhenUsed/>
    <w:qFormat/>
    <w:rsid w:val="006002E2"/>
    <w:pPr>
      <w:spacing w:after="100"/>
      <w:ind w:left="440"/>
    </w:pPr>
  </w:style>
  <w:style w:type="paragraph" w:styleId="a5">
    <w:name w:val="Balloon Text"/>
    <w:link w:val="Char"/>
    <w:uiPriority w:val="99"/>
    <w:semiHidden/>
    <w:unhideWhenUsed/>
    <w:qFormat/>
    <w:rsid w:val="006002E2"/>
    <w:rPr>
      <w:rFonts w:ascii="Tahoma" w:hAnsi="Tahoma" w:cs="Tahoma"/>
      <w:sz w:val="16"/>
      <w:szCs w:val="16"/>
    </w:rPr>
  </w:style>
  <w:style w:type="paragraph" w:styleId="a6">
    <w:name w:val="footer"/>
    <w:basedOn w:val="a0"/>
    <w:link w:val="Char0"/>
    <w:qFormat/>
    <w:rsid w:val="006002E2"/>
    <w:pPr>
      <w:tabs>
        <w:tab w:val="center" w:pos="4153"/>
        <w:tab w:val="right" w:pos="8306"/>
      </w:tabs>
      <w:snapToGrid w:val="0"/>
      <w:jc w:val="left"/>
    </w:pPr>
    <w:rPr>
      <w:sz w:val="18"/>
      <w:szCs w:val="18"/>
    </w:rPr>
  </w:style>
  <w:style w:type="paragraph" w:styleId="a7">
    <w:name w:val="header"/>
    <w:basedOn w:val="a0"/>
    <w:link w:val="Char1"/>
    <w:qFormat/>
    <w:rsid w:val="006002E2"/>
    <w:pPr>
      <w:pBdr>
        <w:bottom w:val="single" w:sz="6" w:space="1" w:color="auto"/>
      </w:pBdr>
      <w:tabs>
        <w:tab w:val="center" w:pos="4153"/>
        <w:tab w:val="right" w:pos="8306"/>
      </w:tabs>
      <w:snapToGrid w:val="0"/>
      <w:jc w:val="center"/>
    </w:pPr>
    <w:rPr>
      <w:sz w:val="18"/>
      <w:szCs w:val="18"/>
    </w:rPr>
  </w:style>
  <w:style w:type="paragraph" w:styleId="10">
    <w:name w:val="toc 1"/>
    <w:autoRedefine/>
    <w:uiPriority w:val="39"/>
    <w:unhideWhenUsed/>
    <w:qFormat/>
    <w:rsid w:val="006002E2"/>
    <w:pPr>
      <w:spacing w:after="100"/>
    </w:pPr>
  </w:style>
  <w:style w:type="paragraph" w:styleId="4">
    <w:name w:val="toc 4"/>
    <w:autoRedefine/>
    <w:uiPriority w:val="39"/>
    <w:unhideWhenUsed/>
    <w:qFormat/>
    <w:rsid w:val="006002E2"/>
    <w:pPr>
      <w:spacing w:after="100"/>
      <w:ind w:left="660"/>
    </w:pPr>
  </w:style>
  <w:style w:type="paragraph" w:styleId="a8">
    <w:name w:val="footnote text"/>
    <w:basedOn w:val="a0"/>
    <w:qFormat/>
    <w:rsid w:val="006002E2"/>
    <w:pPr>
      <w:snapToGrid w:val="0"/>
      <w:jc w:val="left"/>
    </w:pPr>
    <w:rPr>
      <w:sz w:val="18"/>
      <w:szCs w:val="20"/>
    </w:rPr>
  </w:style>
  <w:style w:type="paragraph" w:styleId="20">
    <w:name w:val="toc 2"/>
    <w:autoRedefine/>
    <w:uiPriority w:val="39"/>
    <w:unhideWhenUsed/>
    <w:qFormat/>
    <w:rsid w:val="006002E2"/>
    <w:pPr>
      <w:spacing w:after="100"/>
      <w:ind w:left="220"/>
    </w:pPr>
  </w:style>
  <w:style w:type="paragraph" w:styleId="a">
    <w:name w:val="Title"/>
    <w:basedOn w:val="1"/>
    <w:next w:val="a0"/>
    <w:link w:val="Char2"/>
    <w:qFormat/>
    <w:rsid w:val="006002E2"/>
    <w:pPr>
      <w:numPr>
        <w:numId w:val="2"/>
      </w:numPr>
      <w:spacing w:before="120" w:after="120" w:line="360" w:lineRule="auto"/>
      <w:jc w:val="left"/>
    </w:pPr>
    <w:rPr>
      <w:rFonts w:ascii="Calibri" w:hAnsi="Calibri"/>
      <w:sz w:val="28"/>
      <w:lang w:val="zh-CN"/>
    </w:rPr>
  </w:style>
  <w:style w:type="character" w:styleId="a9">
    <w:name w:val="Hyperlink"/>
    <w:uiPriority w:val="99"/>
    <w:unhideWhenUsed/>
    <w:qFormat/>
    <w:rsid w:val="006002E2"/>
    <w:rPr>
      <w:color w:val="0563C1" w:themeColor="hyperlink"/>
      <w:u w:val="single"/>
    </w:rPr>
  </w:style>
  <w:style w:type="character" w:styleId="aa">
    <w:name w:val="footnote reference"/>
    <w:qFormat/>
    <w:rsid w:val="006002E2"/>
    <w:rPr>
      <w:vertAlign w:val="superscript"/>
    </w:rPr>
  </w:style>
  <w:style w:type="paragraph" w:customStyle="1" w:styleId="Char3">
    <w:name w:val="Char"/>
    <w:basedOn w:val="a0"/>
    <w:qFormat/>
    <w:rsid w:val="006002E2"/>
  </w:style>
  <w:style w:type="character" w:customStyle="1" w:styleId="Char1">
    <w:name w:val="页眉 Char"/>
    <w:link w:val="a7"/>
    <w:qFormat/>
    <w:rsid w:val="006002E2"/>
    <w:rPr>
      <w:kern w:val="2"/>
      <w:sz w:val="18"/>
      <w:szCs w:val="18"/>
    </w:rPr>
  </w:style>
  <w:style w:type="character" w:customStyle="1" w:styleId="Char0">
    <w:name w:val="页脚 Char"/>
    <w:link w:val="a6"/>
    <w:qFormat/>
    <w:rsid w:val="006002E2"/>
    <w:rPr>
      <w:kern w:val="2"/>
      <w:sz w:val="18"/>
      <w:szCs w:val="18"/>
    </w:rPr>
  </w:style>
  <w:style w:type="character" w:customStyle="1" w:styleId="Char2">
    <w:name w:val="标题 Char"/>
    <w:link w:val="a"/>
    <w:qFormat/>
    <w:rsid w:val="006002E2"/>
    <w:rPr>
      <w:rFonts w:ascii="Calibri" w:hAnsi="Calibri"/>
      <w:b/>
      <w:bCs/>
      <w:kern w:val="44"/>
      <w:sz w:val="28"/>
      <w:szCs w:val="44"/>
      <w:lang w:val="zh-CN" w:eastAsia="zh-CN"/>
    </w:rPr>
  </w:style>
  <w:style w:type="character" w:styleId="ab">
    <w:name w:val="Placeholder Text"/>
    <w:basedOn w:val="a1"/>
    <w:uiPriority w:val="99"/>
    <w:semiHidden/>
    <w:qFormat/>
    <w:rsid w:val="006002E2"/>
    <w:rPr>
      <w:color w:val="808080"/>
    </w:rPr>
  </w:style>
  <w:style w:type="paragraph" w:customStyle="1" w:styleId="TOC1">
    <w:name w:val="TOC 标题1"/>
    <w:uiPriority w:val="39"/>
    <w:semiHidden/>
    <w:unhideWhenUsed/>
    <w:qFormat/>
    <w:rsid w:val="006002E2"/>
    <w:rPr>
      <w:lang w:eastAsia="ja-JP"/>
    </w:rPr>
  </w:style>
  <w:style w:type="character" w:customStyle="1" w:styleId="Char">
    <w:name w:val="批注框文本 Char"/>
    <w:link w:val="a5"/>
    <w:uiPriority w:val="99"/>
    <w:semiHidden/>
    <w:qFormat/>
    <w:rsid w:val="006002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tNetWorkSpace\smartdoc\&#20849;&#21516;&#22522;&#37329;_&#20020;&#26102;&#20844;&#21578;(&#22522;&#37329;&#26242;&#20572;&#26085;&#24120;&#19994;&#21153;&#20844;&#21578;)_LS0000_&#20844;&#21215;&#20020;&#26102;&#20844;&#2157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共同基金_临时公告(基金暂停日常业务公告)_LS0000_公募临时公告.dotx</Template>
  <TotalTime>0</TotalTime>
  <Pages>1</Pages>
  <Words>102</Words>
  <Characters>586</Characters>
  <Application>Microsoft Office Word</Application>
  <DocSecurity>4</DocSecurity>
  <Lines>4</Lines>
  <Paragraphs>1</Paragraphs>
  <ScaleCrop>false</ScaleCrop>
  <Company>fullgoal</Company>
  <LinksUpToDate>false</LinksUpToDate>
  <CharactersWithSpaces>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关于富国纳斯达克100交易型开放式指数证券投资基金（QDII）暂停申购业务的公告</dc:title>
  <dc:creator>bianliya</dc:creator>
  <cp:lastModifiedBy>ZHONGM</cp:lastModifiedBy>
  <cp:revision>2</cp:revision>
  <dcterms:created xsi:type="dcterms:W3CDTF">2025-11-16T16:01:00Z</dcterms:created>
  <dcterms:modified xsi:type="dcterms:W3CDTF">2025-11-16T16:01:00Z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3ABB7E2E4CBA4EFCA09A27D9A256D2D2_13</vt:lpwstr>
  </property>
</Properties>
</file>