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92" w:rsidRDefault="00094192" w:rsidP="00094192">
      <w:pPr>
        <w:pStyle w:val="Default"/>
      </w:pPr>
    </w:p>
    <w:p w:rsidR="00094192" w:rsidRPr="005D4765" w:rsidRDefault="00094192" w:rsidP="00094192">
      <w:pPr>
        <w:pStyle w:val="a3"/>
      </w:pPr>
      <w:r>
        <w:t xml:space="preserve"> </w:t>
      </w:r>
      <w:bookmarkStart w:id="0" w:name="_GoBack"/>
      <w:r w:rsidRPr="005D4765">
        <w:rPr>
          <w:rFonts w:hint="eastAsia"/>
        </w:rPr>
        <w:t>关于增加部分销售机构为</w:t>
      </w:r>
      <w:r w:rsidR="00F01F16" w:rsidRPr="00F01F16">
        <w:rPr>
          <w:rFonts w:hint="eastAsia"/>
        </w:rPr>
        <w:t>富兰克林国海恒安</w:t>
      </w:r>
      <w:r w:rsidR="00F01F16" w:rsidRPr="00F01F16">
        <w:rPr>
          <w:rFonts w:hint="eastAsia"/>
        </w:rPr>
        <w:t>30</w:t>
      </w:r>
      <w:r w:rsidR="00F01F16" w:rsidRPr="00F01F16">
        <w:rPr>
          <w:rFonts w:hint="eastAsia"/>
        </w:rPr>
        <w:t>天持有期债券型证券投资基金</w:t>
      </w:r>
      <w:r w:rsidRPr="005D4765">
        <w:rPr>
          <w:rFonts w:hint="eastAsia"/>
        </w:rPr>
        <w:t>代销机构的公告</w:t>
      </w:r>
      <w:bookmarkEnd w:id="0"/>
      <w:r w:rsidRPr="005D4765">
        <w:t xml:space="preserve"> </w:t>
      </w:r>
    </w:p>
    <w:p w:rsidR="00094192" w:rsidRPr="005D4765" w:rsidRDefault="00094192" w:rsidP="00B6640A">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根据国海富兰克林基金管理有限公司（以下简称</w:t>
      </w:r>
      <w:r w:rsidRPr="005D4765">
        <w:rPr>
          <w:rFonts w:hAnsi="Times New Roman"/>
          <w:sz w:val="23"/>
          <w:szCs w:val="23"/>
        </w:rPr>
        <w:t>“</w:t>
      </w:r>
      <w:r w:rsidRPr="005D4765">
        <w:rPr>
          <w:rFonts w:hAnsi="Times New Roman" w:hint="eastAsia"/>
          <w:sz w:val="23"/>
          <w:szCs w:val="23"/>
        </w:rPr>
        <w:t>本公司</w:t>
      </w:r>
      <w:r w:rsidRPr="005D4765">
        <w:rPr>
          <w:rFonts w:hAnsi="Times New Roman"/>
          <w:sz w:val="23"/>
          <w:szCs w:val="23"/>
        </w:rPr>
        <w:t>”</w:t>
      </w:r>
      <w:r w:rsidRPr="005D4765">
        <w:rPr>
          <w:rFonts w:hAnsi="Times New Roman" w:hint="eastAsia"/>
          <w:sz w:val="23"/>
          <w:szCs w:val="23"/>
        </w:rPr>
        <w:t>）与以下机构签署的开放式证券投资基金销售和服务代理协议及相关补充协议，自</w:t>
      </w:r>
      <w:r w:rsidR="00BA3C80">
        <w:rPr>
          <w:rFonts w:hAnsi="Times New Roman" w:hint="eastAsia"/>
          <w:sz w:val="23"/>
          <w:szCs w:val="23"/>
        </w:rPr>
        <w:t>2025</w:t>
      </w:r>
      <w:r w:rsidRPr="005D4765">
        <w:rPr>
          <w:rFonts w:hAnsi="Times New Roman" w:hint="eastAsia"/>
          <w:sz w:val="23"/>
          <w:szCs w:val="23"/>
        </w:rPr>
        <w:t>年</w:t>
      </w:r>
      <w:r w:rsidR="00F01F16">
        <w:rPr>
          <w:rFonts w:hAnsi="Times New Roman" w:hint="eastAsia"/>
          <w:sz w:val="23"/>
          <w:szCs w:val="23"/>
        </w:rPr>
        <w:t>1</w:t>
      </w:r>
      <w:r w:rsidR="00F01F16">
        <w:rPr>
          <w:rFonts w:hAnsi="Times New Roman"/>
          <w:sz w:val="23"/>
          <w:szCs w:val="23"/>
        </w:rPr>
        <w:t>1</w:t>
      </w:r>
      <w:r w:rsidRPr="005D4765">
        <w:rPr>
          <w:rFonts w:hAnsi="Times New Roman" w:hint="eastAsia"/>
          <w:sz w:val="23"/>
          <w:szCs w:val="23"/>
        </w:rPr>
        <w:t>月</w:t>
      </w:r>
      <w:r w:rsidR="00133E8A">
        <w:rPr>
          <w:rFonts w:hAnsi="Times New Roman" w:hint="eastAsia"/>
          <w:sz w:val="23"/>
          <w:szCs w:val="23"/>
        </w:rPr>
        <w:t>1</w:t>
      </w:r>
      <w:r w:rsidR="00133E8A">
        <w:rPr>
          <w:rFonts w:hAnsi="Times New Roman"/>
          <w:sz w:val="23"/>
          <w:szCs w:val="23"/>
        </w:rPr>
        <w:t>7</w:t>
      </w:r>
      <w:r w:rsidRPr="005D4765">
        <w:rPr>
          <w:rFonts w:hAnsi="Times New Roman" w:hint="eastAsia"/>
          <w:sz w:val="23"/>
          <w:szCs w:val="23"/>
        </w:rPr>
        <w:t>日起，以下机构将代理本公司旗下</w:t>
      </w:r>
      <w:r w:rsidR="00F01F16" w:rsidRPr="00F01F16">
        <w:rPr>
          <w:rFonts w:hAnsi="Times New Roman" w:hint="eastAsia"/>
          <w:sz w:val="23"/>
          <w:szCs w:val="23"/>
        </w:rPr>
        <w:t>富兰克林国海恒安</w:t>
      </w:r>
      <w:r w:rsidR="00F01F16" w:rsidRPr="00F01F16">
        <w:rPr>
          <w:rFonts w:hAnsi="Times New Roman" w:hint="eastAsia"/>
          <w:sz w:val="23"/>
          <w:szCs w:val="23"/>
        </w:rPr>
        <w:t>30</w:t>
      </w:r>
      <w:r w:rsidR="00F01F16" w:rsidRPr="00F01F16">
        <w:rPr>
          <w:rFonts w:hAnsi="Times New Roman" w:hint="eastAsia"/>
          <w:sz w:val="23"/>
          <w:szCs w:val="23"/>
        </w:rPr>
        <w:t>天持有期债券型证券投资基金</w:t>
      </w:r>
      <w:r w:rsidRPr="005D4765">
        <w:rPr>
          <w:rFonts w:hAnsi="Times New Roman" w:hint="eastAsia"/>
          <w:sz w:val="23"/>
          <w:szCs w:val="23"/>
        </w:rPr>
        <w:t>（</w:t>
      </w:r>
      <w:r w:rsidR="00EA0548" w:rsidRPr="005D4765">
        <w:rPr>
          <w:rFonts w:hAnsi="Times New Roman" w:hint="eastAsia"/>
          <w:sz w:val="23"/>
          <w:szCs w:val="23"/>
        </w:rPr>
        <w:t>A</w:t>
      </w:r>
      <w:r w:rsidR="00EA0548" w:rsidRPr="005D4765">
        <w:rPr>
          <w:rFonts w:hAnsi="Times New Roman" w:hint="eastAsia"/>
          <w:sz w:val="23"/>
          <w:szCs w:val="23"/>
        </w:rPr>
        <w:t>类份额</w:t>
      </w:r>
      <w:r w:rsidRPr="005D4765">
        <w:rPr>
          <w:rFonts w:hAnsi="Times New Roman" w:hint="eastAsia"/>
          <w:sz w:val="23"/>
          <w:szCs w:val="23"/>
        </w:rPr>
        <w:t>代码：</w:t>
      </w:r>
      <w:r w:rsidR="00F01F16" w:rsidRPr="00F01F16">
        <w:rPr>
          <w:rFonts w:hAnsi="Times New Roman"/>
          <w:sz w:val="23"/>
          <w:szCs w:val="23"/>
        </w:rPr>
        <w:t>025563</w:t>
      </w:r>
      <w:r w:rsidRPr="005D4765">
        <w:rPr>
          <w:rFonts w:hAnsi="Times New Roman" w:hint="eastAsia"/>
          <w:sz w:val="23"/>
          <w:szCs w:val="23"/>
        </w:rPr>
        <w:t>，基金简称：</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EA0548" w:rsidRPr="005D4765">
        <w:rPr>
          <w:rFonts w:hAnsi="Times New Roman" w:hint="eastAsia"/>
          <w:sz w:val="23"/>
          <w:szCs w:val="23"/>
        </w:rPr>
        <w:t>；</w:t>
      </w:r>
      <w:r w:rsidR="00EA0548" w:rsidRPr="005D4765">
        <w:rPr>
          <w:rFonts w:hAnsi="Times New Roman" w:hint="eastAsia"/>
          <w:sz w:val="23"/>
          <w:szCs w:val="23"/>
        </w:rPr>
        <w:t>C</w:t>
      </w:r>
      <w:r w:rsidR="00EA0548" w:rsidRPr="005D4765">
        <w:rPr>
          <w:rFonts w:hAnsi="Times New Roman" w:hint="eastAsia"/>
          <w:sz w:val="23"/>
          <w:szCs w:val="23"/>
        </w:rPr>
        <w:t>类份额代码：</w:t>
      </w:r>
      <w:r w:rsidR="00F01F16">
        <w:rPr>
          <w:rFonts w:hAnsi="Times New Roman"/>
          <w:sz w:val="23"/>
          <w:szCs w:val="23"/>
        </w:rPr>
        <w:t>025564</w:t>
      </w:r>
      <w:r w:rsidR="00EA0548" w:rsidRPr="005D4765">
        <w:rPr>
          <w:rFonts w:hAnsi="Times New Roman" w:hint="eastAsia"/>
          <w:sz w:val="23"/>
          <w:szCs w:val="23"/>
        </w:rPr>
        <w:t>，</w:t>
      </w:r>
      <w:r w:rsidR="00EA0548" w:rsidRPr="005D4765">
        <w:rPr>
          <w:rFonts w:hAnsi="Times New Roman"/>
          <w:sz w:val="23"/>
          <w:szCs w:val="23"/>
        </w:rPr>
        <w:t>基金简称</w:t>
      </w:r>
      <w:r w:rsidR="00EA0548" w:rsidRPr="005D4765">
        <w:rPr>
          <w:rFonts w:hAnsi="Times New Roman" w:hint="eastAsia"/>
          <w:sz w:val="23"/>
          <w:szCs w:val="23"/>
        </w:rPr>
        <w:t>：</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65293D">
        <w:rPr>
          <w:rFonts w:hAnsi="Times New Roman" w:hint="eastAsia"/>
          <w:sz w:val="23"/>
          <w:szCs w:val="23"/>
        </w:rPr>
        <w:t>C</w:t>
      </w:r>
      <w:r w:rsidRPr="005D4765">
        <w:rPr>
          <w:rFonts w:hAnsi="Times New Roman" w:hint="eastAsia"/>
          <w:sz w:val="23"/>
          <w:szCs w:val="23"/>
        </w:rPr>
        <w:t>）的基金销售业务。投资者可通过以下代销机构办理</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EA0548" w:rsidRPr="005D4765">
        <w:rPr>
          <w:rFonts w:hAnsi="Times New Roman" w:hint="eastAsia"/>
          <w:sz w:val="23"/>
          <w:szCs w:val="23"/>
        </w:rPr>
        <w:t>和</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Pr>
          <w:rFonts w:hAnsi="Times New Roman" w:hint="eastAsia"/>
          <w:sz w:val="23"/>
          <w:szCs w:val="23"/>
        </w:rPr>
        <w:t>C</w:t>
      </w:r>
      <w:r w:rsidRPr="005D4765">
        <w:rPr>
          <w:rFonts w:hAnsi="Times New Roman" w:hint="eastAsia"/>
          <w:sz w:val="23"/>
          <w:szCs w:val="23"/>
        </w:rPr>
        <w:t>的认购业务。</w:t>
      </w:r>
      <w:r w:rsidRPr="005D4765">
        <w:rPr>
          <w:rFonts w:hAnsi="Times New Roman"/>
          <w:sz w:val="23"/>
          <w:szCs w:val="23"/>
        </w:rPr>
        <w:t xml:space="preserve"> </w:t>
      </w:r>
    </w:p>
    <w:p w:rsidR="00F43308" w:rsidRDefault="00094192" w:rsidP="00B6640A">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增加为</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sidRPr="00F01F16">
        <w:rPr>
          <w:rFonts w:hAnsi="Times New Roman" w:hint="eastAsia"/>
          <w:sz w:val="23"/>
          <w:szCs w:val="23"/>
        </w:rPr>
        <w:t>A</w:t>
      </w:r>
      <w:r w:rsidR="00804C18" w:rsidRPr="005D4765">
        <w:rPr>
          <w:rFonts w:hAnsi="Times New Roman" w:hint="eastAsia"/>
          <w:sz w:val="23"/>
          <w:szCs w:val="23"/>
        </w:rPr>
        <w:t>和</w:t>
      </w:r>
      <w:r w:rsidR="00F01F16" w:rsidRPr="00F01F16">
        <w:rPr>
          <w:rFonts w:hAnsi="Times New Roman" w:hint="eastAsia"/>
          <w:sz w:val="23"/>
          <w:szCs w:val="23"/>
        </w:rPr>
        <w:t>国富恒安</w:t>
      </w:r>
      <w:r w:rsidR="00F01F16" w:rsidRPr="00F01F16">
        <w:rPr>
          <w:rFonts w:hAnsi="Times New Roman" w:hint="eastAsia"/>
          <w:sz w:val="23"/>
          <w:szCs w:val="23"/>
        </w:rPr>
        <w:t>30</w:t>
      </w:r>
      <w:r w:rsidR="00F01F16" w:rsidRPr="00F01F16">
        <w:rPr>
          <w:rFonts w:hAnsi="Times New Roman" w:hint="eastAsia"/>
          <w:sz w:val="23"/>
          <w:szCs w:val="23"/>
        </w:rPr>
        <w:t>天持有期债券</w:t>
      </w:r>
      <w:r w:rsidR="00F01F16">
        <w:rPr>
          <w:rFonts w:hAnsi="Times New Roman" w:hint="eastAsia"/>
          <w:sz w:val="23"/>
          <w:szCs w:val="23"/>
        </w:rPr>
        <w:t>C</w:t>
      </w:r>
      <w:r w:rsidRPr="005D4765">
        <w:rPr>
          <w:rFonts w:hAnsi="Times New Roman" w:hint="eastAsia"/>
          <w:sz w:val="23"/>
          <w:szCs w:val="23"/>
        </w:rPr>
        <w:t>代销机构清单：</w:t>
      </w:r>
      <w:r w:rsidR="00144ACB" w:rsidRPr="00144ACB">
        <w:rPr>
          <w:rFonts w:hAnsi="Times New Roman" w:hint="eastAsia"/>
          <w:sz w:val="23"/>
          <w:szCs w:val="23"/>
        </w:rPr>
        <w:t>京东肯特瑞基金销售有限公司</w:t>
      </w:r>
      <w:r w:rsidRPr="005D4765">
        <w:rPr>
          <w:rFonts w:hAnsi="Times New Roman" w:hint="eastAsia"/>
          <w:sz w:val="23"/>
          <w:szCs w:val="23"/>
        </w:rPr>
        <w:t>。</w:t>
      </w:r>
      <w:r w:rsidRPr="005D4765">
        <w:rPr>
          <w:rFonts w:hAnsi="Times New Roman"/>
          <w:sz w:val="23"/>
          <w:szCs w:val="23"/>
        </w:rPr>
        <w:t xml:space="preserve"> </w:t>
      </w:r>
    </w:p>
    <w:p w:rsidR="008B075C" w:rsidRPr="00D64C33" w:rsidRDefault="008B075C" w:rsidP="00B6640A">
      <w:pPr>
        <w:widowControl/>
        <w:spacing w:afterLines="50" w:line="360" w:lineRule="auto"/>
        <w:ind w:firstLineChars="200" w:firstLine="460"/>
        <w:jc w:val="left"/>
        <w:rPr>
          <w:rFonts w:hAnsi="Times New Roman"/>
          <w:sz w:val="23"/>
          <w:szCs w:val="23"/>
        </w:rPr>
      </w:pPr>
    </w:p>
    <w:p w:rsidR="005A6ED6" w:rsidRPr="005A6ED6" w:rsidRDefault="00094192" w:rsidP="00B6640A">
      <w:pPr>
        <w:pStyle w:val="ac"/>
        <w:widowControl/>
        <w:numPr>
          <w:ilvl w:val="0"/>
          <w:numId w:val="2"/>
        </w:numPr>
        <w:spacing w:afterLines="50" w:line="360" w:lineRule="auto"/>
        <w:ind w:firstLineChars="0"/>
        <w:jc w:val="left"/>
        <w:rPr>
          <w:rFonts w:hAnsi="Times New Roman"/>
          <w:sz w:val="23"/>
          <w:szCs w:val="23"/>
        </w:rPr>
      </w:pPr>
      <w:r w:rsidRPr="005A6ED6">
        <w:rPr>
          <w:rFonts w:hAnsi="Times New Roman" w:hint="eastAsia"/>
          <w:sz w:val="23"/>
          <w:szCs w:val="23"/>
        </w:rPr>
        <w:t>投资者可以通过以下途径咨询有关情况：</w:t>
      </w:r>
      <w:r w:rsidRPr="005A6ED6">
        <w:rPr>
          <w:rFonts w:hAnsi="Times New Roman"/>
          <w:sz w:val="23"/>
          <w:szCs w:val="23"/>
        </w:rPr>
        <w:t xml:space="preserve"> </w:t>
      </w:r>
    </w:p>
    <w:p w:rsidR="002738BD" w:rsidRPr="002738BD" w:rsidRDefault="00144ACB" w:rsidP="00B6640A">
      <w:pPr>
        <w:pStyle w:val="ac"/>
        <w:widowControl/>
        <w:numPr>
          <w:ilvl w:val="0"/>
          <w:numId w:val="5"/>
        </w:numPr>
        <w:spacing w:afterLines="50" w:line="360" w:lineRule="auto"/>
        <w:ind w:firstLineChars="0"/>
        <w:jc w:val="left"/>
        <w:rPr>
          <w:rFonts w:hAnsi="Times New Roman"/>
          <w:sz w:val="23"/>
          <w:szCs w:val="23"/>
        </w:rPr>
      </w:pPr>
      <w:r w:rsidRPr="00144ACB">
        <w:rPr>
          <w:rFonts w:hAnsi="Times New Roman" w:hint="eastAsia"/>
          <w:sz w:val="23"/>
          <w:szCs w:val="23"/>
        </w:rPr>
        <w:t>京东肯特瑞基金销售有限公司</w:t>
      </w:r>
    </w:p>
    <w:p w:rsidR="002738BD" w:rsidRPr="002738BD" w:rsidRDefault="002738BD" w:rsidP="00B6640A">
      <w:pPr>
        <w:widowControl/>
        <w:spacing w:afterLines="50" w:line="360" w:lineRule="auto"/>
        <w:ind w:left="420"/>
        <w:jc w:val="left"/>
        <w:rPr>
          <w:rFonts w:hAnsi="Times New Roman"/>
          <w:sz w:val="23"/>
          <w:szCs w:val="23"/>
        </w:rPr>
      </w:pPr>
      <w:r w:rsidRPr="002738BD">
        <w:rPr>
          <w:rFonts w:hAnsi="Times New Roman" w:hint="eastAsia"/>
          <w:sz w:val="23"/>
          <w:szCs w:val="23"/>
        </w:rPr>
        <w:t>注册地址：</w:t>
      </w:r>
      <w:r w:rsidR="00144ACB" w:rsidRPr="00144ACB">
        <w:rPr>
          <w:rFonts w:hAnsi="Times New Roman" w:hint="eastAsia"/>
          <w:sz w:val="23"/>
          <w:szCs w:val="23"/>
        </w:rPr>
        <w:t>北京市海淀区西三旗建材城中路</w:t>
      </w:r>
      <w:r w:rsidR="00144ACB" w:rsidRPr="00144ACB">
        <w:rPr>
          <w:rFonts w:hAnsi="Times New Roman" w:hint="eastAsia"/>
          <w:sz w:val="23"/>
          <w:szCs w:val="23"/>
        </w:rPr>
        <w:t>12</w:t>
      </w:r>
      <w:r w:rsidR="00144ACB" w:rsidRPr="00144ACB">
        <w:rPr>
          <w:rFonts w:hAnsi="Times New Roman" w:hint="eastAsia"/>
          <w:sz w:val="23"/>
          <w:szCs w:val="23"/>
        </w:rPr>
        <w:t>号</w:t>
      </w:r>
      <w:r w:rsidR="00144ACB" w:rsidRPr="00144ACB">
        <w:rPr>
          <w:rFonts w:hAnsi="Times New Roman" w:hint="eastAsia"/>
          <w:sz w:val="23"/>
          <w:szCs w:val="23"/>
        </w:rPr>
        <w:t>17</w:t>
      </w:r>
      <w:r w:rsidR="00144ACB" w:rsidRPr="00144ACB">
        <w:rPr>
          <w:rFonts w:hAnsi="Times New Roman" w:hint="eastAsia"/>
          <w:sz w:val="23"/>
          <w:szCs w:val="23"/>
        </w:rPr>
        <w:t>号平房</w:t>
      </w:r>
      <w:r w:rsidR="00144ACB" w:rsidRPr="00144ACB">
        <w:rPr>
          <w:rFonts w:hAnsi="Times New Roman" w:hint="eastAsia"/>
          <w:sz w:val="23"/>
          <w:szCs w:val="23"/>
        </w:rPr>
        <w:t>157</w:t>
      </w:r>
    </w:p>
    <w:p w:rsidR="002738BD" w:rsidRPr="002738BD" w:rsidRDefault="002738BD" w:rsidP="00B6640A">
      <w:pPr>
        <w:widowControl/>
        <w:spacing w:afterLines="50" w:line="360" w:lineRule="auto"/>
        <w:ind w:left="420"/>
        <w:jc w:val="left"/>
        <w:rPr>
          <w:rFonts w:hAnsi="Times New Roman"/>
          <w:sz w:val="23"/>
          <w:szCs w:val="23"/>
        </w:rPr>
      </w:pPr>
      <w:r w:rsidRPr="002738BD">
        <w:rPr>
          <w:rFonts w:hAnsi="Times New Roman" w:hint="eastAsia"/>
          <w:sz w:val="23"/>
          <w:szCs w:val="23"/>
        </w:rPr>
        <w:t>办公地址：</w:t>
      </w:r>
      <w:r w:rsidR="00144ACB" w:rsidRPr="00144ACB">
        <w:rPr>
          <w:rFonts w:hAnsi="Times New Roman" w:hint="eastAsia"/>
          <w:sz w:val="23"/>
          <w:szCs w:val="23"/>
        </w:rPr>
        <w:t>北京市通州区亦庄经济开发区科创十一街</w:t>
      </w:r>
      <w:r w:rsidR="00144ACB" w:rsidRPr="00144ACB">
        <w:rPr>
          <w:rFonts w:hAnsi="Times New Roman" w:hint="eastAsia"/>
          <w:sz w:val="23"/>
          <w:szCs w:val="23"/>
        </w:rPr>
        <w:t>18</w:t>
      </w:r>
      <w:r w:rsidR="00144ACB" w:rsidRPr="00144ACB">
        <w:rPr>
          <w:rFonts w:hAnsi="Times New Roman" w:hint="eastAsia"/>
          <w:sz w:val="23"/>
          <w:szCs w:val="23"/>
        </w:rPr>
        <w:t>号院京东集团总部</w:t>
      </w:r>
      <w:r w:rsidR="00144ACB" w:rsidRPr="00144ACB">
        <w:rPr>
          <w:rFonts w:hAnsi="Times New Roman" w:hint="eastAsia"/>
          <w:sz w:val="23"/>
          <w:szCs w:val="23"/>
        </w:rPr>
        <w:t>A</w:t>
      </w:r>
      <w:r w:rsidR="00144ACB" w:rsidRPr="00144ACB">
        <w:rPr>
          <w:rFonts w:hAnsi="Times New Roman" w:hint="eastAsia"/>
          <w:sz w:val="23"/>
          <w:szCs w:val="23"/>
        </w:rPr>
        <w:t>座</w:t>
      </w:r>
      <w:r w:rsidR="00144ACB" w:rsidRPr="00144ACB">
        <w:rPr>
          <w:rFonts w:hAnsi="Times New Roman" w:hint="eastAsia"/>
          <w:sz w:val="23"/>
          <w:szCs w:val="23"/>
        </w:rPr>
        <w:t>15</w:t>
      </w:r>
      <w:r w:rsidR="00144ACB" w:rsidRPr="00144ACB">
        <w:rPr>
          <w:rFonts w:hAnsi="Times New Roman" w:hint="eastAsia"/>
          <w:sz w:val="23"/>
          <w:szCs w:val="23"/>
        </w:rPr>
        <w:t>层</w:t>
      </w:r>
    </w:p>
    <w:p w:rsidR="002738BD" w:rsidRPr="002738BD" w:rsidRDefault="002738BD" w:rsidP="00B6640A">
      <w:pPr>
        <w:widowControl/>
        <w:spacing w:afterLines="50" w:line="360" w:lineRule="auto"/>
        <w:ind w:left="420"/>
        <w:jc w:val="left"/>
        <w:rPr>
          <w:rFonts w:hAnsi="Times New Roman"/>
          <w:sz w:val="23"/>
          <w:szCs w:val="23"/>
        </w:rPr>
      </w:pPr>
      <w:r w:rsidRPr="002738BD">
        <w:rPr>
          <w:rFonts w:hAnsi="Times New Roman" w:hint="eastAsia"/>
          <w:sz w:val="23"/>
          <w:szCs w:val="23"/>
        </w:rPr>
        <w:t>法定代表人：</w:t>
      </w:r>
      <w:r w:rsidR="00144ACB">
        <w:rPr>
          <w:rFonts w:hAnsi="Times New Roman" w:hint="eastAsia"/>
          <w:sz w:val="23"/>
          <w:szCs w:val="23"/>
        </w:rPr>
        <w:t>王珊珊</w:t>
      </w:r>
    </w:p>
    <w:p w:rsidR="002738BD" w:rsidRPr="002738BD" w:rsidRDefault="002738BD" w:rsidP="00B6640A">
      <w:pPr>
        <w:widowControl/>
        <w:spacing w:afterLines="50" w:line="360" w:lineRule="auto"/>
        <w:ind w:left="420"/>
        <w:jc w:val="left"/>
        <w:rPr>
          <w:rFonts w:hAnsi="Times New Roman"/>
          <w:sz w:val="23"/>
          <w:szCs w:val="23"/>
        </w:rPr>
      </w:pPr>
      <w:r w:rsidRPr="002738BD">
        <w:rPr>
          <w:rFonts w:hAnsi="Times New Roman" w:hint="eastAsia"/>
          <w:sz w:val="23"/>
          <w:szCs w:val="23"/>
        </w:rPr>
        <w:t>客户服务电话：</w:t>
      </w:r>
      <w:r w:rsidR="00144ACB" w:rsidRPr="00144ACB">
        <w:rPr>
          <w:rFonts w:hAnsi="Times New Roman"/>
          <w:sz w:val="23"/>
          <w:szCs w:val="23"/>
        </w:rPr>
        <w:t>95118</w:t>
      </w:r>
    </w:p>
    <w:p w:rsidR="00924039" w:rsidRPr="00814E64" w:rsidRDefault="002738BD" w:rsidP="00B6640A">
      <w:pPr>
        <w:widowControl/>
        <w:spacing w:afterLines="50" w:line="360" w:lineRule="auto"/>
        <w:ind w:firstLine="420"/>
        <w:jc w:val="left"/>
      </w:pPr>
      <w:r w:rsidRPr="002738BD">
        <w:rPr>
          <w:rFonts w:hAnsi="Times New Roman" w:hint="eastAsia"/>
          <w:sz w:val="23"/>
          <w:szCs w:val="23"/>
        </w:rPr>
        <w:t>公司网址：</w:t>
      </w:r>
      <w:r w:rsidR="00144ACB" w:rsidRPr="00144ACB">
        <w:rPr>
          <w:rFonts w:hAnsi="Times New Roman"/>
          <w:sz w:val="23"/>
          <w:szCs w:val="23"/>
        </w:rPr>
        <w:t>kenterui.jd.com</w:t>
      </w:r>
    </w:p>
    <w:p w:rsidR="00924039" w:rsidRPr="005D4765" w:rsidRDefault="00924039" w:rsidP="00B6640A">
      <w:pPr>
        <w:widowControl/>
        <w:spacing w:afterLines="50" w:line="360" w:lineRule="auto"/>
        <w:ind w:firstLine="420"/>
        <w:jc w:val="left"/>
        <w:rPr>
          <w:rFonts w:hAnsi="Times New Roman"/>
          <w:sz w:val="23"/>
          <w:szCs w:val="23"/>
        </w:rPr>
      </w:pPr>
    </w:p>
    <w:p w:rsidR="00094192" w:rsidRPr="005D4765" w:rsidRDefault="00094192" w:rsidP="00B6640A">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二、</w:t>
      </w:r>
      <w:r w:rsidRPr="005D4765">
        <w:rPr>
          <w:rFonts w:hAnsi="Times New Roman"/>
          <w:sz w:val="23"/>
          <w:szCs w:val="23"/>
        </w:rPr>
        <w:t xml:space="preserve"> </w:t>
      </w:r>
      <w:r w:rsidRPr="005D4765">
        <w:rPr>
          <w:rFonts w:hAnsi="Times New Roman" w:hint="eastAsia"/>
          <w:sz w:val="23"/>
          <w:szCs w:val="23"/>
        </w:rPr>
        <w:t>重要提示：</w:t>
      </w:r>
      <w:r w:rsidRPr="005D4765">
        <w:rPr>
          <w:rFonts w:hAnsi="Times New Roman"/>
          <w:sz w:val="23"/>
          <w:szCs w:val="23"/>
        </w:rPr>
        <w:t xml:space="preserve"> </w:t>
      </w:r>
    </w:p>
    <w:p w:rsidR="00094192" w:rsidRDefault="00094192" w:rsidP="00B6640A">
      <w:pPr>
        <w:widowControl/>
        <w:spacing w:afterLines="50" w:line="360" w:lineRule="auto"/>
        <w:ind w:firstLine="420"/>
        <w:jc w:val="left"/>
        <w:rPr>
          <w:rFonts w:hAnsi="Times New Roman"/>
          <w:sz w:val="23"/>
          <w:szCs w:val="23"/>
        </w:rPr>
      </w:pPr>
      <w:r w:rsidRPr="005D4765">
        <w:rPr>
          <w:rFonts w:hAnsi="Times New Roman"/>
          <w:sz w:val="23"/>
          <w:szCs w:val="23"/>
        </w:rPr>
        <w:t>1</w:t>
      </w:r>
      <w:r w:rsidRPr="005D4765">
        <w:rPr>
          <w:rFonts w:hAnsi="Times New Roman" w:hint="eastAsia"/>
          <w:sz w:val="23"/>
          <w:szCs w:val="23"/>
        </w:rPr>
        <w:t>、本公告解释权归本公司所有。</w:t>
      </w:r>
      <w:r w:rsidRPr="005D4765">
        <w:rPr>
          <w:rFonts w:hAnsi="Times New Roman"/>
          <w:sz w:val="23"/>
          <w:szCs w:val="23"/>
        </w:rPr>
        <w:t xml:space="preserve"> </w:t>
      </w:r>
    </w:p>
    <w:p w:rsidR="00804C18" w:rsidRPr="00253332" w:rsidRDefault="00804C18" w:rsidP="003852B1">
      <w:pPr>
        <w:spacing w:line="360" w:lineRule="auto"/>
        <w:ind w:firstLine="435"/>
        <w:rPr>
          <w:rFonts w:hAnsi="Times New Roman"/>
          <w:sz w:val="23"/>
          <w:szCs w:val="23"/>
        </w:rPr>
      </w:pPr>
      <w:r w:rsidRPr="00253332">
        <w:rPr>
          <w:rFonts w:hAnsi="Times New Roman"/>
          <w:sz w:val="23"/>
          <w:szCs w:val="23"/>
        </w:rPr>
        <w:t>2</w:t>
      </w:r>
      <w:r w:rsidRPr="00253332">
        <w:rPr>
          <w:rFonts w:hAnsi="Times New Roman" w:hint="eastAsia"/>
          <w:sz w:val="23"/>
          <w:szCs w:val="23"/>
        </w:rPr>
        <w:t>、</w:t>
      </w:r>
      <w:r w:rsidRPr="00B45B13">
        <w:rPr>
          <w:rFonts w:hAnsi="Times New Roman" w:hint="eastAsia"/>
          <w:sz w:val="23"/>
          <w:szCs w:val="23"/>
        </w:rPr>
        <w:t>具体投资者范围、办理平台及程序应遵循上述代销机构的相关规定。</w:t>
      </w:r>
    </w:p>
    <w:p w:rsidR="00094192" w:rsidRPr="005D4765" w:rsidRDefault="00804C18" w:rsidP="00B6640A">
      <w:pPr>
        <w:widowControl/>
        <w:spacing w:afterLines="50" w:line="360" w:lineRule="auto"/>
        <w:ind w:firstLineChars="200" w:firstLine="460"/>
        <w:jc w:val="left"/>
        <w:rPr>
          <w:rFonts w:hAnsi="Times New Roman"/>
          <w:sz w:val="23"/>
          <w:szCs w:val="23"/>
        </w:rPr>
      </w:pPr>
      <w:r>
        <w:rPr>
          <w:rFonts w:hAnsi="Times New Roman"/>
          <w:sz w:val="23"/>
          <w:szCs w:val="23"/>
        </w:rPr>
        <w:lastRenderedPageBreak/>
        <w:t>3</w:t>
      </w:r>
      <w:r w:rsidR="00094192" w:rsidRPr="005D4765">
        <w:rPr>
          <w:rFonts w:hAnsi="Times New Roman" w:hint="eastAsia"/>
          <w:sz w:val="23"/>
          <w:szCs w:val="23"/>
        </w:rPr>
        <w:t>、投资者欲了解详细信息，请仔细阅读登载于</w:t>
      </w:r>
      <w:r w:rsidR="000C72D6" w:rsidRPr="005D4765">
        <w:rPr>
          <w:rFonts w:hAnsi="Times New Roman" w:hint="eastAsia"/>
          <w:sz w:val="23"/>
          <w:szCs w:val="23"/>
        </w:rPr>
        <w:t>指定媒体</w:t>
      </w:r>
      <w:r w:rsidR="00094192" w:rsidRPr="005D4765">
        <w:rPr>
          <w:rFonts w:hAnsi="Times New Roman" w:hint="eastAsia"/>
          <w:sz w:val="23"/>
          <w:szCs w:val="23"/>
        </w:rPr>
        <w:t>和公司网站上发布的《</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CF5208">
        <w:rPr>
          <w:rFonts w:hAnsi="Times New Roman" w:hint="eastAsia"/>
          <w:sz w:val="23"/>
          <w:szCs w:val="23"/>
        </w:rPr>
        <w:t>基金</w:t>
      </w:r>
      <w:r w:rsidR="00094192" w:rsidRPr="005D4765">
        <w:rPr>
          <w:rFonts w:hAnsi="Times New Roman" w:hint="eastAsia"/>
          <w:sz w:val="23"/>
          <w:szCs w:val="23"/>
        </w:rPr>
        <w:t>份额发售公告》、《</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094192" w:rsidRPr="005D4765">
        <w:rPr>
          <w:rFonts w:hAnsi="Times New Roman" w:hint="eastAsia"/>
          <w:sz w:val="23"/>
          <w:szCs w:val="23"/>
        </w:rPr>
        <w:t>招募说明书》、《</w:t>
      </w:r>
      <w:r w:rsidR="00835DE8" w:rsidRPr="00835DE8">
        <w:rPr>
          <w:rFonts w:hAnsi="Times New Roman" w:hint="eastAsia"/>
          <w:sz w:val="23"/>
          <w:szCs w:val="23"/>
        </w:rPr>
        <w:t>富兰克林国海恒安</w:t>
      </w:r>
      <w:r w:rsidR="00835DE8" w:rsidRPr="00835DE8">
        <w:rPr>
          <w:rFonts w:hAnsi="Times New Roman" w:hint="eastAsia"/>
          <w:sz w:val="23"/>
          <w:szCs w:val="23"/>
        </w:rPr>
        <w:t>30</w:t>
      </w:r>
      <w:r w:rsidR="00835DE8" w:rsidRPr="00835DE8">
        <w:rPr>
          <w:rFonts w:hAnsi="Times New Roman" w:hint="eastAsia"/>
          <w:sz w:val="23"/>
          <w:szCs w:val="23"/>
        </w:rPr>
        <w:t>天持有期债券型证券投资基金</w:t>
      </w:r>
      <w:r w:rsidR="00094192" w:rsidRPr="005D4765">
        <w:rPr>
          <w:rFonts w:hAnsi="Times New Roman" w:hint="eastAsia"/>
          <w:sz w:val="23"/>
          <w:szCs w:val="23"/>
        </w:rPr>
        <w:t>基金合同》</w:t>
      </w:r>
      <w:r w:rsidR="00442629" w:rsidRPr="005D4765">
        <w:rPr>
          <w:rFonts w:hAnsi="Times New Roman" w:hint="eastAsia"/>
          <w:sz w:val="23"/>
          <w:szCs w:val="23"/>
        </w:rPr>
        <w:t>及产品资料概要</w:t>
      </w:r>
      <w:r w:rsidR="00094192" w:rsidRPr="005D4765">
        <w:rPr>
          <w:rFonts w:hAnsi="Times New Roman" w:hint="eastAsia"/>
          <w:sz w:val="23"/>
          <w:szCs w:val="23"/>
        </w:rPr>
        <w:t>，和登载于公司网站上的《国海富兰克林基金管理公司开放式基金业务管理规则》。</w:t>
      </w:r>
      <w:r w:rsidR="00094192" w:rsidRPr="005D4765">
        <w:rPr>
          <w:rFonts w:hAnsi="Times New Roman"/>
          <w:sz w:val="23"/>
          <w:szCs w:val="23"/>
        </w:rPr>
        <w:t xml:space="preserve"> </w:t>
      </w:r>
    </w:p>
    <w:p w:rsidR="00047118" w:rsidRPr="00804C18" w:rsidRDefault="00047118" w:rsidP="00B6640A">
      <w:pPr>
        <w:widowControl/>
        <w:spacing w:afterLines="50" w:line="360" w:lineRule="auto"/>
        <w:ind w:firstLineChars="200" w:firstLine="460"/>
        <w:jc w:val="left"/>
        <w:rPr>
          <w:rFonts w:hAnsi="Times New Roman"/>
          <w:sz w:val="23"/>
          <w:szCs w:val="23"/>
        </w:rPr>
      </w:pPr>
    </w:p>
    <w:p w:rsidR="00094192" w:rsidRPr="005D4765" w:rsidRDefault="00094192" w:rsidP="00B6640A">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三、</w:t>
      </w:r>
      <w:r w:rsidRPr="005D4765">
        <w:rPr>
          <w:rFonts w:hAnsi="Times New Roman"/>
          <w:sz w:val="23"/>
          <w:szCs w:val="23"/>
        </w:rPr>
        <w:t xml:space="preserve"> </w:t>
      </w:r>
      <w:r w:rsidRPr="005D4765">
        <w:rPr>
          <w:rFonts w:hAnsi="Times New Roman" w:hint="eastAsia"/>
          <w:sz w:val="23"/>
          <w:szCs w:val="23"/>
        </w:rPr>
        <w:t>风险提示：</w:t>
      </w:r>
      <w:r w:rsidRPr="005D4765">
        <w:rPr>
          <w:rFonts w:hAnsi="Times New Roman"/>
          <w:sz w:val="23"/>
          <w:szCs w:val="23"/>
        </w:rPr>
        <w:t xml:space="preserve"> </w:t>
      </w:r>
    </w:p>
    <w:p w:rsidR="00094192" w:rsidRPr="005D4765" w:rsidRDefault="00094192" w:rsidP="00B6640A">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本公司承诺以诚实信用、勤勉尽责的原则管理和运用基金资产，但不保证基金一定盈利，也不保证最低收益。基金的过往业绩不代表未来表现。基金管理人所管理的其它基金的业绩并不构成对本基金业绩表现的保证。本基金管理人提醒投资者基金投资的</w:t>
      </w:r>
      <w:r w:rsidRPr="005D4765">
        <w:rPr>
          <w:rFonts w:hAnsi="Times New Roman"/>
          <w:sz w:val="23"/>
          <w:szCs w:val="23"/>
        </w:rPr>
        <w:t>“</w:t>
      </w:r>
      <w:r w:rsidRPr="005D4765">
        <w:rPr>
          <w:rFonts w:hAnsi="Times New Roman" w:hint="eastAsia"/>
          <w:sz w:val="23"/>
          <w:szCs w:val="23"/>
        </w:rPr>
        <w:t>买者自负</w:t>
      </w:r>
      <w:r w:rsidRPr="005D4765">
        <w:rPr>
          <w:rFonts w:hAnsi="Times New Roman"/>
          <w:sz w:val="23"/>
          <w:szCs w:val="23"/>
        </w:rPr>
        <w:t>”</w:t>
      </w:r>
      <w:r w:rsidRPr="005D4765">
        <w:rPr>
          <w:rFonts w:hAnsi="Times New Roman" w:hint="eastAsia"/>
          <w:sz w:val="23"/>
          <w:szCs w:val="23"/>
        </w:rPr>
        <w:t>原则，在做出投资决策后，基金运营状况与基金净值变化引致的投资风险，由投资者自行承担。本基金以</w:t>
      </w:r>
      <w:r w:rsidRPr="005D4765">
        <w:rPr>
          <w:rFonts w:hAnsi="Times New Roman"/>
          <w:sz w:val="23"/>
          <w:szCs w:val="23"/>
        </w:rPr>
        <w:t>1</w:t>
      </w:r>
      <w:r w:rsidRPr="005D4765">
        <w:rPr>
          <w:rFonts w:hAnsi="Times New Roman" w:hint="eastAsia"/>
          <w:sz w:val="23"/>
          <w:szCs w:val="23"/>
        </w:rPr>
        <w:t>元初始面值开展基金募集，在市场波动等因素的影响下，基金投资有可能出现亏损或基金净值有可能低于初始面值。投资者投资于本公司基金前应认真阅读相关的基金合同</w:t>
      </w:r>
      <w:r w:rsidR="00104F12" w:rsidRPr="005D4765">
        <w:rPr>
          <w:rFonts w:hAnsi="Times New Roman" w:hint="eastAsia"/>
          <w:sz w:val="23"/>
          <w:szCs w:val="23"/>
        </w:rPr>
        <w:t>、</w:t>
      </w:r>
      <w:r w:rsidRPr="005D4765">
        <w:rPr>
          <w:rFonts w:hAnsi="Times New Roman" w:hint="eastAsia"/>
          <w:sz w:val="23"/>
          <w:szCs w:val="23"/>
        </w:rPr>
        <w:t>招募说明书</w:t>
      </w:r>
      <w:r w:rsidR="00104F12" w:rsidRPr="005D4765">
        <w:rPr>
          <w:rFonts w:hAnsi="Times New Roman" w:hint="eastAsia"/>
          <w:sz w:val="23"/>
          <w:szCs w:val="23"/>
        </w:rPr>
        <w:t>和产品资料概要</w:t>
      </w:r>
      <w:r w:rsidRPr="005D4765">
        <w:rPr>
          <w:rFonts w:hAnsi="Times New Roman" w:hint="eastAsia"/>
          <w:sz w:val="23"/>
          <w:szCs w:val="23"/>
        </w:rPr>
        <w:t>等文件，了解所投资基金的风险收益特征，并根据自身风险承受能力选择适合自己的基金产品。敬请投资者注意投资风险。</w:t>
      </w:r>
      <w:r w:rsidRPr="005D4765">
        <w:rPr>
          <w:rFonts w:hAnsi="Times New Roman"/>
          <w:sz w:val="23"/>
          <w:szCs w:val="23"/>
        </w:rPr>
        <w:t xml:space="preserve"> </w:t>
      </w:r>
    </w:p>
    <w:p w:rsidR="00094192" w:rsidRPr="005D4765" w:rsidRDefault="00094192" w:rsidP="00B6640A">
      <w:pPr>
        <w:widowControl/>
        <w:spacing w:afterLines="50" w:line="360" w:lineRule="auto"/>
        <w:ind w:firstLineChars="200" w:firstLine="460"/>
        <w:jc w:val="left"/>
        <w:rPr>
          <w:rFonts w:hAnsi="Times New Roman"/>
          <w:sz w:val="23"/>
          <w:szCs w:val="23"/>
        </w:rPr>
      </w:pPr>
      <w:r w:rsidRPr="005D4765">
        <w:rPr>
          <w:rFonts w:hAnsi="Times New Roman" w:hint="eastAsia"/>
          <w:sz w:val="23"/>
          <w:szCs w:val="23"/>
        </w:rPr>
        <w:t>特此公告。</w:t>
      </w:r>
      <w:r w:rsidRPr="005D4765">
        <w:rPr>
          <w:rFonts w:hAnsi="Times New Roman"/>
          <w:sz w:val="23"/>
          <w:szCs w:val="23"/>
        </w:rPr>
        <w:t xml:space="preserve"> </w:t>
      </w:r>
    </w:p>
    <w:p w:rsidR="00094192" w:rsidRPr="005D4765" w:rsidRDefault="00094192" w:rsidP="00B6640A">
      <w:pPr>
        <w:widowControl/>
        <w:spacing w:afterLines="50" w:line="360" w:lineRule="auto"/>
        <w:ind w:firstLineChars="200" w:firstLine="460"/>
        <w:jc w:val="right"/>
        <w:rPr>
          <w:rFonts w:hAnsi="Times New Roman"/>
          <w:sz w:val="23"/>
          <w:szCs w:val="23"/>
        </w:rPr>
      </w:pPr>
      <w:r w:rsidRPr="005D4765">
        <w:rPr>
          <w:rFonts w:hAnsi="Times New Roman" w:hint="eastAsia"/>
          <w:sz w:val="23"/>
          <w:szCs w:val="23"/>
        </w:rPr>
        <w:t>国海富兰克林基金管理有限公司</w:t>
      </w:r>
      <w:r w:rsidRPr="005D4765">
        <w:rPr>
          <w:rFonts w:hAnsi="Times New Roman"/>
          <w:sz w:val="23"/>
          <w:szCs w:val="23"/>
        </w:rPr>
        <w:t xml:space="preserve"> </w:t>
      </w:r>
    </w:p>
    <w:p w:rsidR="00C60C67" w:rsidRPr="00094192" w:rsidRDefault="0065293D" w:rsidP="00E267B9">
      <w:pPr>
        <w:widowControl/>
        <w:spacing w:afterLines="50" w:line="360" w:lineRule="auto"/>
        <w:ind w:firstLineChars="200" w:firstLine="460"/>
        <w:jc w:val="right"/>
        <w:rPr>
          <w:rFonts w:hAnsi="Times New Roman"/>
          <w:sz w:val="23"/>
          <w:szCs w:val="23"/>
        </w:rPr>
      </w:pPr>
      <w:r>
        <w:rPr>
          <w:rFonts w:hAnsi="Times New Roman"/>
          <w:sz w:val="23"/>
          <w:szCs w:val="23"/>
        </w:rPr>
        <w:t>2025</w:t>
      </w:r>
      <w:r w:rsidR="00094192" w:rsidRPr="005D4765">
        <w:rPr>
          <w:rFonts w:hAnsi="Times New Roman" w:hint="eastAsia"/>
          <w:sz w:val="23"/>
          <w:szCs w:val="23"/>
        </w:rPr>
        <w:t>年</w:t>
      </w:r>
      <w:r w:rsidR="00835DE8">
        <w:rPr>
          <w:rFonts w:hAnsi="Times New Roman"/>
          <w:sz w:val="23"/>
          <w:szCs w:val="23"/>
        </w:rPr>
        <w:t>11</w:t>
      </w:r>
      <w:r w:rsidR="00094192" w:rsidRPr="005D4765">
        <w:rPr>
          <w:rFonts w:hAnsi="Times New Roman" w:hint="eastAsia"/>
          <w:sz w:val="23"/>
          <w:szCs w:val="23"/>
        </w:rPr>
        <w:t>月</w:t>
      </w:r>
      <w:r w:rsidR="00144138">
        <w:rPr>
          <w:rFonts w:hAnsi="Times New Roman"/>
          <w:sz w:val="23"/>
          <w:szCs w:val="23"/>
        </w:rPr>
        <w:t>15</w:t>
      </w:r>
      <w:r w:rsidR="00094192" w:rsidRPr="005D4765">
        <w:rPr>
          <w:rFonts w:hAnsi="Times New Roman" w:hint="eastAsia"/>
          <w:sz w:val="23"/>
          <w:szCs w:val="23"/>
        </w:rPr>
        <w:t>日</w:t>
      </w:r>
    </w:p>
    <w:sectPr w:rsidR="00C60C67" w:rsidRPr="00094192" w:rsidSect="00E267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ED" w:rsidRDefault="009404ED" w:rsidP="000C72D6">
      <w:r>
        <w:separator/>
      </w:r>
    </w:p>
  </w:endnote>
  <w:endnote w:type="continuationSeparator" w:id="0">
    <w:p w:rsidR="009404ED" w:rsidRDefault="009404ED" w:rsidP="000C72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ED" w:rsidRDefault="009404ED" w:rsidP="000C72D6">
      <w:r>
        <w:separator/>
      </w:r>
    </w:p>
  </w:footnote>
  <w:footnote w:type="continuationSeparator" w:id="0">
    <w:p w:rsidR="009404ED" w:rsidRDefault="009404ED" w:rsidP="000C7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05D"/>
    <w:multiLevelType w:val="hybridMultilevel"/>
    <w:tmpl w:val="980ED97A"/>
    <w:lvl w:ilvl="0" w:tplc="3396932C">
      <w:start w:val="1"/>
      <w:numFmt w:val="decimal"/>
      <w:lvlText w:val="%1）"/>
      <w:lvlJc w:val="left"/>
      <w:pPr>
        <w:ind w:left="780" w:hanging="360"/>
      </w:pPr>
      <w:rPr>
        <w:rFonts w:asciiTheme="minorHAnsi" w:eastAsiaTheme="minorEastAsia" w:hAnsi="Times New Roman" w:hint="default"/>
        <w:sz w:val="23"/>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01A43AD"/>
    <w:multiLevelType w:val="hybridMultilevel"/>
    <w:tmpl w:val="1AA6C8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B7243A6"/>
    <w:multiLevelType w:val="hybridMultilevel"/>
    <w:tmpl w:val="B8D8DEFA"/>
    <w:lvl w:ilvl="0" w:tplc="6310B3E4">
      <w:start w:val="1"/>
      <w:numFmt w:val="japaneseCounting"/>
      <w:lvlText w:val="%1、"/>
      <w:lvlJc w:val="left"/>
      <w:pPr>
        <w:ind w:left="990" w:hanging="5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91D637C"/>
    <w:multiLevelType w:val="hybridMultilevel"/>
    <w:tmpl w:val="4A029CF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BDE60CC"/>
    <w:multiLevelType w:val="hybridMultilevel"/>
    <w:tmpl w:val="74AA0CD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192"/>
    <w:rsid w:val="00003133"/>
    <w:rsid w:val="00037B04"/>
    <w:rsid w:val="00047118"/>
    <w:rsid w:val="0007466D"/>
    <w:rsid w:val="000779C3"/>
    <w:rsid w:val="00082283"/>
    <w:rsid w:val="000846A2"/>
    <w:rsid w:val="00094192"/>
    <w:rsid w:val="000C1893"/>
    <w:rsid w:val="000C3CF8"/>
    <w:rsid w:val="000C72D6"/>
    <w:rsid w:val="000E0873"/>
    <w:rsid w:val="000E24F0"/>
    <w:rsid w:val="000F5951"/>
    <w:rsid w:val="00104F12"/>
    <w:rsid w:val="00106F4A"/>
    <w:rsid w:val="00120D89"/>
    <w:rsid w:val="00133E8A"/>
    <w:rsid w:val="00144138"/>
    <w:rsid w:val="00144529"/>
    <w:rsid w:val="00144ACB"/>
    <w:rsid w:val="00161119"/>
    <w:rsid w:val="0017447C"/>
    <w:rsid w:val="001C3AFA"/>
    <w:rsid w:val="001D214A"/>
    <w:rsid w:val="001D6E42"/>
    <w:rsid w:val="002067A9"/>
    <w:rsid w:val="002131F1"/>
    <w:rsid w:val="002235EE"/>
    <w:rsid w:val="00233222"/>
    <w:rsid w:val="00242C2C"/>
    <w:rsid w:val="0025074B"/>
    <w:rsid w:val="002530A0"/>
    <w:rsid w:val="00253332"/>
    <w:rsid w:val="0026510B"/>
    <w:rsid w:val="002738BD"/>
    <w:rsid w:val="002B12FC"/>
    <w:rsid w:val="002C7AC7"/>
    <w:rsid w:val="002D7CDB"/>
    <w:rsid w:val="002E6662"/>
    <w:rsid w:val="002F2E92"/>
    <w:rsid w:val="00301677"/>
    <w:rsid w:val="003016D5"/>
    <w:rsid w:val="00331AB5"/>
    <w:rsid w:val="00337313"/>
    <w:rsid w:val="003649AF"/>
    <w:rsid w:val="00371C45"/>
    <w:rsid w:val="00381335"/>
    <w:rsid w:val="003852B1"/>
    <w:rsid w:val="003A49F4"/>
    <w:rsid w:val="003E0CFB"/>
    <w:rsid w:val="003F6342"/>
    <w:rsid w:val="0041083D"/>
    <w:rsid w:val="004320E5"/>
    <w:rsid w:val="00442629"/>
    <w:rsid w:val="00451DCB"/>
    <w:rsid w:val="00495766"/>
    <w:rsid w:val="004B550B"/>
    <w:rsid w:val="004C2E82"/>
    <w:rsid w:val="004D2B7D"/>
    <w:rsid w:val="004D3552"/>
    <w:rsid w:val="004E18B8"/>
    <w:rsid w:val="00527D10"/>
    <w:rsid w:val="00532811"/>
    <w:rsid w:val="00537650"/>
    <w:rsid w:val="0055089F"/>
    <w:rsid w:val="00597404"/>
    <w:rsid w:val="005A6ED6"/>
    <w:rsid w:val="005B2257"/>
    <w:rsid w:val="005B34E7"/>
    <w:rsid w:val="005B3BD7"/>
    <w:rsid w:val="005D1B11"/>
    <w:rsid w:val="005D4765"/>
    <w:rsid w:val="005D559E"/>
    <w:rsid w:val="005E2777"/>
    <w:rsid w:val="006001F8"/>
    <w:rsid w:val="00614B5C"/>
    <w:rsid w:val="00625D1F"/>
    <w:rsid w:val="00626BC1"/>
    <w:rsid w:val="006373DB"/>
    <w:rsid w:val="0064435B"/>
    <w:rsid w:val="0065293D"/>
    <w:rsid w:val="006570C2"/>
    <w:rsid w:val="00662B3B"/>
    <w:rsid w:val="0067422E"/>
    <w:rsid w:val="00676DFA"/>
    <w:rsid w:val="00694D30"/>
    <w:rsid w:val="006A41C2"/>
    <w:rsid w:val="006A4C4D"/>
    <w:rsid w:val="006A66D7"/>
    <w:rsid w:val="006C4CB3"/>
    <w:rsid w:val="006C6E6E"/>
    <w:rsid w:val="006C6EAE"/>
    <w:rsid w:val="006C7955"/>
    <w:rsid w:val="006E729C"/>
    <w:rsid w:val="006F3C48"/>
    <w:rsid w:val="007157EE"/>
    <w:rsid w:val="00720762"/>
    <w:rsid w:val="00727682"/>
    <w:rsid w:val="007344B3"/>
    <w:rsid w:val="00736DB9"/>
    <w:rsid w:val="00756F68"/>
    <w:rsid w:val="00766FDE"/>
    <w:rsid w:val="00775110"/>
    <w:rsid w:val="00790846"/>
    <w:rsid w:val="007958E4"/>
    <w:rsid w:val="00797EF4"/>
    <w:rsid w:val="007A3DE5"/>
    <w:rsid w:val="007C6E6F"/>
    <w:rsid w:val="007E3F70"/>
    <w:rsid w:val="007E6CAB"/>
    <w:rsid w:val="007F14FF"/>
    <w:rsid w:val="00804C18"/>
    <w:rsid w:val="00814E64"/>
    <w:rsid w:val="008234D2"/>
    <w:rsid w:val="00835DE8"/>
    <w:rsid w:val="00842ADD"/>
    <w:rsid w:val="008520B5"/>
    <w:rsid w:val="008531F5"/>
    <w:rsid w:val="0086611D"/>
    <w:rsid w:val="0087304B"/>
    <w:rsid w:val="00891992"/>
    <w:rsid w:val="008B075C"/>
    <w:rsid w:val="008C26AD"/>
    <w:rsid w:val="008D2B63"/>
    <w:rsid w:val="008D37A7"/>
    <w:rsid w:val="008F7125"/>
    <w:rsid w:val="00924039"/>
    <w:rsid w:val="00933CCF"/>
    <w:rsid w:val="009404ED"/>
    <w:rsid w:val="00971EC8"/>
    <w:rsid w:val="00982656"/>
    <w:rsid w:val="00995BF8"/>
    <w:rsid w:val="009A4EC6"/>
    <w:rsid w:val="009B163D"/>
    <w:rsid w:val="009B39BC"/>
    <w:rsid w:val="009C1B78"/>
    <w:rsid w:val="009E6374"/>
    <w:rsid w:val="009F2D9D"/>
    <w:rsid w:val="00A376A6"/>
    <w:rsid w:val="00A43094"/>
    <w:rsid w:val="00A432F0"/>
    <w:rsid w:val="00A6113E"/>
    <w:rsid w:val="00A82206"/>
    <w:rsid w:val="00A921D3"/>
    <w:rsid w:val="00AB0188"/>
    <w:rsid w:val="00AB02F3"/>
    <w:rsid w:val="00AE1C07"/>
    <w:rsid w:val="00AF5D65"/>
    <w:rsid w:val="00B41ACC"/>
    <w:rsid w:val="00B41E5F"/>
    <w:rsid w:val="00B45B13"/>
    <w:rsid w:val="00B6640A"/>
    <w:rsid w:val="00B77288"/>
    <w:rsid w:val="00BA3C80"/>
    <w:rsid w:val="00BB3D16"/>
    <w:rsid w:val="00BB7F95"/>
    <w:rsid w:val="00C03221"/>
    <w:rsid w:val="00C0615D"/>
    <w:rsid w:val="00C073DB"/>
    <w:rsid w:val="00C10259"/>
    <w:rsid w:val="00C370B8"/>
    <w:rsid w:val="00C46F8A"/>
    <w:rsid w:val="00C52D2D"/>
    <w:rsid w:val="00C53011"/>
    <w:rsid w:val="00C60C67"/>
    <w:rsid w:val="00C6443E"/>
    <w:rsid w:val="00C774AB"/>
    <w:rsid w:val="00CD50B9"/>
    <w:rsid w:val="00CD5F67"/>
    <w:rsid w:val="00CE1724"/>
    <w:rsid w:val="00CF3DDE"/>
    <w:rsid w:val="00CF5208"/>
    <w:rsid w:val="00D570E6"/>
    <w:rsid w:val="00D64C33"/>
    <w:rsid w:val="00D66BFE"/>
    <w:rsid w:val="00DB0D07"/>
    <w:rsid w:val="00DC0052"/>
    <w:rsid w:val="00DC527F"/>
    <w:rsid w:val="00DE6E1F"/>
    <w:rsid w:val="00DF369B"/>
    <w:rsid w:val="00E00CDB"/>
    <w:rsid w:val="00E14D47"/>
    <w:rsid w:val="00E267B9"/>
    <w:rsid w:val="00E353BE"/>
    <w:rsid w:val="00E55ACB"/>
    <w:rsid w:val="00E80C70"/>
    <w:rsid w:val="00E87ED0"/>
    <w:rsid w:val="00EA0548"/>
    <w:rsid w:val="00EA59D9"/>
    <w:rsid w:val="00EB747F"/>
    <w:rsid w:val="00ED553F"/>
    <w:rsid w:val="00EF6E43"/>
    <w:rsid w:val="00F01F16"/>
    <w:rsid w:val="00F10350"/>
    <w:rsid w:val="00F26B64"/>
    <w:rsid w:val="00F416B5"/>
    <w:rsid w:val="00F42612"/>
    <w:rsid w:val="00F43308"/>
    <w:rsid w:val="00F65EA1"/>
    <w:rsid w:val="00F855D3"/>
    <w:rsid w:val="00F92421"/>
    <w:rsid w:val="00FA777F"/>
    <w:rsid w:val="00FC2BC6"/>
    <w:rsid w:val="00FD1BB4"/>
    <w:rsid w:val="00FD5F9F"/>
    <w:rsid w:val="00FF6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4192"/>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09419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94192"/>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094192"/>
    <w:rPr>
      <w:sz w:val="18"/>
      <w:szCs w:val="18"/>
    </w:rPr>
  </w:style>
  <w:style w:type="character" w:customStyle="1" w:styleId="Char0">
    <w:name w:val="批注框文本 Char"/>
    <w:basedOn w:val="a0"/>
    <w:link w:val="a4"/>
    <w:uiPriority w:val="99"/>
    <w:semiHidden/>
    <w:rsid w:val="00094192"/>
    <w:rPr>
      <w:sz w:val="18"/>
      <w:szCs w:val="18"/>
    </w:rPr>
  </w:style>
  <w:style w:type="character" w:styleId="a5">
    <w:name w:val="Hyperlink"/>
    <w:basedOn w:val="a0"/>
    <w:uiPriority w:val="99"/>
    <w:unhideWhenUsed/>
    <w:rsid w:val="00094192"/>
    <w:rPr>
      <w:color w:val="0563C1" w:themeColor="hyperlink"/>
      <w:u w:val="single"/>
    </w:rPr>
  </w:style>
  <w:style w:type="paragraph" w:styleId="a6">
    <w:name w:val="header"/>
    <w:basedOn w:val="a"/>
    <w:link w:val="Char1"/>
    <w:uiPriority w:val="99"/>
    <w:unhideWhenUsed/>
    <w:rsid w:val="000C72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C72D6"/>
    <w:rPr>
      <w:sz w:val="18"/>
      <w:szCs w:val="18"/>
    </w:rPr>
  </w:style>
  <w:style w:type="paragraph" w:styleId="a7">
    <w:name w:val="footer"/>
    <w:basedOn w:val="a"/>
    <w:link w:val="Char2"/>
    <w:uiPriority w:val="99"/>
    <w:unhideWhenUsed/>
    <w:rsid w:val="000C72D6"/>
    <w:pPr>
      <w:tabs>
        <w:tab w:val="center" w:pos="4153"/>
        <w:tab w:val="right" w:pos="8306"/>
      </w:tabs>
      <w:snapToGrid w:val="0"/>
      <w:jc w:val="left"/>
    </w:pPr>
    <w:rPr>
      <w:sz w:val="18"/>
      <w:szCs w:val="18"/>
    </w:rPr>
  </w:style>
  <w:style w:type="character" w:customStyle="1" w:styleId="Char2">
    <w:name w:val="页脚 Char"/>
    <w:basedOn w:val="a0"/>
    <w:link w:val="a7"/>
    <w:uiPriority w:val="99"/>
    <w:rsid w:val="000C72D6"/>
    <w:rPr>
      <w:sz w:val="18"/>
      <w:szCs w:val="18"/>
    </w:rPr>
  </w:style>
  <w:style w:type="paragraph" w:styleId="a8">
    <w:name w:val="Revision"/>
    <w:hidden/>
    <w:uiPriority w:val="99"/>
    <w:semiHidden/>
    <w:rsid w:val="000C72D6"/>
  </w:style>
  <w:style w:type="character" w:styleId="a9">
    <w:name w:val="annotation reference"/>
    <w:basedOn w:val="a0"/>
    <w:uiPriority w:val="99"/>
    <w:semiHidden/>
    <w:unhideWhenUsed/>
    <w:rsid w:val="0026510B"/>
    <w:rPr>
      <w:sz w:val="21"/>
      <w:szCs w:val="21"/>
    </w:rPr>
  </w:style>
  <w:style w:type="paragraph" w:styleId="aa">
    <w:name w:val="annotation text"/>
    <w:basedOn w:val="a"/>
    <w:link w:val="Char3"/>
    <w:uiPriority w:val="99"/>
    <w:semiHidden/>
    <w:unhideWhenUsed/>
    <w:rsid w:val="0026510B"/>
    <w:pPr>
      <w:jc w:val="left"/>
    </w:pPr>
  </w:style>
  <w:style w:type="character" w:customStyle="1" w:styleId="Char3">
    <w:name w:val="批注文字 Char"/>
    <w:basedOn w:val="a0"/>
    <w:link w:val="aa"/>
    <w:uiPriority w:val="99"/>
    <w:semiHidden/>
    <w:rsid w:val="0026510B"/>
  </w:style>
  <w:style w:type="paragraph" w:styleId="ab">
    <w:name w:val="annotation subject"/>
    <w:basedOn w:val="aa"/>
    <w:next w:val="aa"/>
    <w:link w:val="Char4"/>
    <w:uiPriority w:val="99"/>
    <w:semiHidden/>
    <w:unhideWhenUsed/>
    <w:rsid w:val="0026510B"/>
    <w:rPr>
      <w:b/>
      <w:bCs/>
    </w:rPr>
  </w:style>
  <w:style w:type="character" w:customStyle="1" w:styleId="Char4">
    <w:name w:val="批注主题 Char"/>
    <w:basedOn w:val="Char3"/>
    <w:link w:val="ab"/>
    <w:uiPriority w:val="99"/>
    <w:semiHidden/>
    <w:rsid w:val="0026510B"/>
    <w:rPr>
      <w:b/>
      <w:bCs/>
    </w:rPr>
  </w:style>
  <w:style w:type="paragraph" w:styleId="ac">
    <w:name w:val="List Paragraph"/>
    <w:basedOn w:val="a"/>
    <w:uiPriority w:val="34"/>
    <w:qFormat/>
    <w:rsid w:val="002B12F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D0E5-BF60-433D-BA3F-70CFD781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4</DocSecurity>
  <Lines>7</Lines>
  <Paragraphs>2</Paragraphs>
  <ScaleCrop>false</ScaleCrop>
  <Company>HP Inc.</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cp:lastPrinted>2024-01-30T07:15:00Z</cp:lastPrinted>
  <dcterms:created xsi:type="dcterms:W3CDTF">2025-11-14T16:01:00Z</dcterms:created>
  <dcterms:modified xsi:type="dcterms:W3CDTF">2025-11-14T16:01:00Z</dcterms:modified>
</cp:coreProperties>
</file>