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50" w:rsidRDefault="00AA67E9">
      <w:pPr>
        <w:widowControl w:val="0"/>
        <w:spacing w:after="0" w:line="360" w:lineRule="auto"/>
        <w:ind w:left="0" w:right="0" w:firstLine="0"/>
        <w:jc w:val="center"/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</w:pPr>
      <w:bookmarkStart w:id="0" w:name="_GoBack"/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关于富国智选稳进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3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个月持有期混合型基金中基金（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FOF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）</w:t>
      </w:r>
    </w:p>
    <w:p w:rsidR="00D43D50" w:rsidRDefault="00AA67E9">
      <w:pPr>
        <w:widowControl w:val="0"/>
        <w:spacing w:after="0" w:line="360" w:lineRule="auto"/>
        <w:ind w:left="0" w:right="0" w:firstLine="0"/>
        <w:jc w:val="center"/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</w:pP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基金资产净值低于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5000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万元的提示性公告</w:t>
      </w:r>
      <w:bookmarkEnd w:id="0"/>
    </w:p>
    <w:p w:rsidR="00D43D50" w:rsidRDefault="00D43D50">
      <w:pPr>
        <w:spacing w:after="0" w:line="240" w:lineRule="auto"/>
        <w:ind w:left="0" w:right="0" w:firstLine="0"/>
        <w:jc w:val="center"/>
        <w:rPr>
          <w:rFonts w:asciiTheme="majorEastAsia" w:eastAsiaTheme="majorEastAsia" w:hAnsiTheme="majorEastAsia"/>
          <w:sz w:val="36"/>
        </w:rPr>
      </w:pP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根据《中华人民共和国证券投资基金法》《公开募集证券投资基金运作管理办法》《富国智选稳进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）基金合同》（以下简称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《基金合同》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”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）的有关规定，富国智选稳进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）（以下简称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本基金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”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）连续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45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个工作日基金资产净值低于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万元，可能触发基金合同终止情形，现将相关事宜公告如下：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D43D5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43D50" w:rsidRDefault="00AA67E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t>本基金基本信息</w:t>
      </w: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基金名称：富国智选稳进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基金简称：富国智选稳进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个月持有期混合（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基金代码：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015231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基金运作方式：契约型开放式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基金合同生效日：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2022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22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日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基金管理人名称：富国基金管理有限公司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基金托管人名称：中国工商银行股份有限公司</w:t>
      </w:r>
    </w:p>
    <w:p w:rsidR="00D43D50" w:rsidRDefault="00D43D5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43D50" w:rsidRDefault="00AA67E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t>可能触发基金合同终止的情形说明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根据《基金合同》的约定，基金合同生效后，连续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个工作日出现基金份额持有人数量不满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人或者基金资产净值低于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万元情形的，基金管理人应当在定期报告中予以披露；连续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个工作日出现前述情形的，基金合同终止，不需召开基金份额持有人大会。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如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本基金连续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45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个工作日出现基金份额持有人数量不满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人或者基金资产净值低于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万元，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基金管理人应当就基金合同可能出现终止事由发布提示性公告。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截至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202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5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11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12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日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，本基金已连续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45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个工作日基金资产净值低于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万元，特此提示。</w:t>
      </w:r>
    </w:p>
    <w:p w:rsidR="00D43D50" w:rsidRDefault="00D43D5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43D50" w:rsidRDefault="00AA67E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lastRenderedPageBreak/>
        <w:t>其他需要提示的事项</w:t>
      </w: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1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、投资人欲了解本基金产品的详细情况，请仔细阅读本基金的基金合同、招募说明书等法律文件。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、投资人可以登录本基金管理人网站（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www.fullgoal.com.cn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）或拨打本基金管理人的客户服务电话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95105686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400-888-0688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，咨询有关详情。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风险提示：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公司承诺以诚实信用、勤勉尽责的原则管理和运用基金资产，但不保证基金一定盈利，也不保证最低收益。投资人应认真阅读基金的相关法律文件，了解所投资基金的风险收益特征，并根据自身情况购买与风险承受能力相匹配的产品。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特此公告。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="200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富国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基金管理有限公司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43D50" w:rsidRDefault="00AA67E9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Cs/>
          <w:color w:val="auto"/>
          <w:szCs w:val="20"/>
          <w:lang w:val="zh-CN"/>
        </w:rPr>
        <w:t>202</w:t>
      </w:r>
      <w:r>
        <w:rPr>
          <w:rFonts w:ascii="Times New Roman" w:hAnsi="Times New Roman" w:cs="Times New Roman" w:hint="eastAsia"/>
          <w:bCs/>
          <w:color w:val="auto"/>
          <w:szCs w:val="20"/>
        </w:rPr>
        <w:t>5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hAnsi="Times New Roman" w:cs="Times New Roman" w:hint="eastAsia"/>
          <w:bCs/>
          <w:color w:val="auto"/>
          <w:szCs w:val="20"/>
        </w:rPr>
        <w:t>11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hAnsi="Times New Roman" w:cs="Times New Roman" w:hint="eastAsia"/>
          <w:bCs/>
          <w:color w:val="auto"/>
          <w:szCs w:val="20"/>
        </w:rPr>
        <w:t>15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日</w:t>
      </w:r>
    </w:p>
    <w:sectPr w:rsidR="00D43D50" w:rsidSect="00D43D50">
      <w:pgSz w:w="11906" w:h="16838"/>
      <w:pgMar w:top="1555" w:right="1560" w:bottom="1937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50" w:rsidRDefault="00AA67E9">
      <w:pPr>
        <w:spacing w:line="240" w:lineRule="auto"/>
      </w:pPr>
      <w:r>
        <w:separator/>
      </w:r>
    </w:p>
  </w:endnote>
  <w:endnote w:type="continuationSeparator" w:id="0">
    <w:p w:rsidR="00D43D50" w:rsidRDefault="00AA6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50" w:rsidRDefault="00AA67E9">
      <w:pPr>
        <w:spacing w:after="0"/>
      </w:pPr>
      <w:r>
        <w:separator/>
      </w:r>
    </w:p>
  </w:footnote>
  <w:footnote w:type="continuationSeparator" w:id="0">
    <w:p w:rsidR="00D43D50" w:rsidRDefault="00AA67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721BE"/>
    <w:multiLevelType w:val="multilevel"/>
    <w:tmpl w:val="6FB721BE"/>
    <w:lvl w:ilvl="0">
      <w:start w:val="1"/>
      <w:numFmt w:val="japaneseCounting"/>
      <w:lvlText w:val="%1、"/>
      <w:lvlJc w:val="left"/>
      <w:pPr>
        <w:ind w:left="935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5" w:hanging="420"/>
      </w:pPr>
    </w:lvl>
    <w:lvl w:ilvl="2">
      <w:start w:val="1"/>
      <w:numFmt w:val="lowerRoman"/>
      <w:lvlText w:val="%3."/>
      <w:lvlJc w:val="right"/>
      <w:pPr>
        <w:ind w:left="1715" w:hanging="420"/>
      </w:pPr>
    </w:lvl>
    <w:lvl w:ilvl="3">
      <w:start w:val="1"/>
      <w:numFmt w:val="decimal"/>
      <w:lvlText w:val="%4."/>
      <w:lvlJc w:val="left"/>
      <w:pPr>
        <w:ind w:left="2135" w:hanging="420"/>
      </w:pPr>
    </w:lvl>
    <w:lvl w:ilvl="4">
      <w:start w:val="1"/>
      <w:numFmt w:val="lowerLetter"/>
      <w:lvlText w:val="%5)"/>
      <w:lvlJc w:val="left"/>
      <w:pPr>
        <w:ind w:left="2555" w:hanging="420"/>
      </w:pPr>
    </w:lvl>
    <w:lvl w:ilvl="5">
      <w:start w:val="1"/>
      <w:numFmt w:val="lowerRoman"/>
      <w:lvlText w:val="%6."/>
      <w:lvlJc w:val="right"/>
      <w:pPr>
        <w:ind w:left="2975" w:hanging="420"/>
      </w:pPr>
    </w:lvl>
    <w:lvl w:ilvl="6">
      <w:start w:val="1"/>
      <w:numFmt w:val="decimal"/>
      <w:lvlText w:val="%7."/>
      <w:lvlJc w:val="left"/>
      <w:pPr>
        <w:ind w:left="3395" w:hanging="420"/>
      </w:pPr>
    </w:lvl>
    <w:lvl w:ilvl="7">
      <w:start w:val="1"/>
      <w:numFmt w:val="lowerLetter"/>
      <w:lvlText w:val="%8)"/>
      <w:lvlJc w:val="left"/>
      <w:pPr>
        <w:ind w:left="3815" w:hanging="420"/>
      </w:pPr>
    </w:lvl>
    <w:lvl w:ilvl="8">
      <w:start w:val="1"/>
      <w:numFmt w:val="lowerRoman"/>
      <w:lvlText w:val="%9."/>
      <w:lvlJc w:val="right"/>
      <w:pPr>
        <w:ind w:left="42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4E2"/>
    <w:rsid w:val="00012E6F"/>
    <w:rsid w:val="000328E0"/>
    <w:rsid w:val="00050B7B"/>
    <w:rsid w:val="000B4788"/>
    <w:rsid w:val="000E3B7F"/>
    <w:rsid w:val="001035EE"/>
    <w:rsid w:val="00135729"/>
    <w:rsid w:val="001711AB"/>
    <w:rsid w:val="00172740"/>
    <w:rsid w:val="0019194C"/>
    <w:rsid w:val="001954E2"/>
    <w:rsid w:val="001968FC"/>
    <w:rsid w:val="001A27E0"/>
    <w:rsid w:val="001C37BE"/>
    <w:rsid w:val="001F421B"/>
    <w:rsid w:val="002305EE"/>
    <w:rsid w:val="00230FC9"/>
    <w:rsid w:val="0024529A"/>
    <w:rsid w:val="00245F1A"/>
    <w:rsid w:val="002817B4"/>
    <w:rsid w:val="0028237C"/>
    <w:rsid w:val="002A678C"/>
    <w:rsid w:val="002C72FD"/>
    <w:rsid w:val="002E592A"/>
    <w:rsid w:val="002E734B"/>
    <w:rsid w:val="002F2E67"/>
    <w:rsid w:val="00334BC3"/>
    <w:rsid w:val="00335793"/>
    <w:rsid w:val="00343DB8"/>
    <w:rsid w:val="003C60E0"/>
    <w:rsid w:val="003D138D"/>
    <w:rsid w:val="0040050A"/>
    <w:rsid w:val="00427707"/>
    <w:rsid w:val="0047034C"/>
    <w:rsid w:val="004B0FA9"/>
    <w:rsid w:val="004F7725"/>
    <w:rsid w:val="005356EC"/>
    <w:rsid w:val="00573BE5"/>
    <w:rsid w:val="005B7D95"/>
    <w:rsid w:val="006065FF"/>
    <w:rsid w:val="0063714D"/>
    <w:rsid w:val="00654338"/>
    <w:rsid w:val="0067085D"/>
    <w:rsid w:val="00675D0C"/>
    <w:rsid w:val="006D2F27"/>
    <w:rsid w:val="00712F60"/>
    <w:rsid w:val="00724AED"/>
    <w:rsid w:val="007B7E78"/>
    <w:rsid w:val="007C3118"/>
    <w:rsid w:val="007D2E5B"/>
    <w:rsid w:val="00827122"/>
    <w:rsid w:val="00852056"/>
    <w:rsid w:val="00857EA9"/>
    <w:rsid w:val="00871E64"/>
    <w:rsid w:val="0088679D"/>
    <w:rsid w:val="008A1E69"/>
    <w:rsid w:val="008A2939"/>
    <w:rsid w:val="00922BDA"/>
    <w:rsid w:val="00935BCD"/>
    <w:rsid w:val="00972093"/>
    <w:rsid w:val="009746AF"/>
    <w:rsid w:val="009B0435"/>
    <w:rsid w:val="009C44B1"/>
    <w:rsid w:val="009C56A5"/>
    <w:rsid w:val="009D2ACC"/>
    <w:rsid w:val="009F46D9"/>
    <w:rsid w:val="00A33348"/>
    <w:rsid w:val="00A75C19"/>
    <w:rsid w:val="00A91F76"/>
    <w:rsid w:val="00AA67E9"/>
    <w:rsid w:val="00AE3000"/>
    <w:rsid w:val="00AF0E21"/>
    <w:rsid w:val="00B72F89"/>
    <w:rsid w:val="00C01DB7"/>
    <w:rsid w:val="00C73188"/>
    <w:rsid w:val="00CA295B"/>
    <w:rsid w:val="00CE0E60"/>
    <w:rsid w:val="00D03739"/>
    <w:rsid w:val="00D129C2"/>
    <w:rsid w:val="00D43D50"/>
    <w:rsid w:val="00D609E4"/>
    <w:rsid w:val="00D96FAB"/>
    <w:rsid w:val="00DD2E61"/>
    <w:rsid w:val="00DE0019"/>
    <w:rsid w:val="00E32888"/>
    <w:rsid w:val="00E34CC9"/>
    <w:rsid w:val="00E4601A"/>
    <w:rsid w:val="00E5754F"/>
    <w:rsid w:val="00E86ED7"/>
    <w:rsid w:val="00E93BFD"/>
    <w:rsid w:val="00EA1129"/>
    <w:rsid w:val="00F951E7"/>
    <w:rsid w:val="00FA4EA2"/>
    <w:rsid w:val="0F254C4E"/>
    <w:rsid w:val="274D4F1E"/>
    <w:rsid w:val="2A835478"/>
    <w:rsid w:val="2DCF4776"/>
    <w:rsid w:val="32E76725"/>
    <w:rsid w:val="331A7D84"/>
    <w:rsid w:val="446077EA"/>
    <w:rsid w:val="46600510"/>
    <w:rsid w:val="4D3843B7"/>
    <w:rsid w:val="60353228"/>
    <w:rsid w:val="75EA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50"/>
    <w:pPr>
      <w:spacing w:after="212" w:line="397" w:lineRule="auto"/>
      <w:ind w:left="-15" w:right="-15" w:firstLine="470"/>
    </w:pPr>
    <w:rPr>
      <w:rFonts w:ascii="宋体" w:eastAsia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43D50"/>
  </w:style>
  <w:style w:type="paragraph" w:styleId="a4">
    <w:name w:val="Balloon Text"/>
    <w:basedOn w:val="a"/>
    <w:link w:val="Char0"/>
    <w:uiPriority w:val="99"/>
    <w:semiHidden/>
    <w:unhideWhenUsed/>
    <w:qFormat/>
    <w:rsid w:val="00D43D50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3D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43D50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D43D5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43D50"/>
    <w:rPr>
      <w:rFonts w:ascii="宋体" w:eastAsia="宋体" w:hAnsi="宋体" w:cs="宋体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3D50"/>
    <w:rPr>
      <w:rFonts w:ascii="宋体" w:eastAsia="宋体" w:hAnsi="宋体" w:cs="宋体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43D50"/>
    <w:pPr>
      <w:ind w:firstLineChars="200" w:firstLine="420"/>
    </w:pPr>
  </w:style>
  <w:style w:type="paragraph" w:customStyle="1" w:styleId="Default">
    <w:name w:val="Default"/>
    <w:qFormat/>
    <w:rsid w:val="00D43D5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43D50"/>
    <w:rPr>
      <w:rFonts w:ascii="宋体" w:eastAsia="宋体" w:hAnsi="宋体" w:cs="宋体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43D50"/>
    <w:rPr>
      <w:rFonts w:ascii="宋体" w:eastAsia="宋体" w:hAnsi="宋体" w:cs="宋体"/>
      <w:color w:val="000000"/>
      <w:sz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43D50"/>
    <w:rPr>
      <w:rFonts w:ascii="宋体" w:eastAsia="宋体" w:hAnsi="宋体" w:cs="宋体"/>
      <w:b/>
      <w:bCs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5C35-68DC-443B-8F05-66C15D00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4</DocSecurity>
  <Lines>7</Lines>
  <Paragraphs>2</Paragraphs>
  <ScaleCrop>false</ScaleCrop>
  <Company>CNSTOCK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冯晓蕾</dc:creator>
  <cp:lastModifiedBy>ZHONGM</cp:lastModifiedBy>
  <cp:revision>2</cp:revision>
  <dcterms:created xsi:type="dcterms:W3CDTF">2025-11-14T16:01:00Z</dcterms:created>
  <dcterms:modified xsi:type="dcterms:W3CDTF">2025-11-14T16:01:00Z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eyJoZGlkIjoiMjEwNzU4NjYzODM2MzYzYzM4MTc0ZWU1M2ZiYjZkYWIiLCJ1c2VySWQiOiIzNDAxMTI0MjMifQ==</vt:lpwstr>
  </property>
  <property fmtid="{D5CDD505-2E9C-101B-9397-08002B2CF9AE}" pid="3" name="KSOProductBuildVer">
    <vt:lpwstr>2052-12.8.2.18606</vt:lpwstr>
  </property>
  <property fmtid="{D5CDD505-2E9C-101B-9397-08002B2CF9AE}" pid="4" name="ICV">
    <vt:lpwstr>74972AAF45A248F9A6A3AA63B351FEC9_13</vt:lpwstr>
  </property>
</Properties>
</file>