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636" w:rsidRDefault="00D23636"/>
    <w:p w:rsidR="00D23636" w:rsidRDefault="00CD12F8">
      <w:pPr>
        <w:jc w:val="center"/>
        <w:rPr>
          <w:rFonts w:ascii="宋体" w:eastAsia="宋体" w:hAnsi="宋体"/>
          <w:b/>
          <w:sz w:val="28"/>
        </w:rPr>
      </w:pPr>
      <w:r>
        <w:rPr>
          <w:rFonts w:ascii="宋体" w:eastAsia="宋体" w:hAnsi="宋体" w:hint="eastAsia"/>
          <w:b/>
          <w:sz w:val="28"/>
        </w:rPr>
        <w:t>博时悦楚纯债债券型证券投资基金分红公告</w:t>
      </w:r>
    </w:p>
    <w:p w:rsidR="00D23636" w:rsidRDefault="00CD12F8">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11</w:t>
      </w:r>
      <w:r>
        <w:rPr>
          <w:rFonts w:ascii="宋体" w:eastAsia="宋体" w:hAnsi="宋体"/>
          <w:b/>
          <w:sz w:val="24"/>
        </w:rPr>
        <w:t>月</w:t>
      </w:r>
      <w:r>
        <w:rPr>
          <w:rFonts w:ascii="宋体" w:eastAsia="宋体" w:hAnsi="宋体"/>
          <w:b/>
          <w:sz w:val="24"/>
        </w:rPr>
        <w:t>15</w:t>
      </w:r>
      <w:r>
        <w:rPr>
          <w:rFonts w:ascii="宋体" w:eastAsia="宋体" w:hAnsi="宋体"/>
          <w:b/>
          <w:sz w:val="24"/>
        </w:rPr>
        <w:t>日</w:t>
      </w:r>
    </w:p>
    <w:p w:rsidR="00D23636" w:rsidRDefault="00D23636">
      <w:pPr>
        <w:jc w:val="center"/>
        <w:rPr>
          <w:rFonts w:ascii="宋体" w:eastAsia="宋体" w:hAnsi="宋体"/>
          <w:b/>
          <w:sz w:val="24"/>
        </w:rPr>
      </w:pPr>
    </w:p>
    <w:p w:rsidR="00D23636" w:rsidRDefault="00CD12F8">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bookmarkStart w:id="0" w:name="_GoBack"/>
      <w:bookmarkEnd w:id="0"/>
    </w:p>
    <w:tbl>
      <w:tblPr>
        <w:tblStyle w:val="a4"/>
        <w:tblW w:w="5000" w:type="pct"/>
        <w:tblLook w:val="04A0"/>
      </w:tblPr>
      <w:tblGrid>
        <w:gridCol w:w="1420"/>
        <w:gridCol w:w="1420"/>
        <w:gridCol w:w="2841"/>
        <w:gridCol w:w="2841"/>
      </w:tblGrid>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基金名称</w:t>
            </w:r>
          </w:p>
        </w:tc>
        <w:tc>
          <w:tcPr>
            <w:tcW w:w="5682" w:type="dxa"/>
            <w:gridSpan w:val="2"/>
            <w:vAlign w:val="center"/>
          </w:tcPr>
          <w:p w:rsidR="00D23636" w:rsidRDefault="00CD12F8">
            <w:pPr>
              <w:rPr>
                <w:rFonts w:ascii="宋体" w:eastAsia="宋体" w:hAnsi="宋体"/>
              </w:rPr>
            </w:pPr>
            <w:r>
              <w:rPr>
                <w:rFonts w:ascii="宋体" w:eastAsia="宋体" w:hAnsi="宋体" w:hint="eastAsia"/>
              </w:rPr>
              <w:t>博时悦楚纯债债券型证券投资基金</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基金简称</w:t>
            </w:r>
          </w:p>
        </w:tc>
        <w:tc>
          <w:tcPr>
            <w:tcW w:w="5682" w:type="dxa"/>
            <w:gridSpan w:val="2"/>
            <w:vAlign w:val="center"/>
          </w:tcPr>
          <w:p w:rsidR="00D23636" w:rsidRDefault="00CD12F8">
            <w:pPr>
              <w:rPr>
                <w:rFonts w:ascii="宋体" w:eastAsia="宋体" w:hAnsi="宋体"/>
              </w:rPr>
            </w:pPr>
            <w:r>
              <w:rPr>
                <w:rFonts w:ascii="宋体" w:eastAsia="宋体" w:hAnsi="宋体" w:hint="eastAsia"/>
              </w:rPr>
              <w:t>博时悦楚纯债债券</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基金主代码</w:t>
            </w:r>
          </w:p>
        </w:tc>
        <w:tc>
          <w:tcPr>
            <w:tcW w:w="5682" w:type="dxa"/>
            <w:gridSpan w:val="2"/>
            <w:vAlign w:val="center"/>
          </w:tcPr>
          <w:p w:rsidR="00D23636" w:rsidRDefault="00CD12F8">
            <w:pPr>
              <w:rPr>
                <w:rFonts w:ascii="宋体" w:eastAsia="宋体" w:hAnsi="宋体"/>
              </w:rPr>
            </w:pPr>
            <w:r>
              <w:rPr>
                <w:rFonts w:ascii="宋体" w:eastAsia="宋体" w:hAnsi="宋体"/>
              </w:rPr>
              <w:t>003268</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基金合同生效日</w:t>
            </w:r>
          </w:p>
        </w:tc>
        <w:tc>
          <w:tcPr>
            <w:tcW w:w="5682" w:type="dxa"/>
            <w:gridSpan w:val="2"/>
            <w:vAlign w:val="center"/>
          </w:tcPr>
          <w:p w:rsidR="00D23636" w:rsidRDefault="00CD12F8">
            <w:pPr>
              <w:rPr>
                <w:rFonts w:ascii="宋体" w:eastAsia="宋体" w:hAnsi="宋体"/>
              </w:rPr>
            </w:pPr>
            <w:r>
              <w:rPr>
                <w:rFonts w:ascii="宋体" w:eastAsia="宋体" w:hAnsi="宋体"/>
              </w:rPr>
              <w:t>2016</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9</w:t>
            </w:r>
            <w:r>
              <w:rPr>
                <w:rFonts w:ascii="宋体" w:eastAsia="宋体" w:hAnsi="宋体"/>
              </w:rPr>
              <w:t>日</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基金管理人名称</w:t>
            </w:r>
          </w:p>
        </w:tc>
        <w:tc>
          <w:tcPr>
            <w:tcW w:w="5682" w:type="dxa"/>
            <w:gridSpan w:val="2"/>
            <w:vAlign w:val="center"/>
          </w:tcPr>
          <w:p w:rsidR="00D23636" w:rsidRDefault="00CD12F8">
            <w:pPr>
              <w:rPr>
                <w:rFonts w:ascii="宋体" w:eastAsia="宋体" w:hAnsi="宋体"/>
              </w:rPr>
            </w:pPr>
            <w:r>
              <w:rPr>
                <w:rFonts w:ascii="宋体" w:eastAsia="宋体" w:hAnsi="宋体" w:hint="eastAsia"/>
              </w:rPr>
              <w:t>博时基金管理有限公司</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基金托管人名称</w:t>
            </w:r>
          </w:p>
        </w:tc>
        <w:tc>
          <w:tcPr>
            <w:tcW w:w="5682" w:type="dxa"/>
            <w:gridSpan w:val="2"/>
            <w:vAlign w:val="center"/>
          </w:tcPr>
          <w:p w:rsidR="00D23636" w:rsidRDefault="00CD12F8">
            <w:pPr>
              <w:rPr>
                <w:rFonts w:ascii="宋体" w:eastAsia="宋体" w:hAnsi="宋体"/>
              </w:rPr>
            </w:pPr>
            <w:r>
              <w:rPr>
                <w:rFonts w:ascii="宋体" w:eastAsia="宋体" w:hAnsi="宋体" w:hint="eastAsia"/>
              </w:rPr>
              <w:t>上海银行股份有限公司</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公告依据</w:t>
            </w:r>
          </w:p>
        </w:tc>
        <w:tc>
          <w:tcPr>
            <w:tcW w:w="5682" w:type="dxa"/>
            <w:gridSpan w:val="2"/>
            <w:vAlign w:val="center"/>
          </w:tcPr>
          <w:p w:rsidR="00D23636" w:rsidRDefault="00CD12F8">
            <w:pPr>
              <w:rPr>
                <w:rFonts w:ascii="宋体" w:eastAsia="宋体" w:hAnsi="宋体"/>
              </w:rPr>
            </w:pPr>
            <w:r>
              <w:rPr>
                <w:rFonts w:ascii="宋体" w:eastAsia="宋体" w:hAnsi="宋体" w:hint="eastAsia"/>
              </w:rPr>
              <w:t>《中华人民共和国证券投资基金法》、《公开募集证券投资基金运作管理办法》、《博时悦楚纯债债券型证券投资基金基金合同》、《博时悦楚纯债债券型证券投资基金招募说明书》等</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收益分配基准日</w:t>
            </w:r>
          </w:p>
        </w:tc>
        <w:tc>
          <w:tcPr>
            <w:tcW w:w="5682" w:type="dxa"/>
            <w:gridSpan w:val="2"/>
            <w:vAlign w:val="center"/>
          </w:tcPr>
          <w:p w:rsidR="00D23636" w:rsidRDefault="00CD12F8">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11</w:t>
            </w:r>
            <w:r>
              <w:rPr>
                <w:rFonts w:ascii="宋体" w:eastAsia="宋体" w:hAnsi="宋体"/>
              </w:rPr>
              <w:t>日</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下属基金份额的基金简称</w:t>
            </w:r>
          </w:p>
        </w:tc>
        <w:tc>
          <w:tcPr>
            <w:tcW w:w="2841" w:type="dxa"/>
            <w:vAlign w:val="center"/>
          </w:tcPr>
          <w:p w:rsidR="00D23636" w:rsidRDefault="00CD12F8">
            <w:pPr>
              <w:rPr>
                <w:rFonts w:ascii="宋体" w:eastAsia="宋体" w:hAnsi="宋体"/>
              </w:rPr>
            </w:pPr>
            <w:r>
              <w:rPr>
                <w:rFonts w:ascii="宋体" w:eastAsia="宋体" w:hAnsi="宋体" w:hint="eastAsia"/>
              </w:rPr>
              <w:t>博时悦楚纯债债券</w:t>
            </w:r>
            <w:r>
              <w:rPr>
                <w:rFonts w:ascii="宋体" w:eastAsia="宋体" w:hAnsi="宋体"/>
              </w:rPr>
              <w:t>A</w:t>
            </w:r>
          </w:p>
        </w:tc>
        <w:tc>
          <w:tcPr>
            <w:tcW w:w="2841" w:type="dxa"/>
            <w:vAlign w:val="center"/>
          </w:tcPr>
          <w:p w:rsidR="00D23636" w:rsidRDefault="00CD12F8">
            <w:pPr>
              <w:rPr>
                <w:rFonts w:ascii="宋体" w:eastAsia="宋体" w:hAnsi="宋体"/>
              </w:rPr>
            </w:pPr>
            <w:r>
              <w:rPr>
                <w:rFonts w:ascii="宋体" w:eastAsia="宋体" w:hAnsi="宋体" w:hint="eastAsia"/>
              </w:rPr>
              <w:t>博时悦楚纯债债券</w:t>
            </w:r>
            <w:r>
              <w:rPr>
                <w:rFonts w:ascii="宋体" w:eastAsia="宋体" w:hAnsi="宋体"/>
              </w:rPr>
              <w:t>C</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下属基金份额的交易代码</w:t>
            </w:r>
          </w:p>
        </w:tc>
        <w:tc>
          <w:tcPr>
            <w:tcW w:w="2841" w:type="dxa"/>
            <w:vAlign w:val="center"/>
          </w:tcPr>
          <w:p w:rsidR="00D23636" w:rsidRDefault="00CD12F8">
            <w:pPr>
              <w:rPr>
                <w:rFonts w:ascii="宋体" w:eastAsia="宋体" w:hAnsi="宋体"/>
              </w:rPr>
            </w:pPr>
            <w:r>
              <w:rPr>
                <w:rFonts w:ascii="宋体" w:eastAsia="宋体" w:hAnsi="宋体"/>
              </w:rPr>
              <w:t>003268</w:t>
            </w:r>
          </w:p>
        </w:tc>
        <w:tc>
          <w:tcPr>
            <w:tcW w:w="2841" w:type="dxa"/>
            <w:vAlign w:val="center"/>
          </w:tcPr>
          <w:p w:rsidR="00D23636" w:rsidRDefault="00CD12F8">
            <w:pPr>
              <w:rPr>
                <w:rFonts w:ascii="宋体" w:eastAsia="宋体" w:hAnsi="宋体"/>
              </w:rPr>
            </w:pPr>
            <w:r>
              <w:rPr>
                <w:rFonts w:ascii="宋体" w:eastAsia="宋体" w:hAnsi="宋体"/>
              </w:rPr>
              <w:t>019161</w:t>
            </w:r>
          </w:p>
        </w:tc>
      </w:tr>
      <w:tr w:rsidR="00D23636">
        <w:tc>
          <w:tcPr>
            <w:tcW w:w="1420" w:type="dxa"/>
            <w:vMerge w:val="restart"/>
            <w:vAlign w:val="center"/>
          </w:tcPr>
          <w:p w:rsidR="00D23636" w:rsidRDefault="00CD12F8">
            <w:pPr>
              <w:rPr>
                <w:rFonts w:ascii="宋体" w:eastAsia="宋体" w:hAnsi="宋体"/>
              </w:rPr>
            </w:pPr>
            <w:r>
              <w:rPr>
                <w:rFonts w:ascii="宋体" w:eastAsia="宋体" w:hAnsi="宋体" w:hint="eastAsia"/>
              </w:rPr>
              <w:t>截止基准日下属基金份额的相关指标</w:t>
            </w:r>
          </w:p>
        </w:tc>
        <w:tc>
          <w:tcPr>
            <w:tcW w:w="1420" w:type="dxa"/>
            <w:vAlign w:val="center"/>
          </w:tcPr>
          <w:p w:rsidR="00D23636" w:rsidRDefault="00CD12F8">
            <w:pPr>
              <w:rPr>
                <w:rFonts w:ascii="宋体" w:eastAsia="宋体" w:hAnsi="宋体"/>
              </w:rPr>
            </w:pPr>
            <w:r>
              <w:rPr>
                <w:rFonts w:ascii="宋体" w:eastAsia="宋体" w:hAnsi="宋体" w:hint="eastAsia"/>
              </w:rPr>
              <w:t>基准日下属基金份额净值（单位：元）</w:t>
            </w:r>
          </w:p>
        </w:tc>
        <w:tc>
          <w:tcPr>
            <w:tcW w:w="2841" w:type="dxa"/>
            <w:vAlign w:val="center"/>
          </w:tcPr>
          <w:p w:rsidR="00D23636" w:rsidRDefault="00CD12F8">
            <w:pPr>
              <w:rPr>
                <w:rFonts w:ascii="宋体" w:eastAsia="宋体" w:hAnsi="宋体"/>
              </w:rPr>
            </w:pPr>
            <w:r>
              <w:rPr>
                <w:rFonts w:ascii="宋体" w:eastAsia="宋体" w:hAnsi="宋体"/>
              </w:rPr>
              <w:t>1.0531</w:t>
            </w:r>
          </w:p>
        </w:tc>
        <w:tc>
          <w:tcPr>
            <w:tcW w:w="2841" w:type="dxa"/>
            <w:vAlign w:val="center"/>
          </w:tcPr>
          <w:p w:rsidR="00D23636" w:rsidRDefault="00CD12F8">
            <w:pPr>
              <w:rPr>
                <w:rFonts w:ascii="宋体" w:eastAsia="宋体" w:hAnsi="宋体"/>
              </w:rPr>
            </w:pPr>
            <w:r>
              <w:rPr>
                <w:rFonts w:ascii="宋体" w:eastAsia="宋体" w:hAnsi="宋体"/>
              </w:rPr>
              <w:t>1.0565</w:t>
            </w:r>
          </w:p>
        </w:tc>
      </w:tr>
      <w:tr w:rsidR="00D23636">
        <w:tc>
          <w:tcPr>
            <w:tcW w:w="1420" w:type="dxa"/>
            <w:vMerge/>
            <w:vAlign w:val="center"/>
          </w:tcPr>
          <w:p w:rsidR="00D23636" w:rsidRDefault="00D23636"/>
        </w:tc>
        <w:tc>
          <w:tcPr>
            <w:tcW w:w="1420" w:type="dxa"/>
            <w:vAlign w:val="center"/>
          </w:tcPr>
          <w:p w:rsidR="00D23636" w:rsidRDefault="00CD12F8">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D23636" w:rsidRDefault="00CD12F8">
            <w:pPr>
              <w:rPr>
                <w:rFonts w:ascii="宋体" w:eastAsia="宋体" w:hAnsi="宋体"/>
              </w:rPr>
            </w:pPr>
            <w:r>
              <w:rPr>
                <w:rFonts w:ascii="宋体" w:eastAsia="宋体" w:hAnsi="宋体"/>
              </w:rPr>
              <w:t>2,355,190.51</w:t>
            </w:r>
          </w:p>
        </w:tc>
        <w:tc>
          <w:tcPr>
            <w:tcW w:w="2841" w:type="dxa"/>
            <w:vAlign w:val="center"/>
          </w:tcPr>
          <w:p w:rsidR="00D23636" w:rsidRDefault="00CD12F8">
            <w:pPr>
              <w:rPr>
                <w:rFonts w:ascii="宋体" w:eastAsia="宋体" w:hAnsi="宋体"/>
              </w:rPr>
            </w:pPr>
            <w:r>
              <w:rPr>
                <w:rFonts w:ascii="宋体" w:eastAsia="宋体" w:hAnsi="宋体"/>
              </w:rPr>
              <w:t>3,524,893.82</w:t>
            </w:r>
          </w:p>
        </w:tc>
      </w:tr>
      <w:tr w:rsidR="00D23636">
        <w:tc>
          <w:tcPr>
            <w:tcW w:w="1420" w:type="dxa"/>
            <w:vMerge/>
            <w:vAlign w:val="center"/>
          </w:tcPr>
          <w:p w:rsidR="00D23636" w:rsidRDefault="00D23636"/>
        </w:tc>
        <w:tc>
          <w:tcPr>
            <w:tcW w:w="1420" w:type="dxa"/>
            <w:vAlign w:val="center"/>
          </w:tcPr>
          <w:p w:rsidR="00D23636" w:rsidRDefault="00CD12F8">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D23636" w:rsidRDefault="00CD12F8">
            <w:pPr>
              <w:rPr>
                <w:rFonts w:ascii="宋体" w:eastAsia="宋体" w:hAnsi="宋体"/>
              </w:rPr>
            </w:pPr>
            <w:r>
              <w:rPr>
                <w:rFonts w:ascii="宋体" w:eastAsia="宋体" w:hAnsi="宋体"/>
              </w:rPr>
              <w:t>-</w:t>
            </w:r>
          </w:p>
        </w:tc>
        <w:tc>
          <w:tcPr>
            <w:tcW w:w="2841" w:type="dxa"/>
            <w:vAlign w:val="center"/>
          </w:tcPr>
          <w:p w:rsidR="00D23636" w:rsidRDefault="00CD12F8">
            <w:pPr>
              <w:rPr>
                <w:rFonts w:ascii="宋体" w:eastAsia="宋体" w:hAnsi="宋体"/>
              </w:rPr>
            </w:pPr>
            <w:r>
              <w:rPr>
                <w:rFonts w:ascii="宋体" w:eastAsia="宋体" w:hAnsi="宋体"/>
              </w:rPr>
              <w:t>-</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D23636" w:rsidRDefault="00CD12F8">
            <w:pPr>
              <w:rPr>
                <w:rFonts w:ascii="宋体" w:eastAsia="宋体" w:hAnsi="宋体"/>
              </w:rPr>
            </w:pPr>
            <w:r>
              <w:rPr>
                <w:rFonts w:ascii="宋体" w:eastAsia="宋体" w:hAnsi="宋体"/>
              </w:rPr>
              <w:t>0.0530</w:t>
            </w:r>
          </w:p>
        </w:tc>
        <w:tc>
          <w:tcPr>
            <w:tcW w:w="2841" w:type="dxa"/>
            <w:vAlign w:val="center"/>
          </w:tcPr>
          <w:p w:rsidR="00D23636" w:rsidRDefault="00CD12F8">
            <w:pPr>
              <w:rPr>
                <w:rFonts w:ascii="宋体" w:eastAsia="宋体" w:hAnsi="宋体"/>
              </w:rPr>
            </w:pPr>
            <w:r>
              <w:rPr>
                <w:rFonts w:ascii="宋体" w:eastAsia="宋体" w:hAnsi="宋体"/>
              </w:rPr>
              <w:t>0.0570</w:t>
            </w:r>
          </w:p>
        </w:tc>
      </w:tr>
      <w:tr w:rsidR="00D23636">
        <w:tc>
          <w:tcPr>
            <w:tcW w:w="2840" w:type="dxa"/>
            <w:gridSpan w:val="2"/>
            <w:vAlign w:val="center"/>
          </w:tcPr>
          <w:p w:rsidR="00D23636" w:rsidRDefault="00CD12F8">
            <w:pPr>
              <w:rPr>
                <w:rFonts w:ascii="宋体" w:eastAsia="宋体" w:hAnsi="宋体"/>
              </w:rPr>
            </w:pPr>
            <w:r>
              <w:rPr>
                <w:rFonts w:ascii="宋体" w:eastAsia="宋体" w:hAnsi="宋体" w:hint="eastAsia"/>
              </w:rPr>
              <w:t>有关年度分红次数的说明</w:t>
            </w:r>
          </w:p>
        </w:tc>
        <w:tc>
          <w:tcPr>
            <w:tcW w:w="5682" w:type="dxa"/>
            <w:gridSpan w:val="2"/>
            <w:vAlign w:val="center"/>
          </w:tcPr>
          <w:p w:rsidR="00D23636" w:rsidRDefault="00CD12F8">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2</w:t>
            </w:r>
            <w:r>
              <w:rPr>
                <w:rFonts w:ascii="宋体" w:eastAsia="宋体" w:hAnsi="宋体"/>
              </w:rPr>
              <w:t>次分红</w:t>
            </w:r>
          </w:p>
        </w:tc>
      </w:tr>
    </w:tbl>
    <w:p w:rsidR="00D23636" w:rsidRDefault="00D23636"/>
    <w:p w:rsidR="00D23636" w:rsidRDefault="00CD12F8">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0.0530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0.0570</w:t>
      </w:r>
      <w:r>
        <w:rPr>
          <w:rFonts w:hint="eastAsia"/>
          <w:sz w:val="21"/>
          <w:szCs w:val="21"/>
        </w:rPr>
        <w:t>元人民币。</w:t>
      </w:r>
      <w:r>
        <w:rPr>
          <w:rFonts w:hint="eastAsia"/>
          <w:sz w:val="21"/>
          <w:szCs w:val="21"/>
        </w:rPr>
        <w:t> </w:t>
      </w:r>
    </w:p>
    <w:p w:rsidR="00D23636" w:rsidRDefault="00CD12F8">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D23636">
        <w:tc>
          <w:tcPr>
            <w:tcW w:w="2840" w:type="dxa"/>
            <w:vAlign w:val="center"/>
          </w:tcPr>
          <w:p w:rsidR="00D23636" w:rsidRDefault="00CD12F8">
            <w:pPr>
              <w:rPr>
                <w:rFonts w:ascii="宋体" w:eastAsia="宋体" w:hAnsi="宋体"/>
              </w:rPr>
            </w:pPr>
            <w:r>
              <w:rPr>
                <w:rFonts w:ascii="宋体" w:eastAsia="宋体" w:hAnsi="宋体" w:hint="eastAsia"/>
              </w:rPr>
              <w:t>权益登记日</w:t>
            </w:r>
          </w:p>
        </w:tc>
        <w:tc>
          <w:tcPr>
            <w:tcW w:w="5682" w:type="dxa"/>
            <w:vAlign w:val="center"/>
          </w:tcPr>
          <w:p w:rsidR="00D23636" w:rsidRDefault="00CD12F8">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18</w:t>
            </w:r>
            <w:r>
              <w:rPr>
                <w:rFonts w:ascii="宋体" w:eastAsia="宋体" w:hAnsi="宋体"/>
              </w:rPr>
              <w:t>日</w:t>
            </w:r>
          </w:p>
        </w:tc>
      </w:tr>
      <w:tr w:rsidR="00D23636">
        <w:tc>
          <w:tcPr>
            <w:tcW w:w="2840" w:type="dxa"/>
            <w:vAlign w:val="center"/>
          </w:tcPr>
          <w:p w:rsidR="00D23636" w:rsidRDefault="00CD12F8">
            <w:pPr>
              <w:rPr>
                <w:rFonts w:ascii="宋体" w:eastAsia="宋体" w:hAnsi="宋体"/>
              </w:rPr>
            </w:pPr>
            <w:r>
              <w:rPr>
                <w:rFonts w:ascii="宋体" w:eastAsia="宋体" w:hAnsi="宋体" w:hint="eastAsia"/>
              </w:rPr>
              <w:t>除息日</w:t>
            </w:r>
          </w:p>
        </w:tc>
        <w:tc>
          <w:tcPr>
            <w:tcW w:w="5682" w:type="dxa"/>
            <w:vAlign w:val="center"/>
          </w:tcPr>
          <w:p w:rsidR="00D23636" w:rsidRDefault="00CD12F8">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18</w:t>
            </w:r>
            <w:r>
              <w:rPr>
                <w:rFonts w:ascii="宋体" w:eastAsia="宋体" w:hAnsi="宋体"/>
              </w:rPr>
              <w:t>日</w:t>
            </w:r>
          </w:p>
        </w:tc>
      </w:tr>
      <w:tr w:rsidR="00D23636">
        <w:tc>
          <w:tcPr>
            <w:tcW w:w="2840" w:type="dxa"/>
            <w:vAlign w:val="center"/>
          </w:tcPr>
          <w:p w:rsidR="00D23636" w:rsidRDefault="00CD12F8">
            <w:pPr>
              <w:rPr>
                <w:rFonts w:ascii="宋体" w:eastAsia="宋体" w:hAnsi="宋体"/>
              </w:rPr>
            </w:pPr>
            <w:r>
              <w:rPr>
                <w:rFonts w:ascii="宋体" w:eastAsia="宋体" w:hAnsi="宋体" w:hint="eastAsia"/>
              </w:rPr>
              <w:t>现金红利发放日</w:t>
            </w:r>
          </w:p>
        </w:tc>
        <w:tc>
          <w:tcPr>
            <w:tcW w:w="5682" w:type="dxa"/>
            <w:vAlign w:val="center"/>
          </w:tcPr>
          <w:p w:rsidR="00D23636" w:rsidRDefault="00CD12F8">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20</w:t>
            </w:r>
            <w:r>
              <w:rPr>
                <w:rFonts w:ascii="宋体" w:eastAsia="宋体" w:hAnsi="宋体"/>
              </w:rPr>
              <w:t>日</w:t>
            </w:r>
          </w:p>
        </w:tc>
      </w:tr>
      <w:tr w:rsidR="00D23636">
        <w:tc>
          <w:tcPr>
            <w:tcW w:w="2840" w:type="dxa"/>
            <w:vAlign w:val="center"/>
          </w:tcPr>
          <w:p w:rsidR="00D23636" w:rsidRDefault="00CD12F8">
            <w:pPr>
              <w:rPr>
                <w:rFonts w:ascii="宋体" w:eastAsia="宋体" w:hAnsi="宋体"/>
              </w:rPr>
            </w:pPr>
            <w:r>
              <w:rPr>
                <w:rFonts w:ascii="宋体" w:eastAsia="宋体" w:hAnsi="宋体" w:hint="eastAsia"/>
              </w:rPr>
              <w:t>分红对象</w:t>
            </w:r>
          </w:p>
        </w:tc>
        <w:tc>
          <w:tcPr>
            <w:tcW w:w="5682" w:type="dxa"/>
            <w:vAlign w:val="center"/>
          </w:tcPr>
          <w:p w:rsidR="00D23636" w:rsidRDefault="00CD12F8">
            <w:r>
              <w:rPr>
                <w:rFonts w:ascii="宋体" w:eastAsia="宋体" w:hAnsi="宋体" w:hint="eastAsia"/>
              </w:rPr>
              <w:t>权益登记日登记在册的本基金份额持有人</w:t>
            </w:r>
          </w:p>
        </w:tc>
      </w:tr>
      <w:tr w:rsidR="00D23636">
        <w:tc>
          <w:tcPr>
            <w:tcW w:w="2840" w:type="dxa"/>
            <w:vAlign w:val="center"/>
          </w:tcPr>
          <w:p w:rsidR="00D23636" w:rsidRDefault="00CD12F8">
            <w:pPr>
              <w:rPr>
                <w:rFonts w:ascii="宋体" w:eastAsia="宋体" w:hAnsi="宋体"/>
              </w:rPr>
            </w:pPr>
            <w:r>
              <w:rPr>
                <w:rFonts w:ascii="宋体" w:eastAsia="宋体" w:hAnsi="宋体" w:hint="eastAsia"/>
              </w:rPr>
              <w:t>红利再投资相关事项的说明</w:t>
            </w:r>
          </w:p>
        </w:tc>
        <w:tc>
          <w:tcPr>
            <w:tcW w:w="5682" w:type="dxa"/>
            <w:vAlign w:val="center"/>
          </w:tcPr>
          <w:p w:rsidR="00D23636" w:rsidRDefault="00CD12F8">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18</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19</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20</w:t>
            </w:r>
            <w:r>
              <w:rPr>
                <w:rFonts w:ascii="宋体" w:eastAsia="宋体" w:hAnsi="宋体"/>
              </w:rPr>
              <w:t>日起投资者可以查询、赎回。</w:t>
            </w:r>
          </w:p>
        </w:tc>
      </w:tr>
      <w:tr w:rsidR="00D23636">
        <w:tc>
          <w:tcPr>
            <w:tcW w:w="2840" w:type="dxa"/>
            <w:vAlign w:val="center"/>
          </w:tcPr>
          <w:p w:rsidR="00D23636" w:rsidRDefault="00CD12F8">
            <w:pPr>
              <w:rPr>
                <w:rFonts w:ascii="宋体" w:eastAsia="宋体" w:hAnsi="宋体"/>
              </w:rPr>
            </w:pPr>
            <w:r>
              <w:rPr>
                <w:rFonts w:ascii="宋体" w:eastAsia="宋体" w:hAnsi="宋体" w:hint="eastAsia"/>
              </w:rPr>
              <w:t>税收相关事项的说明</w:t>
            </w:r>
          </w:p>
        </w:tc>
        <w:tc>
          <w:tcPr>
            <w:tcW w:w="5682" w:type="dxa"/>
            <w:vAlign w:val="center"/>
          </w:tcPr>
          <w:p w:rsidR="00D23636" w:rsidRDefault="00CD12F8">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D23636">
        <w:tc>
          <w:tcPr>
            <w:tcW w:w="2840" w:type="dxa"/>
            <w:vAlign w:val="center"/>
          </w:tcPr>
          <w:p w:rsidR="00D23636" w:rsidRDefault="00CD12F8">
            <w:pPr>
              <w:rPr>
                <w:rFonts w:ascii="宋体" w:eastAsia="宋体" w:hAnsi="宋体"/>
              </w:rPr>
            </w:pPr>
            <w:r>
              <w:rPr>
                <w:rFonts w:ascii="宋体" w:eastAsia="宋体" w:hAnsi="宋体" w:hint="eastAsia"/>
              </w:rPr>
              <w:t>费用相关事项的说明</w:t>
            </w:r>
          </w:p>
        </w:tc>
        <w:tc>
          <w:tcPr>
            <w:tcW w:w="5682" w:type="dxa"/>
            <w:vAlign w:val="center"/>
          </w:tcPr>
          <w:p w:rsidR="00D23636" w:rsidRDefault="00CD12F8">
            <w:r>
              <w:rPr>
                <w:rFonts w:ascii="宋体" w:eastAsia="宋体" w:hAnsi="宋体" w:hint="eastAsia"/>
              </w:rPr>
              <w:t>本基金本次分红免收分红手续费。选择红利再投资方式的投资者其红利所转换的基金份额免收申购费用。</w:t>
            </w:r>
          </w:p>
        </w:tc>
      </w:tr>
    </w:tbl>
    <w:p w:rsidR="00D23636" w:rsidRDefault="00D23636"/>
    <w:p w:rsidR="00D23636" w:rsidRDefault="00CD12F8">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D23636" w:rsidRDefault="00CD12F8">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D23636" w:rsidRDefault="00CD12F8">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D23636" w:rsidRDefault="00CD12F8">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11</w:t>
      </w:r>
      <w:r>
        <w:rPr>
          <w:rFonts w:hint="eastAsia"/>
          <w:sz w:val="21"/>
          <w:szCs w:val="21"/>
        </w:rPr>
        <w:t>月</w:t>
      </w:r>
      <w:r>
        <w:rPr>
          <w:rFonts w:hint="eastAsia"/>
          <w:sz w:val="21"/>
          <w:szCs w:val="21"/>
        </w:rPr>
        <w:t>18</w:t>
      </w:r>
      <w:r>
        <w:rPr>
          <w:rFonts w:hint="eastAsia"/>
          <w:sz w:val="21"/>
          <w:szCs w:val="21"/>
        </w:rPr>
        <w:t>日）最后一次选择的分红方式为准。分红方式修改只对单个交易账户有效</w:t>
      </w:r>
      <w:r>
        <w:rPr>
          <w:rFonts w:hint="eastAsia"/>
          <w:sz w:val="21"/>
          <w:szCs w:val="21"/>
        </w:rPr>
        <w:t>，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D23636" w:rsidRDefault="00CD12F8">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）若投资者选择红利再投资方式并在</w:t>
      </w:r>
      <w:r>
        <w:rPr>
          <w:rFonts w:hint="eastAsia"/>
          <w:sz w:val="21"/>
          <w:szCs w:val="21"/>
        </w:rPr>
        <w:t>2025</w:t>
      </w:r>
      <w:r>
        <w:rPr>
          <w:rFonts w:hint="eastAsia"/>
          <w:sz w:val="21"/>
          <w:szCs w:val="21"/>
        </w:rPr>
        <w:t>年</w:t>
      </w:r>
      <w:r>
        <w:rPr>
          <w:rFonts w:hint="eastAsia"/>
          <w:sz w:val="21"/>
          <w:szCs w:val="21"/>
        </w:rPr>
        <w:t>11</w:t>
      </w:r>
      <w:r>
        <w:rPr>
          <w:rFonts w:hint="eastAsia"/>
          <w:sz w:val="21"/>
          <w:szCs w:val="21"/>
        </w:rPr>
        <w:t>月</w:t>
      </w:r>
      <w:r>
        <w:rPr>
          <w:rFonts w:hint="eastAsia"/>
          <w:sz w:val="21"/>
          <w:szCs w:val="21"/>
        </w:rPr>
        <w:t>18</w:t>
      </w:r>
      <w:r>
        <w:rPr>
          <w:rFonts w:hint="eastAsia"/>
          <w:sz w:val="21"/>
          <w:szCs w:val="21"/>
        </w:rPr>
        <w:t>日申请赎回基金份额的，其账户余额（包括红利再投资份额）低于</w:t>
      </w:r>
      <w:r>
        <w:rPr>
          <w:rFonts w:hint="eastAsia"/>
          <w:sz w:val="21"/>
          <w:szCs w:val="21"/>
        </w:rPr>
        <w:t>1</w:t>
      </w:r>
      <w:r>
        <w:rPr>
          <w:rFonts w:hint="eastAsia"/>
          <w:sz w:val="21"/>
          <w:szCs w:val="21"/>
        </w:rPr>
        <w:t>份时，本基金将自动计算其分红收益，并与赎回款一起以现金形式支付。</w:t>
      </w:r>
      <w:r>
        <w:rPr>
          <w:rFonts w:hint="eastAsia"/>
          <w:sz w:val="21"/>
          <w:szCs w:val="21"/>
        </w:rPr>
        <w:t xml:space="preserve"> </w:t>
      </w:r>
    </w:p>
    <w:p w:rsidR="00D23636" w:rsidRDefault="00CD12F8">
      <w:pPr>
        <w:pStyle w:val="a3"/>
        <w:spacing w:before="0" w:beforeAutospacing="0" w:after="0" w:afterAutospacing="0" w:line="360" w:lineRule="auto"/>
        <w:ind w:firstLine="420"/>
        <w:rPr>
          <w:sz w:val="21"/>
          <w:szCs w:val="21"/>
        </w:rPr>
      </w:pPr>
      <w:r>
        <w:rPr>
          <w:rFonts w:hint="eastAsia"/>
          <w:sz w:val="21"/>
          <w:szCs w:val="21"/>
        </w:rPr>
        <w:lastRenderedPageBreak/>
        <w:t>（</w:t>
      </w:r>
      <w:r>
        <w:rPr>
          <w:rFonts w:hint="eastAsia"/>
          <w:sz w:val="21"/>
          <w:szCs w:val="21"/>
        </w:rPr>
        <w:t>5</w:t>
      </w:r>
      <w:r>
        <w:rPr>
          <w:rFonts w:hint="eastAsia"/>
          <w:sz w:val="21"/>
          <w:szCs w:val="21"/>
        </w:rPr>
        <w:t>）本基金份额持有人及希望了解本基金其他有关信息的投资者，可以登录本基金管理人网站（</w:t>
      </w:r>
      <w:r>
        <w:rPr>
          <w:rFonts w:hint="eastAsia"/>
          <w:sz w:val="21"/>
          <w:szCs w:val="21"/>
        </w:rPr>
        <w:t>http://www.</w:t>
      </w:r>
      <w:r>
        <w:rPr>
          <w:rFonts w:hint="eastAsia"/>
          <w:sz w:val="21"/>
          <w:szCs w:val="21"/>
        </w:rPr>
        <w:t>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D23636" w:rsidRDefault="00CD12F8">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Pr>
          <w:rFonts w:hint="eastAsia"/>
          <w:sz w:val="21"/>
          <w:szCs w:val="21"/>
        </w:rPr>
        <w:t xml:space="preserve"> </w:t>
      </w:r>
    </w:p>
    <w:p w:rsidR="00D23636" w:rsidRDefault="00CD12F8">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D23636" w:rsidRDefault="00D23636">
      <w:pPr>
        <w:pStyle w:val="a3"/>
        <w:spacing w:before="0" w:beforeAutospacing="0" w:after="0" w:afterAutospacing="0" w:line="360" w:lineRule="auto"/>
        <w:ind w:firstLine="420"/>
        <w:rPr>
          <w:sz w:val="21"/>
          <w:szCs w:val="21"/>
        </w:rPr>
      </w:pPr>
    </w:p>
    <w:p w:rsidR="00D23636" w:rsidRDefault="00D23636">
      <w:pPr>
        <w:pStyle w:val="a3"/>
        <w:spacing w:before="0" w:beforeAutospacing="0" w:after="0" w:afterAutospacing="0" w:line="360" w:lineRule="auto"/>
        <w:ind w:firstLine="420"/>
        <w:rPr>
          <w:sz w:val="21"/>
          <w:szCs w:val="21"/>
        </w:rPr>
      </w:pPr>
    </w:p>
    <w:p w:rsidR="00D23636" w:rsidRDefault="00D23636">
      <w:pPr>
        <w:pStyle w:val="a3"/>
        <w:spacing w:before="0" w:beforeAutospacing="0" w:after="0" w:afterAutospacing="0" w:line="360" w:lineRule="auto"/>
        <w:ind w:firstLine="420"/>
        <w:rPr>
          <w:sz w:val="21"/>
          <w:szCs w:val="21"/>
        </w:rPr>
      </w:pPr>
    </w:p>
    <w:p w:rsidR="00D23636" w:rsidRDefault="00CD12F8">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D23636" w:rsidRDefault="00CD12F8">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11</w:t>
      </w:r>
      <w:r>
        <w:rPr>
          <w:sz w:val="21"/>
          <w:szCs w:val="21"/>
        </w:rPr>
        <w:t>月</w:t>
      </w:r>
      <w:r>
        <w:rPr>
          <w:sz w:val="21"/>
          <w:szCs w:val="21"/>
        </w:rPr>
        <w:t>15</w:t>
      </w:r>
      <w:r>
        <w:rPr>
          <w:sz w:val="21"/>
          <w:szCs w:val="21"/>
        </w:rPr>
        <w:t>日</w:t>
      </w:r>
    </w:p>
    <w:sectPr w:rsidR="00D23636" w:rsidSect="00D236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365D"/>
    <w:rsid w:val="0047365D"/>
    <w:rsid w:val="00A73DB8"/>
    <w:rsid w:val="00CD12F8"/>
    <w:rsid w:val="00D23636"/>
    <w:rsid w:val="15153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636"/>
    <w:pPr>
      <w:widowControl w:val="0"/>
      <w:jc w:val="both"/>
    </w:pPr>
    <w:rPr>
      <w:kern w:val="2"/>
      <w:sz w:val="21"/>
      <w:szCs w:val="22"/>
    </w:rPr>
  </w:style>
  <w:style w:type="paragraph" w:styleId="3">
    <w:name w:val="heading 3"/>
    <w:basedOn w:val="a"/>
    <w:next w:val="a"/>
    <w:link w:val="3Char"/>
    <w:uiPriority w:val="9"/>
    <w:unhideWhenUsed/>
    <w:qFormat/>
    <w:rsid w:val="00D2363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2363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D23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D23636"/>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1437</Characters>
  <Application>Microsoft Office Word</Application>
  <DocSecurity>4</DocSecurity>
  <Lines>11</Lines>
  <Paragraphs>3</Paragraphs>
  <ScaleCrop>false</ScaleCrop>
  <Company>mycompany</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2025-11-14T16:02:00Z</dcterms:created>
  <dcterms:modified xsi:type="dcterms:W3CDTF">2025-11-14T16:02:00Z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7C3E7E383D6A438B827D1A6937EE42ED_13</vt:lpwstr>
  </property>
</Properties>
</file>