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ED" w:rsidRDefault="000057D3">
      <w:pPr>
        <w:rPr>
          <w:rFonts w:ascii="宋体" w:hAnsi="宋体"/>
          <w:b/>
          <w:bCs/>
          <w:szCs w:val="21"/>
        </w:rPr>
      </w:pPr>
      <w:r w:rsidRPr="000057D3">
        <w:rPr>
          <w:rFonts w:ascii="宋体" w:hAnsi="宋体" w:hint="eastAsia"/>
          <w:b/>
          <w:bCs/>
          <w:szCs w:val="21"/>
        </w:rPr>
        <w:t>华泰柏瑞量化对冲稳健收益定期开放混合型发起式证券投资基金</w:t>
      </w:r>
      <w:r w:rsidR="006145B1" w:rsidRPr="006145B1">
        <w:rPr>
          <w:rFonts w:ascii="宋体" w:hAnsi="宋体" w:hint="eastAsia"/>
          <w:b/>
          <w:bCs/>
          <w:szCs w:val="21"/>
        </w:rPr>
        <w:t>对冲策略执行情况公告</w:t>
      </w:r>
    </w:p>
    <w:p w:rsidR="006145B1" w:rsidRDefault="006145B1" w:rsidP="006145B1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公告送出日期:</w:t>
      </w:r>
      <w:r w:rsidR="009B35DE">
        <w:rPr>
          <w:rFonts w:ascii="宋体" w:hAnsi="宋体" w:hint="eastAsia"/>
          <w:b/>
          <w:bCs/>
          <w:szCs w:val="21"/>
        </w:rPr>
        <w:t>20</w:t>
      </w:r>
      <w:r w:rsidR="009B35DE">
        <w:rPr>
          <w:rFonts w:ascii="宋体" w:hAnsi="宋体"/>
          <w:b/>
          <w:bCs/>
          <w:szCs w:val="21"/>
        </w:rPr>
        <w:t>25</w:t>
      </w:r>
      <w:r w:rsidR="00D15C73">
        <w:rPr>
          <w:rFonts w:ascii="宋体" w:hAnsi="宋体" w:hint="eastAsia"/>
          <w:b/>
          <w:bCs/>
          <w:szCs w:val="21"/>
        </w:rPr>
        <w:t>年</w:t>
      </w:r>
      <w:r w:rsidR="00031F7A">
        <w:rPr>
          <w:rFonts w:ascii="宋体" w:hAnsi="宋体"/>
          <w:b/>
          <w:bCs/>
          <w:szCs w:val="21"/>
        </w:rPr>
        <w:t>11</w:t>
      </w:r>
      <w:r w:rsidRPr="00BB43F3">
        <w:rPr>
          <w:rFonts w:ascii="宋体" w:hAnsi="宋体" w:hint="eastAsia"/>
          <w:b/>
          <w:bCs/>
          <w:szCs w:val="21"/>
        </w:rPr>
        <w:t>月</w:t>
      </w:r>
      <w:r w:rsidR="00031F7A">
        <w:rPr>
          <w:rFonts w:ascii="宋体" w:hAnsi="宋体"/>
          <w:b/>
          <w:bCs/>
          <w:szCs w:val="21"/>
        </w:rPr>
        <w:t>13</w:t>
      </w:r>
      <w:r w:rsidRPr="00BB43F3">
        <w:rPr>
          <w:rFonts w:ascii="宋体" w:hAnsi="宋体" w:hint="eastAsia"/>
          <w:b/>
          <w:bCs/>
          <w:szCs w:val="21"/>
        </w:rPr>
        <w:t>日</w:t>
      </w:r>
    </w:p>
    <w:p w:rsidR="006145B1" w:rsidRPr="006145B1" w:rsidRDefault="006145B1" w:rsidP="006145B1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bCs/>
          <w:szCs w:val="21"/>
        </w:rPr>
      </w:pPr>
      <w:r w:rsidRPr="006145B1">
        <w:rPr>
          <w:rFonts w:ascii="宋体" w:hAnsi="宋体" w:hint="eastAsia"/>
          <w:b/>
          <w:bCs/>
          <w:szCs w:val="21"/>
        </w:rPr>
        <w:t>公告基本信息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6145B1" w:rsidTr="006145B1">
        <w:tc>
          <w:tcPr>
            <w:tcW w:w="4261" w:type="dxa"/>
          </w:tcPr>
          <w:p w:rsidR="006145B1" w:rsidRDefault="006145B1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基金名称</w:t>
            </w:r>
          </w:p>
        </w:tc>
        <w:tc>
          <w:tcPr>
            <w:tcW w:w="4261" w:type="dxa"/>
          </w:tcPr>
          <w:p w:rsidR="006145B1" w:rsidRDefault="00195186" w:rsidP="006145B1">
            <w:pPr>
              <w:rPr>
                <w:szCs w:val="21"/>
              </w:rPr>
            </w:pPr>
            <w:r w:rsidRPr="00195186">
              <w:rPr>
                <w:rFonts w:hint="eastAsia"/>
                <w:szCs w:val="21"/>
              </w:rPr>
              <w:t>华泰柏瑞量化对冲稳健收益定期开放混合型发起式证券投资基金</w:t>
            </w:r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基金简称</w:t>
            </w:r>
          </w:p>
        </w:tc>
        <w:tc>
          <w:tcPr>
            <w:tcW w:w="4261" w:type="dxa"/>
          </w:tcPr>
          <w:p w:rsidR="00CB2985" w:rsidRPr="00D83A69" w:rsidRDefault="005F0797" w:rsidP="002D2FAA">
            <w:pPr>
              <w:jc w:val="left"/>
              <w:rPr>
                <w:rFonts w:ascii="宋体" w:hAnsi="宋体"/>
                <w:kern w:val="0"/>
                <w:szCs w:val="24"/>
                <w:highlight w:val="yellow"/>
              </w:rPr>
            </w:pPr>
            <w:r w:rsidRPr="00866B9F">
              <w:rPr>
                <w:rFonts w:hint="eastAsia"/>
                <w:szCs w:val="21"/>
              </w:rPr>
              <w:t>华泰柏瑞量化对冲</w:t>
            </w:r>
            <w:r w:rsidR="00CB2985" w:rsidRPr="00866B9F">
              <w:rPr>
                <w:rFonts w:ascii="宋体" w:hAnsi="宋体" w:hint="eastAsia"/>
                <w:kern w:val="0"/>
                <w:szCs w:val="24"/>
              </w:rPr>
              <w:t>混合</w:t>
            </w:r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基金主代码</w:t>
            </w:r>
          </w:p>
        </w:tc>
        <w:tc>
          <w:tcPr>
            <w:tcW w:w="4261" w:type="dxa"/>
          </w:tcPr>
          <w:p w:rsidR="00CB2985" w:rsidRDefault="00CB2985" w:rsidP="00D83A69">
            <w:pPr>
              <w:rPr>
                <w:szCs w:val="21"/>
              </w:rPr>
            </w:pPr>
            <w:r>
              <w:rPr>
                <w:rFonts w:ascii="宋体" w:hAnsi="宋体"/>
                <w:kern w:val="0"/>
                <w:szCs w:val="24"/>
              </w:rPr>
              <w:t>00</w:t>
            </w:r>
            <w:r w:rsidR="00D83A69">
              <w:rPr>
                <w:rFonts w:ascii="宋体" w:hAnsi="宋体" w:hint="eastAsia"/>
                <w:kern w:val="0"/>
                <w:szCs w:val="24"/>
              </w:rPr>
              <w:t>2804</w:t>
            </w:r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基金运作方式</w:t>
            </w:r>
          </w:p>
        </w:tc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契约型开放式</w:t>
            </w:r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基金合同生效日</w:t>
            </w:r>
          </w:p>
        </w:tc>
        <w:tc>
          <w:tcPr>
            <w:tcW w:w="4261" w:type="dxa"/>
          </w:tcPr>
          <w:p w:rsidR="00CB2985" w:rsidRDefault="00CB2985" w:rsidP="00477F01">
            <w:pPr>
              <w:rPr>
                <w:szCs w:val="21"/>
              </w:rPr>
            </w:pPr>
            <w:r>
              <w:rPr>
                <w:rFonts w:ascii="宋体" w:hAnsi="宋体"/>
                <w:kern w:val="0"/>
                <w:szCs w:val="24"/>
              </w:rPr>
              <w:t>201</w:t>
            </w:r>
            <w:r w:rsidR="00477F01">
              <w:rPr>
                <w:rFonts w:ascii="宋体" w:hAnsi="宋体" w:hint="eastAsia"/>
                <w:kern w:val="0"/>
                <w:szCs w:val="24"/>
              </w:rPr>
              <w:t>6</w:t>
            </w:r>
            <w:r>
              <w:rPr>
                <w:rFonts w:ascii="宋体" w:hAnsi="宋体"/>
                <w:kern w:val="0"/>
                <w:szCs w:val="24"/>
              </w:rPr>
              <w:t>年</w:t>
            </w:r>
            <w:r w:rsidR="00477F01">
              <w:rPr>
                <w:rFonts w:ascii="宋体" w:hAnsi="宋体" w:hint="eastAsia"/>
                <w:kern w:val="0"/>
                <w:szCs w:val="24"/>
              </w:rPr>
              <w:t>5</w:t>
            </w:r>
            <w:r>
              <w:rPr>
                <w:rFonts w:ascii="宋体" w:hAnsi="宋体"/>
                <w:kern w:val="0"/>
                <w:szCs w:val="24"/>
              </w:rPr>
              <w:t>月</w:t>
            </w:r>
            <w:r w:rsidR="00477F01">
              <w:rPr>
                <w:rFonts w:ascii="宋体" w:hAnsi="宋体"/>
                <w:kern w:val="0"/>
                <w:szCs w:val="24"/>
              </w:rPr>
              <w:t>2</w:t>
            </w:r>
            <w:r w:rsidR="00477F01">
              <w:rPr>
                <w:rFonts w:ascii="宋体" w:hAnsi="宋体" w:hint="eastAsia"/>
                <w:kern w:val="0"/>
                <w:szCs w:val="24"/>
              </w:rPr>
              <w:t>6</w:t>
            </w:r>
            <w:r>
              <w:rPr>
                <w:rFonts w:ascii="宋体" w:hAnsi="宋体"/>
                <w:kern w:val="0"/>
                <w:szCs w:val="24"/>
              </w:rPr>
              <w:t>日</w:t>
            </w:r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基金管理人名称</w:t>
            </w:r>
          </w:p>
        </w:tc>
        <w:tc>
          <w:tcPr>
            <w:tcW w:w="4261" w:type="dxa"/>
          </w:tcPr>
          <w:p w:rsidR="00CB2985" w:rsidRDefault="00CB2985" w:rsidP="00A833EB">
            <w:pPr>
              <w:jc w:val="left"/>
              <w:rPr>
                <w:rFonts w:ascii="宋体" w:hAnsi="宋体"/>
                <w:kern w:val="0"/>
                <w:szCs w:val="24"/>
              </w:rPr>
            </w:pPr>
            <w:bookmarkStart w:id="0" w:name="OLE_LINK3"/>
            <w:bookmarkStart w:id="1" w:name="OLE_LINK4"/>
            <w:r>
              <w:rPr>
                <w:rFonts w:ascii="宋体" w:hAnsi="宋体" w:hint="eastAsia"/>
                <w:kern w:val="0"/>
                <w:szCs w:val="24"/>
              </w:rPr>
              <w:t>华泰柏瑞基金管理有限公司</w:t>
            </w:r>
            <w:bookmarkEnd w:id="0"/>
            <w:bookmarkEnd w:id="1"/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基金托管人名称</w:t>
            </w:r>
          </w:p>
        </w:tc>
        <w:tc>
          <w:tcPr>
            <w:tcW w:w="4261" w:type="dxa"/>
          </w:tcPr>
          <w:p w:rsidR="00CB2985" w:rsidRDefault="00CB2985" w:rsidP="00CD7613">
            <w:pPr>
              <w:jc w:val="left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中国银行股份有限公司</w:t>
            </w:r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基金注册登记机构名称</w:t>
            </w:r>
          </w:p>
        </w:tc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华泰柏瑞基金管理有限公司</w:t>
            </w:r>
          </w:p>
        </w:tc>
      </w:tr>
      <w:tr w:rsidR="00CB2985" w:rsidTr="006145B1">
        <w:tc>
          <w:tcPr>
            <w:tcW w:w="4261" w:type="dxa"/>
          </w:tcPr>
          <w:p w:rsidR="00CB2985" w:rsidRDefault="00CB298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公告依据</w:t>
            </w:r>
          </w:p>
        </w:tc>
        <w:tc>
          <w:tcPr>
            <w:tcW w:w="4261" w:type="dxa"/>
          </w:tcPr>
          <w:p w:rsidR="00CB2985" w:rsidRDefault="003E623E" w:rsidP="00CB29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《中华人民共和国证券投资基金法》及配套法规、</w:t>
            </w:r>
            <w:r w:rsidR="00CB2985" w:rsidRPr="00CB2985">
              <w:rPr>
                <w:rFonts w:hint="eastAsia"/>
                <w:szCs w:val="21"/>
              </w:rPr>
              <w:t>《</w:t>
            </w:r>
            <w:r w:rsidR="0060168C" w:rsidRPr="00195186">
              <w:rPr>
                <w:rFonts w:hint="eastAsia"/>
                <w:szCs w:val="21"/>
              </w:rPr>
              <w:t>华泰柏瑞量化对冲稳健收益定期开放混合型发起式证券投资基金</w:t>
            </w:r>
            <w:r w:rsidR="00CB2985" w:rsidRPr="00CB2985">
              <w:rPr>
                <w:rFonts w:hint="eastAsia"/>
                <w:szCs w:val="21"/>
              </w:rPr>
              <w:t>基金合同》、《</w:t>
            </w:r>
            <w:r w:rsidR="0060168C" w:rsidRPr="00195186">
              <w:rPr>
                <w:rFonts w:hint="eastAsia"/>
                <w:szCs w:val="21"/>
              </w:rPr>
              <w:t>华泰柏瑞量化对冲稳健收益定期开放混合型发起式证券投资基金</w:t>
            </w:r>
            <w:r w:rsidR="00CB2985" w:rsidRPr="00CB2985">
              <w:rPr>
                <w:rFonts w:hint="eastAsia"/>
                <w:szCs w:val="21"/>
              </w:rPr>
              <w:t>招募说明书》以及《</w:t>
            </w:r>
            <w:r w:rsidR="0060168C" w:rsidRPr="00195186">
              <w:rPr>
                <w:rFonts w:hint="eastAsia"/>
                <w:szCs w:val="21"/>
              </w:rPr>
              <w:t>华泰柏瑞量化对冲稳健收益定期开放混合型发起式证券投资基金</w:t>
            </w:r>
            <w:r w:rsidR="00CB2985" w:rsidRPr="00CB2985">
              <w:rPr>
                <w:rFonts w:hint="eastAsia"/>
                <w:szCs w:val="21"/>
              </w:rPr>
              <w:t>更新招募说明书》</w:t>
            </w:r>
          </w:p>
        </w:tc>
      </w:tr>
    </w:tbl>
    <w:p w:rsidR="006145B1" w:rsidRPr="006145B1" w:rsidRDefault="006145B1" w:rsidP="006145B1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bCs/>
          <w:szCs w:val="21"/>
        </w:rPr>
      </w:pPr>
      <w:r w:rsidRPr="006145B1">
        <w:rPr>
          <w:rFonts w:ascii="宋体" w:hAnsi="宋体" w:hint="eastAsia"/>
          <w:b/>
          <w:bCs/>
          <w:szCs w:val="21"/>
        </w:rPr>
        <w:t>对冲策略执行情况说明</w:t>
      </w: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971F35" w:rsidTr="00971F35">
        <w:tc>
          <w:tcPr>
            <w:tcW w:w="4261" w:type="dxa"/>
          </w:tcPr>
          <w:p w:rsidR="00971F35" w:rsidRDefault="00971F35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投资策略</w:t>
            </w:r>
          </w:p>
        </w:tc>
        <w:tc>
          <w:tcPr>
            <w:tcW w:w="4261" w:type="dxa"/>
          </w:tcPr>
          <w:p w:rsidR="00971F35" w:rsidRDefault="004D7E95" w:rsidP="006145B1">
            <w:pPr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在力求有效控制投资风险的前提下，通过全市场选股构建预期收益高于市场回报的投资组合，同时利用股指期货等多种策略对冲投资组合的市场风险，以求获得不依赖市场整体走向的比较稳定的长期资产增值。</w:t>
            </w:r>
          </w:p>
        </w:tc>
      </w:tr>
      <w:tr w:rsidR="00971F35" w:rsidTr="00971F35">
        <w:tc>
          <w:tcPr>
            <w:tcW w:w="4261" w:type="dxa"/>
          </w:tcPr>
          <w:p w:rsidR="00971F35" w:rsidRPr="00382CB8" w:rsidRDefault="00971F35" w:rsidP="006145B1">
            <w:pPr>
              <w:rPr>
                <w:szCs w:val="21"/>
              </w:rPr>
            </w:pPr>
            <w:r w:rsidRPr="00382CB8">
              <w:rPr>
                <w:rFonts w:hint="eastAsia"/>
                <w:szCs w:val="21"/>
              </w:rPr>
              <w:t>对冲策略的限制</w:t>
            </w:r>
          </w:p>
        </w:tc>
        <w:tc>
          <w:tcPr>
            <w:tcW w:w="4261" w:type="dxa"/>
          </w:tcPr>
          <w:p w:rsidR="00971F35" w:rsidRDefault="000C598E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本基金</w:t>
            </w:r>
            <w:r w:rsidR="00317DA8">
              <w:rPr>
                <w:rFonts w:hint="eastAsia"/>
                <w:szCs w:val="21"/>
              </w:rPr>
              <w:t>权益类空头头寸</w:t>
            </w:r>
            <w:r w:rsidR="00A63500">
              <w:rPr>
                <w:rFonts w:hint="eastAsia"/>
                <w:szCs w:val="21"/>
              </w:rPr>
              <w:t>的价值占本基金权益类多头头寸的价值的比例范围</w:t>
            </w:r>
            <w:r w:rsidR="00BD6F3D">
              <w:rPr>
                <w:rFonts w:hint="eastAsia"/>
                <w:szCs w:val="21"/>
              </w:rPr>
              <w:t>为</w:t>
            </w:r>
            <w:r w:rsidR="00A63500" w:rsidRPr="00D01FC3">
              <w:rPr>
                <w:rFonts w:ascii="宋体" w:hAnsi="宋体" w:hint="eastAsia"/>
                <w:kern w:val="0"/>
                <w:szCs w:val="24"/>
              </w:rPr>
              <w:t>80%-120%</w:t>
            </w:r>
            <w:r w:rsidR="00A63500">
              <w:rPr>
                <w:rFonts w:hint="eastAsia"/>
                <w:szCs w:val="21"/>
              </w:rPr>
              <w:t>。</w:t>
            </w:r>
          </w:p>
        </w:tc>
      </w:tr>
      <w:tr w:rsidR="00971F35" w:rsidTr="00971F35">
        <w:tc>
          <w:tcPr>
            <w:tcW w:w="4261" w:type="dxa"/>
          </w:tcPr>
          <w:p w:rsidR="00971F35" w:rsidRPr="00382CB8" w:rsidRDefault="00971F35" w:rsidP="006145B1">
            <w:pPr>
              <w:rPr>
                <w:szCs w:val="21"/>
              </w:rPr>
            </w:pPr>
            <w:r w:rsidRPr="00382CB8">
              <w:rPr>
                <w:rFonts w:hint="eastAsia"/>
                <w:szCs w:val="21"/>
              </w:rPr>
              <w:t>对冲策略的执行情况</w:t>
            </w:r>
          </w:p>
        </w:tc>
        <w:tc>
          <w:tcPr>
            <w:tcW w:w="4261" w:type="dxa"/>
          </w:tcPr>
          <w:p w:rsidR="00971F35" w:rsidRDefault="00C15A47" w:rsidP="006145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基金管理人严格遵照合同约定，运用量化多因子选股模型构建股票现货组合，并在此基础上采用套保账户卖出相应股指期货合约对冲系统性风险，对冲比例在基金运作期间均符合相关要求，未发生基金投资策略与对冲策略发生偏离的情形。</w:t>
            </w:r>
          </w:p>
        </w:tc>
      </w:tr>
      <w:tr w:rsidR="009B4676" w:rsidTr="00971F35">
        <w:tc>
          <w:tcPr>
            <w:tcW w:w="4261" w:type="dxa"/>
          </w:tcPr>
          <w:p w:rsidR="009B4676" w:rsidRPr="004B2884" w:rsidRDefault="009B4676" w:rsidP="003E77B4">
            <w:pPr>
              <w:pStyle w:val="Default"/>
              <w:jc w:val="both"/>
              <w:rPr>
                <w:sz w:val="23"/>
                <w:szCs w:val="23"/>
              </w:rPr>
            </w:pPr>
            <w:r w:rsidRPr="004B2884">
              <w:rPr>
                <w:rFonts w:hint="eastAsia"/>
                <w:sz w:val="23"/>
                <w:szCs w:val="23"/>
              </w:rPr>
              <w:t>股票资产的规模（单位：元）</w:t>
            </w:r>
            <w:r w:rsidRPr="004B288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261" w:type="dxa"/>
          </w:tcPr>
          <w:p w:rsidR="009B4676" w:rsidRPr="00545F53" w:rsidRDefault="009A2FA1" w:rsidP="006145B1">
            <w:pPr>
              <w:rPr>
                <w:rFonts w:ascii="宋体" w:hAnsi="宋体"/>
                <w:kern w:val="0"/>
                <w:szCs w:val="24"/>
              </w:rPr>
            </w:pPr>
            <w:r w:rsidRPr="009A2FA1">
              <w:rPr>
                <w:rFonts w:ascii="宋体" w:hAnsi="宋体"/>
                <w:kern w:val="0"/>
                <w:szCs w:val="24"/>
              </w:rPr>
              <w:t>8</w:t>
            </w:r>
            <w:r>
              <w:rPr>
                <w:rFonts w:ascii="宋体" w:hAnsi="宋体"/>
                <w:kern w:val="0"/>
                <w:szCs w:val="24"/>
              </w:rPr>
              <w:t>,</w:t>
            </w:r>
            <w:r w:rsidRPr="009A2FA1">
              <w:rPr>
                <w:rFonts w:ascii="宋体" w:hAnsi="宋体"/>
                <w:kern w:val="0"/>
                <w:szCs w:val="24"/>
              </w:rPr>
              <w:t>942</w:t>
            </w:r>
            <w:r>
              <w:rPr>
                <w:rFonts w:ascii="宋体" w:hAnsi="宋体"/>
                <w:kern w:val="0"/>
                <w:szCs w:val="24"/>
              </w:rPr>
              <w:t>,</w:t>
            </w:r>
            <w:r w:rsidRPr="009A2FA1">
              <w:rPr>
                <w:rFonts w:ascii="宋体" w:hAnsi="宋体"/>
                <w:kern w:val="0"/>
                <w:szCs w:val="24"/>
              </w:rPr>
              <w:t>099.80</w:t>
            </w:r>
          </w:p>
        </w:tc>
      </w:tr>
      <w:tr w:rsidR="009B4676" w:rsidTr="00971F35">
        <w:tc>
          <w:tcPr>
            <w:tcW w:w="4261" w:type="dxa"/>
          </w:tcPr>
          <w:p w:rsidR="009B4676" w:rsidRPr="004B2884" w:rsidRDefault="009B4676" w:rsidP="003E77B4">
            <w:pPr>
              <w:pStyle w:val="Default"/>
              <w:jc w:val="both"/>
              <w:rPr>
                <w:sz w:val="23"/>
                <w:szCs w:val="23"/>
              </w:rPr>
            </w:pPr>
            <w:r w:rsidRPr="004B2884">
              <w:rPr>
                <w:rFonts w:hint="eastAsia"/>
                <w:sz w:val="23"/>
                <w:szCs w:val="23"/>
              </w:rPr>
              <w:t>股票资产占基金资产净值的比例</w:t>
            </w:r>
            <w:r w:rsidRPr="004B288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261" w:type="dxa"/>
          </w:tcPr>
          <w:p w:rsidR="009B4676" w:rsidRPr="00545F53" w:rsidRDefault="009A2FA1" w:rsidP="0076035F">
            <w:pPr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50.83</w:t>
            </w:r>
            <w:r w:rsidRPr="009A2FA1">
              <w:rPr>
                <w:rFonts w:ascii="宋体" w:hAnsi="宋体"/>
                <w:kern w:val="0"/>
                <w:szCs w:val="24"/>
              </w:rPr>
              <w:t>%</w:t>
            </w:r>
          </w:p>
        </w:tc>
      </w:tr>
      <w:tr w:rsidR="009B4676" w:rsidTr="00971F35">
        <w:tc>
          <w:tcPr>
            <w:tcW w:w="4261" w:type="dxa"/>
          </w:tcPr>
          <w:p w:rsidR="009B4676" w:rsidRPr="004B2884" w:rsidRDefault="009B4676" w:rsidP="003E77B4">
            <w:pPr>
              <w:pStyle w:val="Default"/>
              <w:jc w:val="both"/>
              <w:rPr>
                <w:sz w:val="23"/>
                <w:szCs w:val="23"/>
              </w:rPr>
            </w:pPr>
            <w:r w:rsidRPr="004B2884">
              <w:rPr>
                <w:rFonts w:hint="eastAsia"/>
                <w:sz w:val="23"/>
                <w:szCs w:val="23"/>
              </w:rPr>
              <w:t>运用股指期货进行对冲的空头合约市值（单位：元）</w:t>
            </w:r>
          </w:p>
        </w:tc>
        <w:tc>
          <w:tcPr>
            <w:tcW w:w="4261" w:type="dxa"/>
          </w:tcPr>
          <w:p w:rsidR="009B4676" w:rsidRPr="00545F53" w:rsidRDefault="009A2FA1" w:rsidP="006145B1">
            <w:pPr>
              <w:rPr>
                <w:rFonts w:ascii="宋体" w:hAnsi="宋体"/>
                <w:kern w:val="0"/>
                <w:szCs w:val="24"/>
              </w:rPr>
            </w:pPr>
            <w:r w:rsidRPr="009A2FA1">
              <w:rPr>
                <w:rFonts w:ascii="宋体" w:hAnsi="宋体"/>
                <w:kern w:val="0"/>
                <w:szCs w:val="24"/>
              </w:rPr>
              <w:t>8</w:t>
            </w:r>
            <w:r>
              <w:rPr>
                <w:rFonts w:ascii="宋体" w:hAnsi="宋体"/>
                <w:kern w:val="0"/>
                <w:szCs w:val="24"/>
              </w:rPr>
              <w:t>,</w:t>
            </w:r>
            <w:r w:rsidRPr="009A2FA1">
              <w:rPr>
                <w:rFonts w:ascii="宋体" w:hAnsi="宋体"/>
                <w:kern w:val="0"/>
                <w:szCs w:val="24"/>
              </w:rPr>
              <w:t>197</w:t>
            </w:r>
            <w:r>
              <w:rPr>
                <w:rFonts w:ascii="宋体" w:hAnsi="宋体"/>
                <w:kern w:val="0"/>
                <w:szCs w:val="24"/>
              </w:rPr>
              <w:t>,</w:t>
            </w:r>
            <w:r w:rsidRPr="009A2FA1">
              <w:rPr>
                <w:rFonts w:ascii="宋体" w:hAnsi="宋体"/>
                <w:kern w:val="0"/>
                <w:szCs w:val="24"/>
              </w:rPr>
              <w:t>200.00</w:t>
            </w:r>
          </w:p>
        </w:tc>
      </w:tr>
      <w:tr w:rsidR="009B4676" w:rsidTr="00971F35">
        <w:tc>
          <w:tcPr>
            <w:tcW w:w="4261" w:type="dxa"/>
          </w:tcPr>
          <w:p w:rsidR="009B4676" w:rsidRPr="004B2884" w:rsidRDefault="009B4676" w:rsidP="003E77B4">
            <w:pPr>
              <w:pStyle w:val="Default"/>
              <w:jc w:val="both"/>
              <w:rPr>
                <w:sz w:val="23"/>
                <w:szCs w:val="23"/>
              </w:rPr>
            </w:pPr>
            <w:r w:rsidRPr="004B2884">
              <w:rPr>
                <w:rFonts w:hint="eastAsia"/>
                <w:sz w:val="23"/>
                <w:szCs w:val="23"/>
              </w:rPr>
              <w:t>股指期货占基金资产净值的比例</w:t>
            </w:r>
            <w:r w:rsidRPr="004B2884">
              <w:rPr>
                <w:sz w:val="23"/>
                <w:szCs w:val="23"/>
              </w:rPr>
              <w:t xml:space="preserve"> </w:t>
            </w:r>
          </w:p>
        </w:tc>
        <w:tc>
          <w:tcPr>
            <w:tcW w:w="4261" w:type="dxa"/>
          </w:tcPr>
          <w:p w:rsidR="009B4676" w:rsidRPr="00545F53" w:rsidRDefault="009A2FA1" w:rsidP="00A11D88">
            <w:pPr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46.59</w:t>
            </w:r>
            <w:bookmarkStart w:id="2" w:name="_GoBack"/>
            <w:bookmarkEnd w:id="2"/>
            <w:r w:rsidRPr="009A2FA1">
              <w:rPr>
                <w:rFonts w:ascii="宋体" w:hAnsi="宋体"/>
                <w:kern w:val="0"/>
                <w:szCs w:val="24"/>
              </w:rPr>
              <w:t>%</w:t>
            </w:r>
          </w:p>
        </w:tc>
      </w:tr>
    </w:tbl>
    <w:p w:rsidR="006145B1" w:rsidRDefault="00FD08D7" w:rsidP="00FD08D7">
      <w:pPr>
        <w:pStyle w:val="a3"/>
        <w:numPr>
          <w:ilvl w:val="0"/>
          <w:numId w:val="1"/>
        </w:numPr>
        <w:ind w:firstLineChars="0"/>
        <w:rPr>
          <w:rFonts w:ascii="宋体" w:hAnsi="宋体"/>
          <w:b/>
          <w:bCs/>
          <w:szCs w:val="21"/>
        </w:rPr>
      </w:pPr>
      <w:r w:rsidRPr="00FD08D7">
        <w:rPr>
          <w:rFonts w:ascii="宋体" w:hAnsi="宋体" w:hint="eastAsia"/>
          <w:b/>
          <w:bCs/>
          <w:szCs w:val="21"/>
        </w:rPr>
        <w:t>其它需要提示的事项</w:t>
      </w:r>
    </w:p>
    <w:p w:rsidR="00FD08D7" w:rsidRDefault="00FD08D7" w:rsidP="00FD08D7">
      <w:pPr>
        <w:pStyle w:val="Default"/>
        <w:ind w:firstLineChars="200" w:firstLine="460"/>
        <w:rPr>
          <w:rFonts w:hAnsi="Times New Roman"/>
          <w:sz w:val="23"/>
          <w:szCs w:val="23"/>
        </w:rPr>
      </w:pPr>
      <w:r>
        <w:rPr>
          <w:rFonts w:hint="eastAsia"/>
          <w:sz w:val="23"/>
          <w:szCs w:val="23"/>
        </w:rPr>
        <w:t>本公告仅对本基金对冲策略执行情况予以说明。投资人欲了解本基金的详细情况，请登录本公司网站（</w:t>
      </w:r>
      <w:r w:rsidRPr="00FD08D7">
        <w:rPr>
          <w:rFonts w:ascii="Times New Roman" w:hAnsi="Times New Roman" w:cs="Times New Roman"/>
          <w:sz w:val="23"/>
          <w:szCs w:val="23"/>
        </w:rPr>
        <w:t>www.huatai-pb.com</w:t>
      </w:r>
      <w:r>
        <w:rPr>
          <w:rFonts w:hAnsi="Times New Roman" w:hint="eastAsia"/>
          <w:sz w:val="23"/>
          <w:szCs w:val="23"/>
        </w:rPr>
        <w:t>）或拨打本公司客服电话</w:t>
      </w:r>
      <w:r>
        <w:rPr>
          <w:rFonts w:ascii="Times New Roman" w:hAnsi="Times New Roman" w:cs="Times New Roman" w:hint="eastAsia"/>
          <w:sz w:val="23"/>
          <w:szCs w:val="23"/>
        </w:rPr>
        <w:t>400-888-0001</w:t>
      </w:r>
      <w:r>
        <w:rPr>
          <w:rFonts w:hAnsi="Times New Roman" w:hint="eastAsia"/>
          <w:sz w:val="23"/>
          <w:szCs w:val="23"/>
        </w:rPr>
        <w:t>。</w:t>
      </w:r>
      <w:r>
        <w:rPr>
          <w:rFonts w:hAnsi="Times New Roman"/>
          <w:sz w:val="23"/>
          <w:szCs w:val="23"/>
        </w:rPr>
        <w:t xml:space="preserve"> </w:t>
      </w:r>
    </w:p>
    <w:p w:rsidR="00FD08D7" w:rsidRDefault="00FD08D7" w:rsidP="00FD08D7">
      <w:pPr>
        <w:ind w:firstLineChars="200" w:firstLine="460"/>
        <w:rPr>
          <w:rFonts w:ascii="宋体" w:eastAsia="宋体" w:cs="宋体"/>
          <w:color w:val="000000"/>
          <w:kern w:val="0"/>
          <w:sz w:val="23"/>
          <w:szCs w:val="23"/>
        </w:rPr>
      </w:pPr>
      <w:r w:rsidRPr="00FD08D7">
        <w:rPr>
          <w:rFonts w:ascii="宋体" w:eastAsia="宋体" w:cs="宋体" w:hint="eastAsia"/>
          <w:color w:val="000000"/>
          <w:kern w:val="0"/>
          <w:sz w:val="23"/>
          <w:szCs w:val="23"/>
        </w:rPr>
        <w:t>风险提示：本公司承诺以诚实信用、勤勉尽责的原则管理和运用基金资产，但不保证基金一定盈利，也不保证最低收益。基金的过往业绩及其净值高低并不预示其未来业绩表现。公司在此提醒广大投资者，投资者应了解基金投资的</w:t>
      </w:r>
      <w:r>
        <w:rPr>
          <w:rFonts w:ascii="宋体" w:eastAsia="宋体" w:cs="宋体" w:hint="eastAsia"/>
          <w:color w:val="000000"/>
          <w:kern w:val="0"/>
          <w:sz w:val="23"/>
          <w:szCs w:val="23"/>
        </w:rPr>
        <w:t>“</w:t>
      </w:r>
      <w:r w:rsidRPr="00FD08D7">
        <w:rPr>
          <w:rFonts w:ascii="宋体" w:eastAsia="宋体" w:cs="宋体" w:hint="eastAsia"/>
          <w:color w:val="000000"/>
          <w:kern w:val="0"/>
          <w:sz w:val="23"/>
          <w:szCs w:val="23"/>
        </w:rPr>
        <w:t>买者自负</w:t>
      </w:r>
      <w:r>
        <w:rPr>
          <w:rFonts w:ascii="宋体" w:eastAsia="宋体" w:cs="宋体" w:hint="eastAsia"/>
          <w:color w:val="000000"/>
          <w:kern w:val="0"/>
          <w:sz w:val="23"/>
          <w:szCs w:val="23"/>
        </w:rPr>
        <w:t>”</w:t>
      </w:r>
      <w:r>
        <w:rPr>
          <w:rFonts w:ascii="宋体" w:eastAsia="宋体" w:cs="宋体" w:hint="eastAsia"/>
          <w:color w:val="000000"/>
          <w:kern w:val="0"/>
          <w:sz w:val="23"/>
          <w:szCs w:val="23"/>
        </w:rPr>
        <w:lastRenderedPageBreak/>
        <w:t>原则，</w:t>
      </w:r>
      <w:r w:rsidRPr="00FD08D7">
        <w:rPr>
          <w:rFonts w:ascii="宋体" w:eastAsia="宋体" w:cs="宋体" w:hint="eastAsia"/>
          <w:color w:val="000000"/>
          <w:kern w:val="0"/>
          <w:sz w:val="23"/>
          <w:szCs w:val="23"/>
        </w:rPr>
        <w:t>在做出投资决策后，基金运营状况与基金净值变化引致的投资风险，投资者需自行负担。</w:t>
      </w:r>
    </w:p>
    <w:p w:rsidR="00382CB8" w:rsidRDefault="00382CB8" w:rsidP="00FD08D7">
      <w:pPr>
        <w:ind w:firstLineChars="200" w:firstLine="460"/>
        <w:rPr>
          <w:rFonts w:ascii="宋体" w:eastAsia="宋体" w:cs="宋体"/>
          <w:color w:val="000000"/>
          <w:kern w:val="0"/>
          <w:sz w:val="23"/>
          <w:szCs w:val="23"/>
        </w:rPr>
      </w:pPr>
    </w:p>
    <w:p w:rsidR="00382CB8" w:rsidRDefault="00382CB8" w:rsidP="00FD08D7">
      <w:pPr>
        <w:ind w:firstLineChars="200" w:firstLine="460"/>
        <w:rPr>
          <w:rFonts w:ascii="宋体" w:eastAsia="宋体" w:cs="宋体"/>
          <w:color w:val="000000"/>
          <w:kern w:val="0"/>
          <w:sz w:val="23"/>
          <w:szCs w:val="23"/>
        </w:rPr>
      </w:pPr>
    </w:p>
    <w:p w:rsidR="00382CB8" w:rsidRDefault="00382CB8" w:rsidP="00FD08D7">
      <w:pPr>
        <w:ind w:firstLineChars="200" w:firstLine="460"/>
        <w:rPr>
          <w:rFonts w:ascii="宋体" w:eastAsia="宋体" w:cs="宋体"/>
          <w:color w:val="000000"/>
          <w:kern w:val="0"/>
          <w:sz w:val="23"/>
          <w:szCs w:val="23"/>
        </w:rPr>
      </w:pPr>
      <w:r>
        <w:rPr>
          <w:rFonts w:ascii="宋体" w:eastAsia="宋体" w:cs="宋体" w:hint="eastAsia"/>
          <w:color w:val="000000"/>
          <w:kern w:val="0"/>
          <w:sz w:val="23"/>
          <w:szCs w:val="23"/>
        </w:rPr>
        <w:t xml:space="preserve">                                          华泰柏瑞基金管理有限公司</w:t>
      </w:r>
    </w:p>
    <w:p w:rsidR="00382CB8" w:rsidRPr="00FD08D7" w:rsidRDefault="00382CB8" w:rsidP="00FD08D7">
      <w:pPr>
        <w:ind w:firstLineChars="200" w:firstLine="460"/>
        <w:rPr>
          <w:rFonts w:ascii="宋体" w:eastAsia="宋体" w:cs="宋体"/>
          <w:color w:val="000000"/>
          <w:kern w:val="0"/>
          <w:sz w:val="23"/>
          <w:szCs w:val="23"/>
        </w:rPr>
      </w:pPr>
      <w:r>
        <w:rPr>
          <w:rFonts w:ascii="宋体" w:eastAsia="宋体" w:cs="宋体" w:hint="eastAsia"/>
          <w:color w:val="000000"/>
          <w:kern w:val="0"/>
          <w:sz w:val="23"/>
          <w:szCs w:val="23"/>
        </w:rPr>
        <w:t xml:space="preserve">                                          </w:t>
      </w:r>
      <w:r w:rsidR="00C54B05">
        <w:rPr>
          <w:rFonts w:ascii="宋体" w:eastAsia="宋体" w:cs="宋体" w:hint="eastAsia"/>
          <w:color w:val="000000"/>
          <w:kern w:val="0"/>
          <w:sz w:val="23"/>
          <w:szCs w:val="23"/>
        </w:rPr>
        <w:t xml:space="preserve">    </w:t>
      </w:r>
      <w:r w:rsidR="006D557D">
        <w:rPr>
          <w:rFonts w:ascii="宋体" w:eastAsia="宋体" w:cs="宋体" w:hint="eastAsia"/>
          <w:color w:val="000000"/>
          <w:kern w:val="0"/>
          <w:sz w:val="23"/>
          <w:szCs w:val="23"/>
        </w:rPr>
        <w:t>202</w:t>
      </w:r>
      <w:r w:rsidR="009B35DE">
        <w:rPr>
          <w:rFonts w:ascii="宋体" w:eastAsia="宋体" w:cs="宋体"/>
          <w:color w:val="000000"/>
          <w:kern w:val="0"/>
          <w:sz w:val="23"/>
          <w:szCs w:val="23"/>
        </w:rPr>
        <w:t>5</w:t>
      </w:r>
      <w:r w:rsidR="006D557D">
        <w:rPr>
          <w:rFonts w:ascii="宋体" w:eastAsia="宋体" w:cs="宋体" w:hint="eastAsia"/>
          <w:color w:val="000000"/>
          <w:kern w:val="0"/>
          <w:sz w:val="23"/>
          <w:szCs w:val="23"/>
        </w:rPr>
        <w:t>年</w:t>
      </w:r>
      <w:r w:rsidR="00031F7A">
        <w:rPr>
          <w:rFonts w:ascii="宋体" w:eastAsia="宋体" w:cs="宋体"/>
          <w:color w:val="000000"/>
          <w:kern w:val="0"/>
          <w:sz w:val="23"/>
          <w:szCs w:val="23"/>
        </w:rPr>
        <w:t>11</w:t>
      </w:r>
      <w:r w:rsidRPr="0090316F">
        <w:rPr>
          <w:rFonts w:ascii="宋体" w:eastAsia="宋体" w:cs="宋体" w:hint="eastAsia"/>
          <w:color w:val="000000"/>
          <w:kern w:val="0"/>
          <w:sz w:val="23"/>
          <w:szCs w:val="23"/>
        </w:rPr>
        <w:t>月</w:t>
      </w:r>
      <w:r w:rsidR="00031F7A">
        <w:rPr>
          <w:rFonts w:ascii="宋体" w:eastAsia="宋体" w:cs="宋体"/>
          <w:color w:val="000000"/>
          <w:kern w:val="0"/>
          <w:sz w:val="23"/>
          <w:szCs w:val="23"/>
        </w:rPr>
        <w:t>13</w:t>
      </w:r>
      <w:r w:rsidRPr="0090316F">
        <w:rPr>
          <w:rFonts w:ascii="宋体" w:eastAsia="宋体" w:cs="宋体" w:hint="eastAsia"/>
          <w:color w:val="000000"/>
          <w:kern w:val="0"/>
          <w:sz w:val="23"/>
          <w:szCs w:val="23"/>
        </w:rPr>
        <w:t>日</w:t>
      </w:r>
    </w:p>
    <w:sectPr w:rsidR="00382CB8" w:rsidRPr="00FD08D7" w:rsidSect="00D1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F7B" w:rsidRDefault="000C5F7B" w:rsidP="00317DA8">
      <w:r>
        <w:separator/>
      </w:r>
    </w:p>
  </w:endnote>
  <w:endnote w:type="continuationSeparator" w:id="0">
    <w:p w:rsidR="000C5F7B" w:rsidRDefault="000C5F7B" w:rsidP="00317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F7B" w:rsidRDefault="000C5F7B" w:rsidP="00317DA8">
      <w:r>
        <w:separator/>
      </w:r>
    </w:p>
  </w:footnote>
  <w:footnote w:type="continuationSeparator" w:id="0">
    <w:p w:rsidR="000C5F7B" w:rsidRDefault="000C5F7B" w:rsidP="00317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91C71"/>
    <w:multiLevelType w:val="hybridMultilevel"/>
    <w:tmpl w:val="4FE0BD2A"/>
    <w:lvl w:ilvl="0" w:tplc="FDDCA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5B1"/>
    <w:rsid w:val="000057D3"/>
    <w:rsid w:val="00031F7A"/>
    <w:rsid w:val="00042C18"/>
    <w:rsid w:val="00045FED"/>
    <w:rsid w:val="000568E0"/>
    <w:rsid w:val="00065208"/>
    <w:rsid w:val="000730E3"/>
    <w:rsid w:val="00086338"/>
    <w:rsid w:val="00090F01"/>
    <w:rsid w:val="000B4F51"/>
    <w:rsid w:val="000C598E"/>
    <w:rsid w:val="000C5F7B"/>
    <w:rsid w:val="000D14F6"/>
    <w:rsid w:val="000D256C"/>
    <w:rsid w:val="000F70A5"/>
    <w:rsid w:val="0010505E"/>
    <w:rsid w:val="001414C4"/>
    <w:rsid w:val="00195186"/>
    <w:rsid w:val="001C41B8"/>
    <w:rsid w:val="001C6410"/>
    <w:rsid w:val="001E2150"/>
    <w:rsid w:val="001F47AB"/>
    <w:rsid w:val="00215803"/>
    <w:rsid w:val="00217605"/>
    <w:rsid w:val="0022273C"/>
    <w:rsid w:val="0024709A"/>
    <w:rsid w:val="00282B7A"/>
    <w:rsid w:val="00283014"/>
    <w:rsid w:val="00286501"/>
    <w:rsid w:val="002A49A7"/>
    <w:rsid w:val="002D2FAA"/>
    <w:rsid w:val="002E5047"/>
    <w:rsid w:val="002E6CC4"/>
    <w:rsid w:val="002F3CED"/>
    <w:rsid w:val="00317DA8"/>
    <w:rsid w:val="0034049D"/>
    <w:rsid w:val="00345DCF"/>
    <w:rsid w:val="00347407"/>
    <w:rsid w:val="00381376"/>
    <w:rsid w:val="00382CB8"/>
    <w:rsid w:val="0039378D"/>
    <w:rsid w:val="00395C67"/>
    <w:rsid w:val="003E4D9A"/>
    <w:rsid w:val="003E623E"/>
    <w:rsid w:val="00411C88"/>
    <w:rsid w:val="00412935"/>
    <w:rsid w:val="00477F01"/>
    <w:rsid w:val="00491C21"/>
    <w:rsid w:val="004A358F"/>
    <w:rsid w:val="004B2884"/>
    <w:rsid w:val="004B6517"/>
    <w:rsid w:val="004C255B"/>
    <w:rsid w:val="004D7E95"/>
    <w:rsid w:val="004E4C97"/>
    <w:rsid w:val="004E78AD"/>
    <w:rsid w:val="00502426"/>
    <w:rsid w:val="005136C3"/>
    <w:rsid w:val="0054478B"/>
    <w:rsid w:val="00545121"/>
    <w:rsid w:val="00545F53"/>
    <w:rsid w:val="005467E0"/>
    <w:rsid w:val="00577AC3"/>
    <w:rsid w:val="005874B9"/>
    <w:rsid w:val="005953BE"/>
    <w:rsid w:val="005B60A4"/>
    <w:rsid w:val="005F0797"/>
    <w:rsid w:val="0060049F"/>
    <w:rsid w:val="0060168C"/>
    <w:rsid w:val="006145B1"/>
    <w:rsid w:val="00655F96"/>
    <w:rsid w:val="006A34F5"/>
    <w:rsid w:val="006D501F"/>
    <w:rsid w:val="006D557D"/>
    <w:rsid w:val="006E4714"/>
    <w:rsid w:val="006F5B4B"/>
    <w:rsid w:val="007222D6"/>
    <w:rsid w:val="00726A57"/>
    <w:rsid w:val="00745D4E"/>
    <w:rsid w:val="00746C3A"/>
    <w:rsid w:val="00752550"/>
    <w:rsid w:val="00754DF7"/>
    <w:rsid w:val="00757805"/>
    <w:rsid w:val="0076035F"/>
    <w:rsid w:val="007646AC"/>
    <w:rsid w:val="0077670D"/>
    <w:rsid w:val="007821BD"/>
    <w:rsid w:val="00786CE2"/>
    <w:rsid w:val="007B074D"/>
    <w:rsid w:val="007E11F5"/>
    <w:rsid w:val="0081393B"/>
    <w:rsid w:val="008160F5"/>
    <w:rsid w:val="00827ADA"/>
    <w:rsid w:val="00834C5E"/>
    <w:rsid w:val="0083768D"/>
    <w:rsid w:val="00866B9F"/>
    <w:rsid w:val="00887DA0"/>
    <w:rsid w:val="008A5818"/>
    <w:rsid w:val="008A76D8"/>
    <w:rsid w:val="008A79B1"/>
    <w:rsid w:val="008B26D1"/>
    <w:rsid w:val="008E2380"/>
    <w:rsid w:val="0090316F"/>
    <w:rsid w:val="00916C02"/>
    <w:rsid w:val="00917DF8"/>
    <w:rsid w:val="0092045C"/>
    <w:rsid w:val="009465E8"/>
    <w:rsid w:val="00960EF3"/>
    <w:rsid w:val="00971F35"/>
    <w:rsid w:val="009A2FA1"/>
    <w:rsid w:val="009B35DE"/>
    <w:rsid w:val="009B4676"/>
    <w:rsid w:val="009C6539"/>
    <w:rsid w:val="009D1039"/>
    <w:rsid w:val="009F2DA4"/>
    <w:rsid w:val="00A007F4"/>
    <w:rsid w:val="00A11D88"/>
    <w:rsid w:val="00A27F4D"/>
    <w:rsid w:val="00A431BB"/>
    <w:rsid w:val="00A63500"/>
    <w:rsid w:val="00A7163F"/>
    <w:rsid w:val="00A7420C"/>
    <w:rsid w:val="00AA4DC8"/>
    <w:rsid w:val="00AB2882"/>
    <w:rsid w:val="00AB4476"/>
    <w:rsid w:val="00AC27F7"/>
    <w:rsid w:val="00AD739D"/>
    <w:rsid w:val="00B00793"/>
    <w:rsid w:val="00B02250"/>
    <w:rsid w:val="00B16355"/>
    <w:rsid w:val="00B341DB"/>
    <w:rsid w:val="00B42BDE"/>
    <w:rsid w:val="00B60B85"/>
    <w:rsid w:val="00B639C9"/>
    <w:rsid w:val="00B709C8"/>
    <w:rsid w:val="00B75BB9"/>
    <w:rsid w:val="00B817A7"/>
    <w:rsid w:val="00B8691D"/>
    <w:rsid w:val="00B87D1E"/>
    <w:rsid w:val="00B90829"/>
    <w:rsid w:val="00B94F33"/>
    <w:rsid w:val="00BA172D"/>
    <w:rsid w:val="00BA303E"/>
    <w:rsid w:val="00BB43F3"/>
    <w:rsid w:val="00BD6F3D"/>
    <w:rsid w:val="00BF04F7"/>
    <w:rsid w:val="00C15A47"/>
    <w:rsid w:val="00C3319C"/>
    <w:rsid w:val="00C54B05"/>
    <w:rsid w:val="00C56FD2"/>
    <w:rsid w:val="00C80617"/>
    <w:rsid w:val="00C809CB"/>
    <w:rsid w:val="00CA6F62"/>
    <w:rsid w:val="00CB2985"/>
    <w:rsid w:val="00CC1C60"/>
    <w:rsid w:val="00CD7613"/>
    <w:rsid w:val="00CE5AC9"/>
    <w:rsid w:val="00CF412E"/>
    <w:rsid w:val="00D01FC3"/>
    <w:rsid w:val="00D06EA3"/>
    <w:rsid w:val="00D1229D"/>
    <w:rsid w:val="00D13CED"/>
    <w:rsid w:val="00D15C73"/>
    <w:rsid w:val="00D353A8"/>
    <w:rsid w:val="00D545F2"/>
    <w:rsid w:val="00D800BD"/>
    <w:rsid w:val="00D83A69"/>
    <w:rsid w:val="00D946F6"/>
    <w:rsid w:val="00DF3796"/>
    <w:rsid w:val="00E52B60"/>
    <w:rsid w:val="00E82239"/>
    <w:rsid w:val="00E83582"/>
    <w:rsid w:val="00E837FC"/>
    <w:rsid w:val="00E84119"/>
    <w:rsid w:val="00E85AB1"/>
    <w:rsid w:val="00E91779"/>
    <w:rsid w:val="00E93771"/>
    <w:rsid w:val="00EA06F9"/>
    <w:rsid w:val="00EB1E50"/>
    <w:rsid w:val="00ED14F9"/>
    <w:rsid w:val="00EF61F3"/>
    <w:rsid w:val="00F231C4"/>
    <w:rsid w:val="00F27E5F"/>
    <w:rsid w:val="00F56264"/>
    <w:rsid w:val="00F57B76"/>
    <w:rsid w:val="00F711D7"/>
    <w:rsid w:val="00FA58A7"/>
    <w:rsid w:val="00FB16F4"/>
    <w:rsid w:val="00FD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B1"/>
    <w:pPr>
      <w:ind w:firstLineChars="200" w:firstLine="420"/>
    </w:pPr>
  </w:style>
  <w:style w:type="table" w:styleId="a4">
    <w:name w:val="Table Grid"/>
    <w:basedOn w:val="a1"/>
    <w:uiPriority w:val="59"/>
    <w:rsid w:val="00614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1F3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17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DA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DA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8633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8633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800B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800B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800B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800B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800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ECB6-17A0-40F6-8656-B23536C8B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4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zengly</dc:creator>
  <cp:lastModifiedBy>ZHONGM</cp:lastModifiedBy>
  <cp:revision>2</cp:revision>
  <dcterms:created xsi:type="dcterms:W3CDTF">2025-11-12T16:01:00Z</dcterms:created>
  <dcterms:modified xsi:type="dcterms:W3CDTF">2025-11-12T16:01:00Z</dcterms:modified>
</cp:coreProperties>
</file>