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B13" w:rsidRPr="00BC2542" w:rsidRDefault="00756348" w:rsidP="007026C5">
      <w:pPr>
        <w:widowControl w:val="0"/>
        <w:spacing w:after="0" w:line="360" w:lineRule="auto"/>
        <w:jc w:val="center"/>
        <w:rPr>
          <w:rFonts w:ascii="黑体" w:eastAsia="黑体" w:hAnsi="黑体" w:cs="Times New Roman"/>
          <w:b/>
          <w:color w:val="FF0000"/>
          <w:sz w:val="32"/>
          <w:szCs w:val="32"/>
        </w:rPr>
      </w:pPr>
      <w:r w:rsidRPr="00D65585">
        <w:rPr>
          <w:rFonts w:ascii="黑体" w:eastAsia="黑体" w:hAnsi="黑体" w:cs="Times New Roman"/>
          <w:b/>
          <w:color w:val="FF0000"/>
          <w:sz w:val="32"/>
          <w:szCs w:val="32"/>
        </w:rPr>
        <w:t>关于</w:t>
      </w:r>
      <w:r w:rsidR="007D4059">
        <w:rPr>
          <w:rFonts w:ascii="黑体" w:eastAsia="黑体" w:hAnsi="黑体" w:cs="Times New Roman" w:hint="eastAsia"/>
          <w:b/>
          <w:color w:val="FF0000"/>
          <w:sz w:val="32"/>
          <w:szCs w:val="32"/>
        </w:rPr>
        <w:t>嘉实恒生港股通科技主题交易型开放式指数证券投资基金联接基金</w:t>
      </w:r>
      <w:r w:rsidRPr="00D65585">
        <w:rPr>
          <w:rFonts w:ascii="黑体" w:eastAsia="黑体" w:hAnsi="黑体" w:cs="Times New Roman"/>
          <w:b/>
          <w:color w:val="FF0000"/>
          <w:sz w:val="32"/>
          <w:szCs w:val="32"/>
        </w:rPr>
        <w:t>202</w:t>
      </w:r>
      <w:r w:rsidR="007026C5">
        <w:rPr>
          <w:rFonts w:ascii="黑体" w:eastAsia="黑体" w:hAnsi="黑体" w:cs="Times New Roman"/>
          <w:b/>
          <w:color w:val="FF0000"/>
          <w:sz w:val="32"/>
          <w:szCs w:val="32"/>
        </w:rPr>
        <w:t>5</w:t>
      </w:r>
      <w:r w:rsidRPr="00D65585">
        <w:rPr>
          <w:rFonts w:ascii="黑体" w:eastAsia="黑体" w:hAnsi="黑体" w:cs="Times New Roman"/>
          <w:b/>
          <w:color w:val="FF0000"/>
          <w:sz w:val="32"/>
          <w:szCs w:val="32"/>
        </w:rPr>
        <w:t>年非港股通交易日</w:t>
      </w:r>
      <w:r w:rsidR="00825D94">
        <w:rPr>
          <w:rFonts w:ascii="黑体" w:eastAsia="黑体" w:hAnsi="黑体" w:cs="Times New Roman" w:hint="eastAsia"/>
          <w:b/>
          <w:color w:val="FF0000"/>
          <w:sz w:val="32"/>
          <w:szCs w:val="32"/>
        </w:rPr>
        <w:t>暂停</w:t>
      </w:r>
      <w:r w:rsidRPr="00D65585">
        <w:rPr>
          <w:rFonts w:ascii="黑体" w:eastAsia="黑体" w:hAnsi="黑体" w:cs="Times New Roman"/>
          <w:b/>
          <w:color w:val="FF0000"/>
          <w:sz w:val="32"/>
          <w:szCs w:val="32"/>
        </w:rPr>
        <w:t>申购</w:t>
      </w:r>
      <w:r w:rsidR="00825D94">
        <w:rPr>
          <w:rFonts w:ascii="黑体" w:eastAsia="黑体" w:hAnsi="黑体" w:cs="Times New Roman" w:hint="eastAsia"/>
          <w:b/>
          <w:color w:val="FF0000"/>
          <w:sz w:val="32"/>
          <w:szCs w:val="32"/>
        </w:rPr>
        <w:t>、</w:t>
      </w:r>
      <w:r w:rsidRPr="00D65585">
        <w:rPr>
          <w:rFonts w:ascii="黑体" w:eastAsia="黑体" w:hAnsi="黑体" w:cs="Times New Roman"/>
          <w:b/>
          <w:color w:val="FF0000"/>
          <w:sz w:val="32"/>
          <w:szCs w:val="32"/>
        </w:rPr>
        <w:t>赎回等业务安排的公告</w:t>
      </w:r>
    </w:p>
    <w:p w:rsidR="006D2B13" w:rsidRPr="00D65585" w:rsidRDefault="00756348" w:rsidP="001F1256">
      <w:pPr>
        <w:spacing w:after="117" w:line="360" w:lineRule="auto"/>
        <w:ind w:left="420"/>
        <w:rPr>
          <w:rFonts w:ascii="宋体" w:eastAsia="宋体" w:hAnsi="宋体"/>
        </w:rPr>
      </w:pPr>
      <w:r w:rsidRPr="00D65585">
        <w:rPr>
          <w:rFonts w:ascii="宋体" w:eastAsia="宋体" w:hAnsi="宋体" w:cs="Times New Roman"/>
          <w:sz w:val="21"/>
        </w:rPr>
        <w:t xml:space="preserve"> </w:t>
      </w:r>
    </w:p>
    <w:p w:rsidR="00751F6E" w:rsidRPr="004F47E2" w:rsidRDefault="00756348" w:rsidP="001F1256">
      <w:pPr>
        <w:spacing w:after="1" w:line="360" w:lineRule="auto"/>
        <w:ind w:left="-15" w:firstLine="410"/>
        <w:rPr>
          <w:rFonts w:ascii="宋体" w:eastAsia="宋体" w:hAnsi="宋体" w:cs="Times New Roman"/>
          <w:color w:val="auto"/>
          <w:sz w:val="21"/>
          <w:szCs w:val="21"/>
        </w:rPr>
      </w:pPr>
      <w:r w:rsidRPr="006B6A00">
        <w:rPr>
          <w:rFonts w:ascii="宋体" w:eastAsia="宋体" w:hAnsi="宋体" w:cs="宋体"/>
          <w:sz w:val="21"/>
          <w:szCs w:val="21"/>
        </w:rPr>
        <w:t>根据《</w:t>
      </w:r>
      <w:r w:rsidR="007D4059">
        <w:rPr>
          <w:rFonts w:ascii="宋体" w:eastAsia="宋体" w:hAnsi="宋体" w:cs="宋体" w:hint="eastAsia"/>
          <w:sz w:val="21"/>
          <w:szCs w:val="21"/>
        </w:rPr>
        <w:t>嘉实恒生港股通科技主题交易型开放式指数证券投资基金联接基金</w:t>
      </w:r>
      <w:r w:rsidRPr="006B6A00">
        <w:rPr>
          <w:rFonts w:ascii="宋体" w:eastAsia="宋体" w:hAnsi="宋体" w:cs="宋体"/>
          <w:sz w:val="21"/>
          <w:szCs w:val="21"/>
        </w:rPr>
        <w:t>基金合同》、《</w:t>
      </w:r>
      <w:r w:rsidR="007D4059">
        <w:rPr>
          <w:rFonts w:ascii="宋体" w:eastAsia="宋体" w:hAnsi="宋体" w:cs="宋体" w:hint="eastAsia"/>
          <w:sz w:val="21"/>
          <w:szCs w:val="21"/>
        </w:rPr>
        <w:t>嘉实恒生港股通科技主题交易型开放式指数证券投资基金联接基金</w:t>
      </w:r>
      <w:r w:rsidRPr="006B6A00">
        <w:rPr>
          <w:rFonts w:ascii="宋体" w:eastAsia="宋体" w:hAnsi="宋体" w:cs="宋体"/>
          <w:sz w:val="21"/>
          <w:szCs w:val="21"/>
        </w:rPr>
        <w:t>招募说明书》的有关规定</w:t>
      </w:r>
      <w:r w:rsidRPr="004F47E2">
        <w:rPr>
          <w:rFonts w:ascii="宋体" w:eastAsia="宋体" w:hAnsi="宋体" w:cs="宋体"/>
          <w:color w:val="auto"/>
          <w:sz w:val="21"/>
          <w:szCs w:val="21"/>
        </w:rPr>
        <w:t>，</w:t>
      </w:r>
      <w:r w:rsidR="001F2DB9" w:rsidRPr="001F2DB9">
        <w:rPr>
          <w:rFonts w:ascii="宋体" w:eastAsia="宋体" w:hAnsi="宋体" w:hint="eastAsia"/>
          <w:color w:val="auto"/>
          <w:sz w:val="21"/>
          <w:szCs w:val="21"/>
        </w:rPr>
        <w:t>投资人在开放日的开放时间办理基金份额的申购和赎回，若该日为非港股通交易日，则基金管理人不开放基金份额申购、赎回或其他业务，具体办理时间为证券交易所的正常交易日的交易时间，但基金管理人根据法律法规、中国证监会的要求或本基金合同的规定公告暂停申购、赎回时除外</w:t>
      </w:r>
      <w:r w:rsidR="00751F6E" w:rsidRPr="004F47E2">
        <w:rPr>
          <w:rFonts w:ascii="宋体" w:eastAsia="宋体" w:hAnsi="宋体" w:hint="eastAsia"/>
          <w:color w:val="auto"/>
          <w:sz w:val="21"/>
          <w:szCs w:val="21"/>
        </w:rPr>
        <w:t>。</w:t>
      </w:r>
    </w:p>
    <w:p w:rsidR="008611C7" w:rsidRPr="006B6A00" w:rsidRDefault="00825D94" w:rsidP="008611C7">
      <w:pPr>
        <w:spacing w:after="3" w:line="360" w:lineRule="auto"/>
        <w:ind w:right="107" w:firstLine="420"/>
        <w:jc w:val="both"/>
        <w:rPr>
          <w:rFonts w:ascii="宋体" w:eastAsia="宋体" w:hAnsi="宋体" w:cs="Times New Roman"/>
          <w:sz w:val="21"/>
          <w:szCs w:val="21"/>
        </w:rPr>
      </w:pPr>
      <w:r w:rsidRPr="006B6A00">
        <w:rPr>
          <w:rFonts w:ascii="宋体" w:eastAsia="宋体" w:hAnsi="宋体" w:cs="宋体" w:hint="eastAsia"/>
          <w:color w:val="auto"/>
          <w:sz w:val="21"/>
          <w:szCs w:val="21"/>
        </w:rPr>
        <w:t>为保障基金平稳运作，维护基金份额持有人利益，本基金将于</w:t>
      </w:r>
      <w:r w:rsidRPr="006B6A00">
        <w:rPr>
          <w:rFonts w:ascii="宋体" w:eastAsia="宋体" w:hAnsi="宋体" w:cs="宋体"/>
          <w:color w:val="auto"/>
          <w:sz w:val="21"/>
          <w:szCs w:val="21"/>
        </w:rPr>
        <w:t>202</w:t>
      </w:r>
      <w:r w:rsidR="007026C5">
        <w:rPr>
          <w:rFonts w:ascii="宋体" w:eastAsia="宋体" w:hAnsi="宋体" w:cs="宋体"/>
          <w:color w:val="auto"/>
          <w:sz w:val="21"/>
          <w:szCs w:val="21"/>
        </w:rPr>
        <w:t>5</w:t>
      </w:r>
      <w:r w:rsidRPr="006B6A00">
        <w:rPr>
          <w:rFonts w:ascii="宋体" w:eastAsia="宋体" w:hAnsi="宋体" w:cs="宋体" w:hint="eastAsia"/>
          <w:color w:val="auto"/>
          <w:sz w:val="21"/>
          <w:szCs w:val="21"/>
        </w:rPr>
        <w:t>年非港股通交易日暂停办理申购、赎回等业务，</w:t>
      </w:r>
      <w:r w:rsidR="00756348" w:rsidRPr="006B6A00">
        <w:rPr>
          <w:rFonts w:ascii="宋体" w:eastAsia="宋体" w:hAnsi="宋体" w:cs="宋体"/>
          <w:sz w:val="21"/>
          <w:szCs w:val="21"/>
        </w:rPr>
        <w:t>并自</w:t>
      </w:r>
      <w:r w:rsidR="002E4DEF">
        <w:rPr>
          <w:rFonts w:ascii="宋体" w:eastAsia="宋体" w:hAnsi="宋体" w:cs="宋体" w:hint="eastAsia"/>
          <w:sz w:val="21"/>
          <w:szCs w:val="21"/>
        </w:rPr>
        <w:t>下列</w:t>
      </w:r>
      <w:r w:rsidR="00756348" w:rsidRPr="006B6A00">
        <w:rPr>
          <w:rFonts w:ascii="宋体" w:eastAsia="宋体" w:hAnsi="宋体" w:cs="宋体"/>
          <w:sz w:val="21"/>
          <w:szCs w:val="21"/>
        </w:rPr>
        <w:t>非港股通交易日的下一开放日恢复本基金的日常申购、赎回等业务。届时不再另行公告。</w:t>
      </w:r>
      <w:r w:rsidR="00756348" w:rsidRPr="006B6A00">
        <w:rPr>
          <w:rFonts w:ascii="宋体" w:eastAsia="宋体" w:hAnsi="宋体" w:cs="Times New Roman"/>
          <w:sz w:val="21"/>
          <w:szCs w:val="21"/>
        </w:rPr>
        <w:t xml:space="preserve"> </w:t>
      </w:r>
    </w:p>
    <w:p w:rsidR="008611C7" w:rsidRPr="006B6A00" w:rsidRDefault="00957FFE" w:rsidP="008611C7">
      <w:pPr>
        <w:spacing w:after="3" w:line="360" w:lineRule="auto"/>
        <w:ind w:right="107" w:firstLine="420"/>
        <w:jc w:val="both"/>
        <w:rPr>
          <w:rFonts w:ascii="宋体" w:eastAsia="宋体" w:hAnsi="宋体" w:cs="Times New Roman"/>
          <w:sz w:val="21"/>
          <w:szCs w:val="21"/>
        </w:rPr>
      </w:pPr>
      <w:r w:rsidRPr="006B6A00">
        <w:rPr>
          <w:rFonts w:ascii="宋体" w:eastAsia="宋体" w:hAnsi="宋体" w:cs="Times New Roman" w:hint="eastAsia"/>
          <w:sz w:val="21"/>
          <w:szCs w:val="21"/>
        </w:rPr>
        <w:t>本基金2</w:t>
      </w:r>
      <w:r w:rsidRPr="006B6A00">
        <w:rPr>
          <w:rFonts w:ascii="宋体" w:eastAsia="宋体" w:hAnsi="宋体" w:cs="Times New Roman"/>
          <w:sz w:val="21"/>
          <w:szCs w:val="21"/>
        </w:rPr>
        <w:t>02</w:t>
      </w:r>
      <w:r w:rsidR="007026C5">
        <w:rPr>
          <w:rFonts w:ascii="宋体" w:eastAsia="宋体" w:hAnsi="宋体" w:cs="Times New Roman"/>
          <w:sz w:val="21"/>
          <w:szCs w:val="21"/>
        </w:rPr>
        <w:t>5</w:t>
      </w:r>
      <w:r w:rsidRPr="006B6A00">
        <w:rPr>
          <w:rFonts w:ascii="宋体" w:eastAsia="宋体" w:hAnsi="宋体" w:cs="Times New Roman" w:hint="eastAsia"/>
          <w:sz w:val="21"/>
          <w:szCs w:val="21"/>
        </w:rPr>
        <w:t>年非港股通交易日提示如下：</w:t>
      </w:r>
    </w:p>
    <w:tbl>
      <w:tblPr>
        <w:tblW w:w="8217" w:type="dxa"/>
        <w:tblLook w:val="04A0"/>
      </w:tblPr>
      <w:tblGrid>
        <w:gridCol w:w="1413"/>
        <w:gridCol w:w="6804"/>
      </w:tblGrid>
      <w:tr w:rsidR="008611C7" w:rsidRPr="006B6A00" w:rsidTr="00960E5B">
        <w:trPr>
          <w:trHeight w:val="280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11C7" w:rsidRPr="006B6A00" w:rsidRDefault="008611C7" w:rsidP="00960E5B">
            <w:pPr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6B6A00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202</w:t>
            </w:r>
            <w:r w:rsidR="007026C5">
              <w:rPr>
                <w:rFonts w:ascii="宋体" w:eastAsia="宋体" w:hAnsi="宋体" w:cs="Times New Roman"/>
                <w:kern w:val="0"/>
                <w:sz w:val="21"/>
                <w:szCs w:val="21"/>
              </w:rPr>
              <w:t>5</w:t>
            </w:r>
            <w:r w:rsidRPr="006B6A00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年</w:t>
            </w:r>
          </w:p>
        </w:tc>
      </w:tr>
      <w:tr w:rsidR="00BE5C7E" w:rsidRPr="006B6A00" w:rsidTr="00960E5B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C7E" w:rsidRPr="006B6A00" w:rsidRDefault="00BE5C7E" w:rsidP="00BE5C7E">
            <w:pPr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6B6A00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12月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149" w:rsidRDefault="00BE5C7E" w:rsidP="00BE5C7E">
            <w:pPr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6B6A00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2</w:t>
            </w:r>
            <w:r w:rsidR="00C95149">
              <w:rPr>
                <w:rFonts w:ascii="宋体" w:eastAsia="宋体" w:hAnsi="宋体" w:cs="Times New Roman"/>
                <w:kern w:val="0"/>
                <w:sz w:val="21"/>
                <w:szCs w:val="21"/>
              </w:rPr>
              <w:t>4</w:t>
            </w:r>
            <w:r w:rsidR="00C95149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日（</w:t>
            </w:r>
            <w:r w:rsidR="00C95149" w:rsidRPr="006B6A00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圣诞节，</w:t>
            </w:r>
            <w:r w:rsidR="00C95149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下午不提供港股通服务）</w:t>
            </w:r>
          </w:p>
          <w:p w:rsidR="00BE5C7E" w:rsidRDefault="00C95149" w:rsidP="00BE5C7E">
            <w:pPr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日、</w:t>
            </w:r>
            <w:r w:rsidR="00BE5C7E" w:rsidRPr="006B6A00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2</w:t>
            </w:r>
            <w:r w:rsidR="00BE5C7E" w:rsidRPr="006B6A00">
              <w:rPr>
                <w:rFonts w:ascii="宋体" w:eastAsia="宋体" w:hAnsi="宋体" w:cs="Times New Roman"/>
                <w:kern w:val="0"/>
                <w:sz w:val="21"/>
                <w:szCs w:val="21"/>
              </w:rPr>
              <w:t>6</w:t>
            </w:r>
            <w:r w:rsidR="00BE5C7E" w:rsidRPr="006B6A00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日（圣诞节，非港股通交易日）</w:t>
            </w:r>
          </w:p>
          <w:p w:rsidR="007026C5" w:rsidRPr="006B6A00" w:rsidRDefault="007026C5" w:rsidP="00BE5C7E">
            <w:pP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3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日（新年前夕，下午不提供港股通服务）</w:t>
            </w:r>
          </w:p>
        </w:tc>
      </w:tr>
    </w:tbl>
    <w:p w:rsidR="00D65585" w:rsidRPr="006B6A00" w:rsidRDefault="00D65585" w:rsidP="00D65585">
      <w:pPr>
        <w:rPr>
          <w:rFonts w:ascii="宋体" w:eastAsia="宋体" w:hAnsi="宋体"/>
          <w:sz w:val="21"/>
          <w:szCs w:val="21"/>
        </w:rPr>
      </w:pPr>
      <w:r w:rsidRPr="006B6A00">
        <w:rPr>
          <w:rFonts w:ascii="宋体" w:eastAsia="宋体" w:hAnsi="宋体" w:hint="eastAsia"/>
          <w:sz w:val="21"/>
          <w:szCs w:val="21"/>
        </w:rPr>
        <w:t>注：</w:t>
      </w:r>
    </w:p>
    <w:p w:rsidR="00D65585" w:rsidRPr="006B6A00" w:rsidRDefault="00D65585" w:rsidP="002950AB">
      <w:pPr>
        <w:spacing w:after="0" w:line="360" w:lineRule="auto"/>
        <w:rPr>
          <w:rFonts w:ascii="宋体" w:eastAsia="宋体" w:hAnsi="宋体"/>
          <w:sz w:val="21"/>
          <w:szCs w:val="21"/>
        </w:rPr>
      </w:pPr>
      <w:r w:rsidRPr="006B6A00">
        <w:rPr>
          <w:rFonts w:ascii="宋体" w:eastAsia="宋体" w:hAnsi="宋体" w:hint="eastAsia"/>
          <w:sz w:val="21"/>
          <w:szCs w:val="21"/>
        </w:rPr>
        <w:t>1、上述非港股通交易日已剔除和上海证券交易所、深圳证券交易所休市日重合的日期。</w:t>
      </w:r>
    </w:p>
    <w:p w:rsidR="00D65585" w:rsidRPr="006B6A00" w:rsidRDefault="00D65585" w:rsidP="002950AB">
      <w:pPr>
        <w:spacing w:after="0" w:line="360" w:lineRule="auto"/>
        <w:rPr>
          <w:rFonts w:ascii="宋体" w:eastAsia="宋体" w:hAnsi="宋体" w:hint="eastAsia"/>
          <w:sz w:val="21"/>
          <w:szCs w:val="21"/>
        </w:rPr>
      </w:pPr>
      <w:r w:rsidRPr="006B6A00">
        <w:rPr>
          <w:rFonts w:ascii="宋体" w:eastAsia="宋体" w:hAnsi="宋体" w:hint="eastAsia"/>
          <w:sz w:val="21"/>
          <w:szCs w:val="21"/>
        </w:rPr>
        <w:t>2、如遇本基金因其他原因暂停申购、赎回等业务的，具体业务办理以相关公告为准。</w:t>
      </w:r>
    </w:p>
    <w:p w:rsidR="00D65585" w:rsidRPr="006B6A00" w:rsidRDefault="00D65585" w:rsidP="002950AB">
      <w:pPr>
        <w:spacing w:after="0" w:line="360" w:lineRule="auto"/>
        <w:ind w:firstLine="482"/>
        <w:rPr>
          <w:rFonts w:ascii="宋体" w:eastAsia="宋体" w:hAnsi="宋体"/>
          <w:sz w:val="21"/>
          <w:szCs w:val="21"/>
        </w:rPr>
      </w:pPr>
      <w:r w:rsidRPr="006B6A00">
        <w:rPr>
          <w:rFonts w:ascii="宋体" w:eastAsia="宋体" w:hAnsi="宋体" w:hint="eastAsia"/>
          <w:sz w:val="21"/>
          <w:szCs w:val="21"/>
        </w:rPr>
        <w:t>若港股通交易日安排发生变化，本基金管理人将进行相应调整并依照《公开募集证券投资基金信息披露管理办法》的有关规定在指定媒介上公告</w:t>
      </w:r>
      <w:r w:rsidR="00C95149">
        <w:rPr>
          <w:rFonts w:ascii="宋体" w:eastAsia="宋体" w:hAnsi="宋体" w:hint="eastAsia"/>
          <w:sz w:val="21"/>
          <w:szCs w:val="21"/>
        </w:rPr>
        <w:t>。</w:t>
      </w:r>
    </w:p>
    <w:p w:rsidR="00D65585" w:rsidRPr="006B6A00" w:rsidRDefault="00D65585" w:rsidP="002950AB">
      <w:pPr>
        <w:spacing w:after="0" w:line="360" w:lineRule="auto"/>
        <w:ind w:firstLine="482"/>
        <w:rPr>
          <w:rFonts w:ascii="宋体" w:eastAsia="宋体" w:hAnsi="宋体"/>
          <w:sz w:val="21"/>
          <w:szCs w:val="21"/>
        </w:rPr>
      </w:pPr>
      <w:r w:rsidRPr="006B6A00">
        <w:rPr>
          <w:rFonts w:ascii="宋体" w:eastAsia="宋体" w:hAnsi="宋体" w:hint="eastAsia"/>
          <w:sz w:val="21"/>
          <w:szCs w:val="21"/>
        </w:rPr>
        <w:t>投资者可访问嘉实基金管理有限公司网站</w:t>
      </w:r>
      <w:r w:rsidRPr="006B6A00">
        <w:rPr>
          <w:rFonts w:ascii="宋体" w:eastAsia="宋体" w:hAnsi="宋体"/>
          <w:sz w:val="21"/>
          <w:szCs w:val="21"/>
        </w:rPr>
        <w:t>(www.</w:t>
      </w:r>
      <w:r w:rsidRPr="006B6A00">
        <w:rPr>
          <w:rFonts w:ascii="宋体" w:eastAsia="宋体" w:hAnsi="宋体" w:hint="eastAsia"/>
          <w:sz w:val="21"/>
          <w:szCs w:val="21"/>
        </w:rPr>
        <w:t>js</w:t>
      </w:r>
      <w:r w:rsidRPr="006B6A00">
        <w:rPr>
          <w:rFonts w:ascii="宋体" w:eastAsia="宋体" w:hAnsi="宋体"/>
          <w:sz w:val="21"/>
          <w:szCs w:val="21"/>
        </w:rPr>
        <w:t>fund.cn)或拨打客户服务电话（400-600-8800）咨询相关情况。敬请投资者及早做好交易安排，避免因假期原因带来不便。</w:t>
      </w:r>
    </w:p>
    <w:p w:rsidR="00D65585" w:rsidRPr="006B6A00" w:rsidRDefault="00D65585" w:rsidP="00D65585">
      <w:pPr>
        <w:ind w:firstLine="480"/>
        <w:jc w:val="right"/>
        <w:rPr>
          <w:rFonts w:ascii="宋体" w:eastAsia="宋体" w:hAnsi="宋体"/>
          <w:sz w:val="21"/>
          <w:szCs w:val="21"/>
        </w:rPr>
      </w:pPr>
    </w:p>
    <w:p w:rsidR="00D65585" w:rsidRPr="006B6A00" w:rsidRDefault="00D65585" w:rsidP="00182A3D">
      <w:pPr>
        <w:ind w:firstLine="480"/>
        <w:jc w:val="right"/>
        <w:rPr>
          <w:rFonts w:ascii="宋体" w:eastAsia="宋体" w:hAnsi="宋体"/>
          <w:sz w:val="21"/>
          <w:szCs w:val="21"/>
        </w:rPr>
      </w:pPr>
      <w:r w:rsidRPr="006B6A00">
        <w:rPr>
          <w:rFonts w:ascii="宋体" w:eastAsia="宋体" w:hAnsi="宋体" w:hint="eastAsia"/>
          <w:sz w:val="21"/>
          <w:szCs w:val="21"/>
        </w:rPr>
        <w:t>嘉实基金管理有限公司</w:t>
      </w:r>
    </w:p>
    <w:p w:rsidR="00D65585" w:rsidRPr="006B6A00" w:rsidRDefault="00D65585" w:rsidP="00182A3D">
      <w:pPr>
        <w:spacing w:after="111"/>
        <w:jc w:val="right"/>
        <w:rPr>
          <w:rFonts w:ascii="宋体" w:eastAsia="宋体" w:hAnsi="宋体"/>
          <w:sz w:val="21"/>
          <w:szCs w:val="21"/>
        </w:rPr>
      </w:pPr>
      <w:r w:rsidRPr="006B6A00">
        <w:rPr>
          <w:rFonts w:ascii="宋体" w:eastAsia="宋体" w:hAnsi="宋体" w:hint="eastAsia"/>
          <w:sz w:val="21"/>
          <w:szCs w:val="21"/>
        </w:rPr>
        <w:t xml:space="preserve"> </w:t>
      </w:r>
      <w:r w:rsidRPr="006B6A00">
        <w:rPr>
          <w:rFonts w:ascii="宋体" w:eastAsia="宋体" w:hAnsi="宋体"/>
          <w:sz w:val="21"/>
          <w:szCs w:val="21"/>
        </w:rPr>
        <w:t xml:space="preserve">                                                          </w:t>
      </w:r>
      <w:r w:rsidR="00182A3D" w:rsidRPr="006B6A00">
        <w:rPr>
          <w:rFonts w:ascii="宋体" w:eastAsia="宋体" w:hAnsi="宋体"/>
          <w:sz w:val="21"/>
          <w:szCs w:val="21"/>
        </w:rPr>
        <w:t xml:space="preserve">   </w:t>
      </w:r>
      <w:r w:rsidR="00A4488B" w:rsidRPr="006B6A00">
        <w:rPr>
          <w:rFonts w:ascii="宋体" w:eastAsia="宋体" w:hAnsi="宋体"/>
          <w:sz w:val="21"/>
          <w:szCs w:val="21"/>
        </w:rPr>
        <w:t xml:space="preserve"> </w:t>
      </w:r>
      <w:r w:rsidR="00716505" w:rsidRPr="006B6A00">
        <w:rPr>
          <w:rFonts w:ascii="宋体" w:eastAsia="宋体" w:hAnsi="宋体" w:cs="宋体"/>
          <w:sz w:val="21"/>
          <w:szCs w:val="21"/>
        </w:rPr>
        <w:t>202</w:t>
      </w:r>
      <w:r w:rsidR="007026C5">
        <w:rPr>
          <w:rFonts w:ascii="宋体" w:eastAsia="宋体" w:hAnsi="宋体" w:cs="宋体"/>
          <w:sz w:val="21"/>
          <w:szCs w:val="21"/>
        </w:rPr>
        <w:t>5</w:t>
      </w:r>
      <w:r w:rsidR="00716505" w:rsidRPr="006B6A00">
        <w:rPr>
          <w:rFonts w:ascii="宋体" w:eastAsia="宋体" w:hAnsi="宋体" w:cs="宋体" w:hint="eastAsia"/>
          <w:sz w:val="21"/>
          <w:szCs w:val="21"/>
        </w:rPr>
        <w:t>年</w:t>
      </w:r>
      <w:r w:rsidR="007D4059">
        <w:rPr>
          <w:rFonts w:ascii="宋体" w:eastAsia="宋体" w:hAnsi="宋体" w:cs="宋体"/>
          <w:sz w:val="21"/>
          <w:szCs w:val="21"/>
        </w:rPr>
        <w:t>11</w:t>
      </w:r>
      <w:r w:rsidRPr="006B6A00">
        <w:rPr>
          <w:rFonts w:ascii="宋体" w:eastAsia="宋体" w:hAnsi="宋体" w:cs="宋体" w:hint="eastAsia"/>
          <w:sz w:val="21"/>
          <w:szCs w:val="21"/>
        </w:rPr>
        <w:t>月</w:t>
      </w:r>
      <w:r w:rsidR="007D4059">
        <w:rPr>
          <w:rFonts w:ascii="宋体" w:eastAsia="宋体" w:hAnsi="宋体" w:cs="宋体"/>
          <w:sz w:val="21"/>
          <w:szCs w:val="21"/>
        </w:rPr>
        <w:t>13</w:t>
      </w:r>
      <w:r w:rsidRPr="006B6A00">
        <w:rPr>
          <w:rFonts w:ascii="宋体" w:eastAsia="宋体" w:hAnsi="宋体" w:cs="宋体" w:hint="eastAsia"/>
          <w:sz w:val="21"/>
          <w:szCs w:val="21"/>
        </w:rPr>
        <w:t>日</w:t>
      </w:r>
      <w:r w:rsidR="00F40770" w:rsidRPr="006B6A00">
        <w:rPr>
          <w:rFonts w:ascii="宋体" w:eastAsia="宋体" w:hAnsi="宋体" w:cs="宋体" w:hint="eastAsia"/>
          <w:sz w:val="21"/>
          <w:szCs w:val="21"/>
        </w:rPr>
        <w:t xml:space="preserve">  </w:t>
      </w:r>
    </w:p>
    <w:sectPr w:rsidR="00D65585" w:rsidRPr="006B6A00">
      <w:pgSz w:w="11906" w:h="16838"/>
      <w:pgMar w:top="1469" w:right="1688" w:bottom="2365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CD0" w:rsidRDefault="00DF2CD0" w:rsidP="00751F6E">
      <w:pPr>
        <w:spacing w:after="0" w:line="240" w:lineRule="auto"/>
      </w:pPr>
      <w:r>
        <w:separator/>
      </w:r>
    </w:p>
  </w:endnote>
  <w:endnote w:type="continuationSeparator" w:id="0">
    <w:p w:rsidR="00DF2CD0" w:rsidRDefault="00DF2CD0" w:rsidP="0075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CD0" w:rsidRDefault="00DF2CD0" w:rsidP="00751F6E">
      <w:pPr>
        <w:spacing w:after="0" w:line="240" w:lineRule="auto"/>
      </w:pPr>
      <w:r>
        <w:separator/>
      </w:r>
    </w:p>
  </w:footnote>
  <w:footnote w:type="continuationSeparator" w:id="0">
    <w:p w:rsidR="00DF2CD0" w:rsidRDefault="00DF2CD0" w:rsidP="00751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55791"/>
    <w:multiLevelType w:val="hybridMultilevel"/>
    <w:tmpl w:val="2D661A30"/>
    <w:lvl w:ilvl="0" w:tplc="247C140A">
      <w:start w:val="2"/>
      <w:numFmt w:val="decimal"/>
      <w:lvlText w:val="%1、"/>
      <w:lvlJc w:val="left"/>
      <w:pPr>
        <w:ind w:left="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9CBF94">
      <w:start w:val="1"/>
      <w:numFmt w:val="lowerLetter"/>
      <w:lvlText w:val="%2"/>
      <w:lvlJc w:val="left"/>
      <w:pPr>
        <w:ind w:left="15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4E49648">
      <w:start w:val="1"/>
      <w:numFmt w:val="lowerRoman"/>
      <w:lvlText w:val="%3"/>
      <w:lvlJc w:val="left"/>
      <w:pPr>
        <w:ind w:left="22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A65992">
      <w:start w:val="1"/>
      <w:numFmt w:val="decimal"/>
      <w:lvlText w:val="%4"/>
      <w:lvlJc w:val="left"/>
      <w:pPr>
        <w:ind w:left="29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6AC2714">
      <w:start w:val="1"/>
      <w:numFmt w:val="lowerLetter"/>
      <w:lvlText w:val="%5"/>
      <w:lvlJc w:val="left"/>
      <w:pPr>
        <w:ind w:left="36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746F42">
      <w:start w:val="1"/>
      <w:numFmt w:val="lowerRoman"/>
      <w:lvlText w:val="%6"/>
      <w:lvlJc w:val="left"/>
      <w:pPr>
        <w:ind w:left="43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0A7C38">
      <w:start w:val="1"/>
      <w:numFmt w:val="decimal"/>
      <w:lvlText w:val="%7"/>
      <w:lvlJc w:val="left"/>
      <w:pPr>
        <w:ind w:left="51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40ED66">
      <w:start w:val="1"/>
      <w:numFmt w:val="lowerLetter"/>
      <w:lvlText w:val="%8"/>
      <w:lvlJc w:val="left"/>
      <w:pPr>
        <w:ind w:left="58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438C5C8">
      <w:start w:val="1"/>
      <w:numFmt w:val="lowerRoman"/>
      <w:lvlText w:val="%9"/>
      <w:lvlJc w:val="left"/>
      <w:pPr>
        <w:ind w:left="65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B13"/>
    <w:rsid w:val="00140621"/>
    <w:rsid w:val="00180A98"/>
    <w:rsid w:val="001822D6"/>
    <w:rsid w:val="00182A3D"/>
    <w:rsid w:val="001F1256"/>
    <w:rsid w:val="001F15FE"/>
    <w:rsid w:val="001F2DB9"/>
    <w:rsid w:val="001F4BAC"/>
    <w:rsid w:val="00202D3D"/>
    <w:rsid w:val="00281CBB"/>
    <w:rsid w:val="002947E9"/>
    <w:rsid w:val="002950AB"/>
    <w:rsid w:val="002C4ABC"/>
    <w:rsid w:val="002E4DEF"/>
    <w:rsid w:val="0046366D"/>
    <w:rsid w:val="004F47E2"/>
    <w:rsid w:val="00541E27"/>
    <w:rsid w:val="00552D11"/>
    <w:rsid w:val="005919B0"/>
    <w:rsid w:val="00605D26"/>
    <w:rsid w:val="00631253"/>
    <w:rsid w:val="006B6A00"/>
    <w:rsid w:val="006D2B13"/>
    <w:rsid w:val="006D49D1"/>
    <w:rsid w:val="007026C5"/>
    <w:rsid w:val="00706AF8"/>
    <w:rsid w:val="00716505"/>
    <w:rsid w:val="00732F7C"/>
    <w:rsid w:val="00751F6E"/>
    <w:rsid w:val="00756348"/>
    <w:rsid w:val="00790B11"/>
    <w:rsid w:val="00792D55"/>
    <w:rsid w:val="007A760B"/>
    <w:rsid w:val="007D1005"/>
    <w:rsid w:val="007D4059"/>
    <w:rsid w:val="00812DC3"/>
    <w:rsid w:val="00825D94"/>
    <w:rsid w:val="008611C7"/>
    <w:rsid w:val="00955BAD"/>
    <w:rsid w:val="00957FFE"/>
    <w:rsid w:val="00960E5B"/>
    <w:rsid w:val="00975820"/>
    <w:rsid w:val="009F1FDD"/>
    <w:rsid w:val="00A1714E"/>
    <w:rsid w:val="00A43062"/>
    <w:rsid w:val="00A4488B"/>
    <w:rsid w:val="00AC1ECF"/>
    <w:rsid w:val="00AC5E7D"/>
    <w:rsid w:val="00AE4FF0"/>
    <w:rsid w:val="00B0098A"/>
    <w:rsid w:val="00B45C40"/>
    <w:rsid w:val="00BA40A9"/>
    <w:rsid w:val="00BC2542"/>
    <w:rsid w:val="00BE5C7E"/>
    <w:rsid w:val="00C44A2D"/>
    <w:rsid w:val="00C95149"/>
    <w:rsid w:val="00CD51B1"/>
    <w:rsid w:val="00D04C2B"/>
    <w:rsid w:val="00D51542"/>
    <w:rsid w:val="00D65585"/>
    <w:rsid w:val="00DD6B4C"/>
    <w:rsid w:val="00DF2CD0"/>
    <w:rsid w:val="00DF6412"/>
    <w:rsid w:val="00E528F7"/>
    <w:rsid w:val="00EF0E4E"/>
    <w:rsid w:val="00F104E2"/>
    <w:rsid w:val="00F40770"/>
    <w:rsid w:val="00FA1BF6"/>
    <w:rsid w:val="00FA4CC0"/>
    <w:rsid w:val="00FE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2" w:line="259" w:lineRule="auto"/>
      <w:ind w:left="312"/>
      <w:jc w:val="center"/>
      <w:outlineLvl w:val="0"/>
    </w:pPr>
    <w:rPr>
      <w:rFonts w:ascii="宋体" w:eastAsia="宋体" w:hAnsi="宋体" w:cs="宋体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宋体" w:eastAsia="宋体" w:hAnsi="宋体" w:cs="宋体"/>
      <w:color w:val="000000"/>
      <w:sz w:val="30"/>
    </w:rPr>
  </w:style>
  <w:style w:type="table" w:customStyle="1" w:styleId="TableGrid">
    <w:name w:val="TableGri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51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51F6E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1F6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51F6E"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F1256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1F1256"/>
    <w:rPr>
      <w:rFonts w:ascii="Calibri" w:eastAsia="Calibri" w:hAnsi="Calibri" w:cs="Calibri"/>
      <w:color w:val="000000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9F1FD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F1FDD"/>
  </w:style>
  <w:style w:type="character" w:customStyle="1" w:styleId="ab">
    <w:name w:val="批注文字 字符"/>
    <w:link w:val="aa"/>
    <w:uiPriority w:val="99"/>
    <w:semiHidden/>
    <w:rsid w:val="009F1FDD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1FDD"/>
    <w:rPr>
      <w:b/>
      <w:bCs/>
    </w:rPr>
  </w:style>
  <w:style w:type="character" w:customStyle="1" w:styleId="ad">
    <w:name w:val="批注主题 字符"/>
    <w:link w:val="ac"/>
    <w:uiPriority w:val="99"/>
    <w:semiHidden/>
    <w:rsid w:val="009F1FDD"/>
    <w:rPr>
      <w:rFonts w:ascii="Calibri" w:eastAsia="Calibri" w:hAnsi="Calibri" w:cs="Calibri"/>
      <w:b/>
      <w:bCs/>
      <w:color w:val="000000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4</DocSecurity>
  <Lines>5</Lines>
  <Paragraphs>1</Paragraphs>
  <ScaleCrop>false</ScaleCrop>
  <Company>js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ZHONGM</cp:lastModifiedBy>
  <cp:revision>2</cp:revision>
  <dcterms:created xsi:type="dcterms:W3CDTF">2025-11-12T16:01:00Z</dcterms:created>
  <dcterms:modified xsi:type="dcterms:W3CDTF">2025-11-12T16:01:00Z</dcterms:modified>
</cp:coreProperties>
</file>