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64E45">
      <w:pPr>
        <w:pStyle w:val="XBRL2"/>
        <w:spacing w:before="156"/>
      </w:pPr>
      <w:bookmarkStart w:id="0" w:name="_Toc348410291"/>
      <w:bookmarkEnd w:id="0"/>
      <w:r>
        <w:t xml:space="preserve">　</w:t>
      </w:r>
      <w:r>
        <w:t xml:space="preserve"> </w:t>
      </w:r>
    </w:p>
    <w:p w:rsidR="00000000" w:rsidRDefault="00564E45">
      <w:pPr>
        <w:jc w:val="center"/>
      </w:pPr>
      <w:r>
        <w:rPr>
          <w:rFonts w:cs="Times New Roman" w:hint="eastAsia"/>
          <w:b/>
          <w:sz w:val="48"/>
          <w:szCs w:val="48"/>
        </w:rPr>
        <w:t>工银瑞信稳健丰裕</w:t>
      </w:r>
      <w:r>
        <w:rPr>
          <w:rFonts w:cs="Times New Roman" w:hint="eastAsia"/>
          <w:b/>
          <w:sz w:val="48"/>
          <w:szCs w:val="48"/>
        </w:rPr>
        <w:t>30</w:t>
      </w:r>
      <w:r>
        <w:rPr>
          <w:rFonts w:cs="Times New Roman" w:hint="eastAsia"/>
          <w:b/>
          <w:sz w:val="48"/>
          <w:szCs w:val="48"/>
        </w:rPr>
        <w:t>天持有期债券型证券投资基金开放日常申购、赎回</w:t>
      </w:r>
      <w:r>
        <w:rPr>
          <w:rFonts w:cs="Times New Roman" w:hint="eastAsia"/>
          <w:b/>
          <w:sz w:val="48"/>
          <w:szCs w:val="48"/>
        </w:rPr>
        <w:t>、转换及定期定额投资</w:t>
      </w:r>
      <w:r>
        <w:rPr>
          <w:rFonts w:cs="Times New Roman" w:hint="eastAsia"/>
          <w:b/>
          <w:sz w:val="48"/>
          <w:szCs w:val="48"/>
        </w:rPr>
        <w:t>业务的公告</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564E45">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11</w:t>
      </w:r>
      <w:r>
        <w:rPr>
          <w:rFonts w:hint="eastAsia"/>
          <w:b/>
          <w:bCs/>
          <w:sz w:val="24"/>
          <w:szCs w:val="30"/>
        </w:rPr>
        <w:t>月</w:t>
      </w:r>
      <w:r>
        <w:rPr>
          <w:rFonts w:hint="eastAsia"/>
          <w:b/>
          <w:bCs/>
          <w:sz w:val="24"/>
          <w:szCs w:val="30"/>
        </w:rPr>
        <w:t>13</w:t>
      </w:r>
      <w:r>
        <w:rPr>
          <w:rFonts w:hint="eastAsia"/>
          <w:b/>
          <w:bCs/>
          <w:sz w:val="24"/>
          <w:szCs w:val="30"/>
        </w:rPr>
        <w:t>日</w:t>
      </w:r>
    </w:p>
    <w:p w:rsidR="00000000" w:rsidRDefault="00564E45">
      <w:pPr>
        <w:pStyle w:val="XBRLTitle1"/>
        <w:spacing w:before="156" w:line="360" w:lineRule="auto"/>
        <w:rPr>
          <w:rFonts w:hint="eastAsia"/>
        </w:rPr>
      </w:pPr>
      <w:r>
        <w:rPr>
          <w:rFonts w:hint="eastAsia"/>
          <w:color w:val="404040"/>
          <w:kern w:val="0"/>
        </w:rPr>
        <w:br w:type="page"/>
      </w:r>
      <w:bookmarkStart w:id="1" w:name="_Toc17898178"/>
      <w:bookmarkStart w:id="2" w:name="_Toc513295846"/>
      <w:bookmarkStart w:id="3" w:name="_Toc438646451"/>
      <w:bookmarkStart w:id="4" w:name="_Toc490050000"/>
      <w:bookmarkStart w:id="5" w:name="_Toc513295892"/>
      <w:bookmarkStart w:id="6" w:name="_Toc17897936"/>
      <w:bookmarkStart w:id="7" w:name="_Toc481075046"/>
      <w:bookmarkStart w:id="8" w:name="_Toc512519480"/>
      <w:bookmarkStart w:id="9" w:name="_Toc34758519"/>
      <w:bookmarkStart w:id="10" w:name="_Toc34841028"/>
      <w:bookmarkStart w:id="11" w:name="m101"/>
      <w:bookmarkStart w:id="12" w:name="m01_01"/>
      <w:bookmarkStart w:id="13" w:name="_Toc194311890"/>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0"/>
        <w:gridCol w:w="2840"/>
      </w:tblGrid>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基金名称</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工银瑞信稳健丰裕</w:t>
            </w:r>
            <w:r>
              <w:rPr>
                <w:rFonts w:hint="eastAsia"/>
              </w:rPr>
              <w:t>30</w:t>
            </w:r>
            <w:r>
              <w:rPr>
                <w:rFonts w:hint="eastAsia"/>
              </w:rPr>
              <w:t>天持有期债券型证券投资基金</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基金简称</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工银稳健丰裕</w:t>
            </w:r>
            <w:r>
              <w:rPr>
                <w:rFonts w:hint="eastAsia"/>
              </w:rPr>
              <w:t>30</w:t>
            </w:r>
            <w:r>
              <w:rPr>
                <w:rFonts w:hint="eastAsia"/>
              </w:rPr>
              <w:t>天持有债券</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基金主代码</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023463</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基金运作方式</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契约型开放式</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基金合同生效日</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2025</w:t>
            </w:r>
            <w:r>
              <w:rPr>
                <w:rFonts w:hint="eastAsia"/>
              </w:rPr>
              <w:t>年</w:t>
            </w:r>
            <w:r>
              <w:rPr>
                <w:rFonts w:hint="eastAsia"/>
              </w:rPr>
              <w:t>11</w:t>
            </w:r>
            <w:r>
              <w:rPr>
                <w:rFonts w:hint="eastAsia"/>
              </w:rPr>
              <w:t>月</w:t>
            </w:r>
            <w:r>
              <w:rPr>
                <w:rFonts w:hint="eastAsia"/>
              </w:rPr>
              <w:t>4</w:t>
            </w:r>
            <w:r>
              <w:rPr>
                <w:rFonts w:hint="eastAsia"/>
              </w:rP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基金管理人名称</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工银瑞信基金管理有限公司</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基金托管人名称</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广州农村商业银行股份有</w:t>
            </w:r>
            <w:r>
              <w:rPr>
                <w:rFonts w:hint="eastAsia"/>
              </w:rPr>
              <w:t>限公司</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基金注册登记机构名称</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工银瑞信基金管理有限公司</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公告依据</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根据《中华人民共和国证券投资基金法》、《公开募集证券投资基金运作管理办法》、《公开募集证券投资基金信息披露管理办法》及其他有关法律法规以及本基金相关法律文件等。</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申购起始日</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2025</w:t>
            </w:r>
            <w:r>
              <w:rPr>
                <w:rFonts w:hint="eastAsia"/>
              </w:rPr>
              <w:t>年</w:t>
            </w:r>
            <w:r>
              <w:rPr>
                <w:rFonts w:hint="eastAsia"/>
              </w:rPr>
              <w:t>11</w:t>
            </w:r>
            <w:r>
              <w:rPr>
                <w:rFonts w:hint="eastAsia"/>
              </w:rPr>
              <w:t>月</w:t>
            </w:r>
            <w:r>
              <w:rPr>
                <w:rFonts w:hint="eastAsia"/>
              </w:rPr>
              <w:t>19</w:t>
            </w:r>
            <w:r>
              <w:rPr>
                <w:rFonts w:hint="eastAsia"/>
              </w:rP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赎回起始日</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2025</w:t>
            </w:r>
            <w:r>
              <w:rPr>
                <w:rFonts w:hint="eastAsia"/>
              </w:rPr>
              <w:t>年</w:t>
            </w:r>
            <w:r>
              <w:rPr>
                <w:rFonts w:hint="eastAsia"/>
              </w:rPr>
              <w:t>12</w:t>
            </w:r>
            <w:r>
              <w:rPr>
                <w:rFonts w:hint="eastAsia"/>
              </w:rPr>
              <w:t>月</w:t>
            </w:r>
            <w:r>
              <w:rPr>
                <w:rFonts w:hint="eastAsia"/>
              </w:rPr>
              <w:t>5</w:t>
            </w:r>
            <w:r>
              <w:rPr>
                <w:rFonts w:hint="eastAsia"/>
              </w:rP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转换转入起始日</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2025</w:t>
            </w:r>
            <w:r>
              <w:rPr>
                <w:rFonts w:hint="eastAsia"/>
              </w:rPr>
              <w:t>年</w:t>
            </w:r>
            <w:r>
              <w:rPr>
                <w:rFonts w:hint="eastAsia"/>
              </w:rPr>
              <w:t>11</w:t>
            </w:r>
            <w:r>
              <w:rPr>
                <w:rFonts w:hint="eastAsia"/>
              </w:rPr>
              <w:t>月</w:t>
            </w:r>
            <w:r>
              <w:rPr>
                <w:rFonts w:hint="eastAsia"/>
              </w:rPr>
              <w:t>19</w:t>
            </w:r>
            <w:r>
              <w:rPr>
                <w:rFonts w:hint="eastAsia"/>
              </w:rP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转换转出起始日</w:t>
            </w:r>
            <w:r>
              <w:rPr>
                <w:rFonts w:hint="eastAsia"/>
              </w:rPr>
              <w:t xml:space="preserve"> </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2025</w:t>
            </w:r>
            <w:r>
              <w:rPr>
                <w:rFonts w:hint="eastAsia"/>
              </w:rPr>
              <w:t>年</w:t>
            </w:r>
            <w:r>
              <w:rPr>
                <w:rFonts w:hint="eastAsia"/>
              </w:rPr>
              <w:t>12</w:t>
            </w:r>
            <w:r>
              <w:rPr>
                <w:rFonts w:hint="eastAsia"/>
              </w:rPr>
              <w:t>月</w:t>
            </w:r>
            <w:r>
              <w:rPr>
                <w:rFonts w:hint="eastAsia"/>
              </w:rPr>
              <w:t>5</w:t>
            </w:r>
            <w:r>
              <w:rPr>
                <w:rFonts w:hint="eastAsia"/>
              </w:rPr>
              <w:t>日</w:t>
            </w:r>
          </w:p>
        </w:tc>
      </w:tr>
      <w:tr w:rsidR="00000000">
        <w:tc>
          <w:tcPr>
            <w:tcW w:w="3085"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定期定额投资起始日</w:t>
            </w:r>
          </w:p>
        </w:tc>
        <w:tc>
          <w:tcPr>
            <w:tcW w:w="5437"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2025</w:t>
            </w:r>
            <w:r>
              <w:rPr>
                <w:rFonts w:hint="eastAsia"/>
              </w:rPr>
              <w:t>年</w:t>
            </w:r>
            <w:r>
              <w:rPr>
                <w:rFonts w:hint="eastAsia"/>
              </w:rPr>
              <w:t>11</w:t>
            </w:r>
            <w:r>
              <w:rPr>
                <w:rFonts w:hint="eastAsia"/>
              </w:rPr>
              <w:t>月</w:t>
            </w:r>
            <w:r>
              <w:rPr>
                <w:rFonts w:hint="eastAsia"/>
              </w:rPr>
              <w:t>19</w:t>
            </w:r>
            <w:r>
              <w:rPr>
                <w:rFonts w:hint="eastAsia"/>
              </w:rPr>
              <w:t>日</w:t>
            </w:r>
          </w:p>
        </w:tc>
      </w:tr>
      <w:tr w:rsidR="00000000">
        <w:tc>
          <w:tcPr>
            <w:tcW w:w="3652" w:type="dxa"/>
            <w:tcBorders>
              <w:top w:val="single" w:sz="4" w:space="0" w:color="000000"/>
              <w:left w:val="single" w:sz="4" w:space="0" w:color="000000"/>
              <w:bottom w:val="single" w:sz="4" w:space="0" w:color="000000"/>
              <w:right w:val="nil"/>
            </w:tcBorders>
            <w:vAlign w:val="center"/>
          </w:tcPr>
          <w:p w:rsidR="00000000" w:rsidRDefault="00564E45">
            <w:pPr>
              <w:rPr>
                <w:rFonts w:hint="eastAsia"/>
              </w:rPr>
            </w:pPr>
            <w:r>
              <w:rPr>
                <w:rFonts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工银稳健丰裕</w:t>
            </w:r>
            <w:r>
              <w:rPr>
                <w:rFonts w:hint="eastAsia"/>
              </w:rPr>
              <w:t>30</w:t>
            </w:r>
            <w:r>
              <w:rPr>
                <w:rFonts w:hint="eastAsia"/>
              </w:rPr>
              <w:t>天持有债券</w:t>
            </w:r>
            <w:r>
              <w:rPr>
                <w:rFonts w:hint="eastAsia"/>
              </w:rPr>
              <w:t>A</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工银稳</w:t>
            </w:r>
            <w:r>
              <w:rPr>
                <w:rFonts w:hint="eastAsia"/>
              </w:rPr>
              <w:t>健丰裕</w:t>
            </w:r>
            <w:r>
              <w:rPr>
                <w:rFonts w:hint="eastAsia"/>
              </w:rPr>
              <w:t>30</w:t>
            </w:r>
            <w:r>
              <w:rPr>
                <w:rFonts w:hint="eastAsia"/>
              </w:rPr>
              <w:t>天持有债券</w:t>
            </w:r>
            <w:r>
              <w:rPr>
                <w:rFonts w:hint="eastAsia"/>
              </w:rPr>
              <w:t>C</w:t>
            </w:r>
            <w:r>
              <w:rPr>
                <w:rFonts w:hint="eastAsia"/>
              </w:rPr>
              <w:t xml:space="preserve"> </w:t>
            </w:r>
          </w:p>
        </w:tc>
      </w:tr>
      <w:tr w:rsidR="00000000">
        <w:tc>
          <w:tcPr>
            <w:tcW w:w="3652" w:type="dxa"/>
            <w:tcBorders>
              <w:top w:val="single" w:sz="4" w:space="0" w:color="000000"/>
              <w:left w:val="single" w:sz="4" w:space="0" w:color="000000"/>
              <w:bottom w:val="single" w:sz="4" w:space="0" w:color="000000"/>
              <w:right w:val="nil"/>
            </w:tcBorders>
            <w:vAlign w:val="center"/>
          </w:tcPr>
          <w:p w:rsidR="00000000" w:rsidRDefault="00564E45">
            <w:pPr>
              <w:rPr>
                <w:rFonts w:hint="eastAsia"/>
              </w:rPr>
            </w:pPr>
            <w:r>
              <w:rPr>
                <w:rFonts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023463</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023464</w:t>
            </w:r>
            <w:r>
              <w:rPr>
                <w:rFonts w:hint="eastAsia"/>
              </w:rPr>
              <w:t xml:space="preserve"> </w:t>
            </w:r>
          </w:p>
        </w:tc>
      </w:tr>
      <w:tr w:rsidR="00000000">
        <w:tc>
          <w:tcPr>
            <w:tcW w:w="3652" w:type="dxa"/>
            <w:tcBorders>
              <w:top w:val="single" w:sz="4" w:space="0" w:color="000000"/>
              <w:left w:val="single" w:sz="4" w:space="0" w:color="000000"/>
              <w:bottom w:val="single" w:sz="4" w:space="0" w:color="000000"/>
              <w:right w:val="nil"/>
            </w:tcBorders>
            <w:vAlign w:val="center"/>
          </w:tcPr>
          <w:p w:rsidR="00000000" w:rsidRDefault="00564E45">
            <w:pPr>
              <w:rPr>
                <w:rFonts w:hint="eastAsia"/>
              </w:rPr>
            </w:pPr>
            <w:r>
              <w:rPr>
                <w:rFonts w:hint="eastAsia"/>
              </w:rPr>
              <w:t>该分级基金是否开放申购、赎回</w:t>
            </w:r>
            <w:r>
              <w:t>、</w:t>
            </w:r>
            <w:r>
              <w:rPr>
                <w:rFonts w:hint="eastAsia"/>
              </w:rPr>
              <w:t>转换</w:t>
            </w:r>
            <w:r>
              <w:t>及</w:t>
            </w:r>
            <w:r>
              <w:rPr>
                <w:rFonts w:hint="eastAsia"/>
              </w:rPr>
              <w:t>定期定额投资</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000000" w:rsidRDefault="00564E45">
            <w:pPr>
              <w:rPr>
                <w:rFonts w:hint="eastAsia"/>
              </w:rPr>
            </w:pPr>
            <w:r>
              <w:rPr>
                <w:rFonts w:hint="eastAsia"/>
              </w:rPr>
              <w:t>是</w:t>
            </w:r>
            <w:r>
              <w:rPr>
                <w:rFonts w:hint="eastAsia"/>
              </w:rPr>
              <w:t xml:space="preserve"> </w:t>
            </w:r>
          </w:p>
        </w:tc>
      </w:tr>
    </w:tbl>
    <w:p w:rsidR="00000000" w:rsidRDefault="00564E45">
      <w:pPr>
        <w:spacing w:line="360" w:lineRule="auto"/>
        <w:rPr>
          <w:rFonts w:hint="eastAsia"/>
          <w:szCs w:val="21"/>
        </w:rPr>
      </w:pPr>
      <w:r>
        <w:rPr>
          <w:rFonts w:hint="eastAsia"/>
          <w:szCs w:val="21"/>
        </w:rPr>
        <w:t>注：</w:t>
      </w:r>
      <w:r>
        <w:rPr>
          <w:rFonts w:hint="eastAsia"/>
          <w:szCs w:val="21"/>
        </w:rPr>
        <w:t>1</w:t>
      </w:r>
      <w:r>
        <w:rPr>
          <w:rFonts w:hint="eastAsia"/>
          <w:szCs w:val="21"/>
        </w:rPr>
        <w:t>、</w:t>
      </w:r>
      <w:r>
        <w:rPr>
          <w:rFonts w:hint="eastAsia"/>
          <w:szCs w:val="21"/>
        </w:rPr>
        <w:t>本基金对于每份有效认购、申购或转换转入的基金份额设定</w:t>
      </w:r>
      <w:r>
        <w:rPr>
          <w:rFonts w:hint="eastAsia"/>
          <w:szCs w:val="21"/>
        </w:rPr>
        <w:t>30</w:t>
      </w:r>
      <w:r>
        <w:rPr>
          <w:rFonts w:hint="eastAsia"/>
          <w:szCs w:val="21"/>
        </w:rPr>
        <w:t>天最短持有期，且本基金不上市交易。投资者认购或申购、转换转入基金份额后，自基金合同生效日或申购、转换转入确认日起</w:t>
      </w:r>
      <w:r>
        <w:rPr>
          <w:rFonts w:hint="eastAsia"/>
          <w:szCs w:val="21"/>
        </w:rPr>
        <w:t>30</w:t>
      </w:r>
      <w:r>
        <w:rPr>
          <w:rFonts w:hint="eastAsia"/>
          <w:szCs w:val="21"/>
        </w:rPr>
        <w:t>天内不得赎回或转换转出。即对每份基金份额，当投资人持有时间小于等于最短持有期，则无法赎回或转换转出；当投资人持有时间大于最短持有期，则可以赎回或转换转出。投资者投资本基金每份基金份</w:t>
      </w:r>
      <w:r>
        <w:rPr>
          <w:rFonts w:hint="eastAsia"/>
          <w:szCs w:val="21"/>
        </w:rPr>
        <w:t>额需要持有至少</w:t>
      </w:r>
      <w:r>
        <w:rPr>
          <w:rFonts w:hint="eastAsia"/>
          <w:szCs w:val="21"/>
        </w:rPr>
        <w:t>30</w:t>
      </w:r>
      <w:r>
        <w:rPr>
          <w:rFonts w:hint="eastAsia"/>
          <w:szCs w:val="21"/>
        </w:rPr>
        <w:t>天以上，因而投资者持有本基金可能面临流动性风险。此外，当基金净值在运作过程中发生较大波动或资产损失时，投资者可能因相应基金份额仍在最短持有期内而无法赎回或转换转出，面临资产损失的风险。</w:t>
      </w:r>
    </w:p>
    <w:p w:rsidR="00000000" w:rsidRDefault="00564E45">
      <w:pPr>
        <w:spacing w:line="360" w:lineRule="auto"/>
        <w:ind w:firstLineChars="200" w:firstLine="420"/>
        <w:jc w:val="left"/>
        <w:rPr>
          <w:szCs w:val="21"/>
        </w:rPr>
      </w:pPr>
      <w:r>
        <w:rPr>
          <w:rFonts w:hint="eastAsia"/>
          <w:szCs w:val="21"/>
        </w:rPr>
        <w:t>2</w:t>
      </w:r>
      <w:r>
        <w:rPr>
          <w:rFonts w:hint="eastAsia"/>
          <w:szCs w:val="21"/>
        </w:rPr>
        <w:t>、</w:t>
      </w:r>
      <w:r>
        <w:rPr>
          <w:rFonts w:hint="eastAsia"/>
          <w:szCs w:val="21"/>
        </w:rPr>
        <w:t>本基金暂不向金融机构自营账户销售（基金管理人自有资金除外）。但基金管理人有权对发售对象的范围予以进一步限定，具体发售对象见基金管理人届时发布的相关公告。</w:t>
      </w:r>
    </w:p>
    <w:p w:rsidR="00000000" w:rsidRDefault="00564E45">
      <w:pPr>
        <w:pStyle w:val="XBRLTitle1"/>
        <w:spacing w:before="156" w:line="360" w:lineRule="auto"/>
        <w:rPr>
          <w:rFonts w:hint="eastAsia"/>
        </w:rPr>
      </w:pPr>
      <w:bookmarkStart w:id="14" w:name="_Toc34758520"/>
      <w:bookmarkStart w:id="15" w:name="_Toc34841029"/>
      <w:bookmarkStart w:id="16" w:name="_Toc17898179"/>
      <w:bookmarkStart w:id="17" w:name="_Toc17897937"/>
      <w:bookmarkStart w:id="18" w:name="_Toc513295893"/>
      <w:bookmarkStart w:id="19" w:name="_Toc438646452"/>
      <w:bookmarkStart w:id="20" w:name="_Toc512519481"/>
      <w:bookmarkStart w:id="21" w:name="_Toc490050001"/>
      <w:bookmarkStart w:id="22" w:name="_Toc513295847"/>
      <w:bookmarkStart w:id="23" w:name="_Toc481075047"/>
      <w:r>
        <w:rPr>
          <w:rFonts w:hAnsi="宋体" w:hint="eastAsia"/>
        </w:rPr>
        <w:t>日常申购、赎回</w:t>
      </w:r>
      <w:r>
        <w:rPr>
          <w:rFonts w:hAnsi="宋体"/>
        </w:rPr>
        <w:t>、</w:t>
      </w:r>
      <w:r>
        <w:rPr>
          <w:rFonts w:hAnsi="宋体" w:hint="eastAsia"/>
        </w:rPr>
        <w:t>转换</w:t>
      </w:r>
      <w:r>
        <w:rPr>
          <w:rFonts w:hAnsi="宋体"/>
        </w:rPr>
        <w:t>及</w:t>
      </w:r>
      <w:r>
        <w:rPr>
          <w:rFonts w:hAnsi="宋体" w:hint="eastAsia"/>
        </w:rPr>
        <w:t>定期定额投资业务的办理时间</w:t>
      </w:r>
      <w:bookmarkEnd w:id="14"/>
      <w:bookmarkEnd w:id="15"/>
      <w:r>
        <w:rPr>
          <w:rFonts w:hAnsi="宋体" w:hint="eastAsia"/>
        </w:rPr>
        <w:t xml:space="preserve"> </w:t>
      </w:r>
    </w:p>
    <w:p w:rsidR="00000000" w:rsidRDefault="00564E45">
      <w:pPr>
        <w:spacing w:line="360" w:lineRule="auto"/>
        <w:ind w:firstLineChars="200" w:firstLine="420"/>
        <w:rPr>
          <w:rFonts w:hint="eastAsia"/>
          <w:lang/>
        </w:rPr>
      </w:pPr>
      <w:bookmarkStart w:id="24" w:name="m201_01"/>
      <w:bookmarkStart w:id="25" w:name="m07_04_07_09"/>
      <w:bookmarkStart w:id="26" w:name="m201"/>
      <w:bookmarkStart w:id="27" w:name="m07_04_13_00"/>
      <w:bookmarkStart w:id="28" w:name="m07_04_07_09_tab"/>
      <w:r>
        <w:rPr>
          <w:rFonts w:hint="eastAsia"/>
          <w:lang/>
        </w:rPr>
        <w:t>投资者可在每个开放日进行申购；对于每份有效认购、申购或转换转入的基金份额，最短持有期指基金合同生效</w:t>
      </w:r>
      <w:r>
        <w:rPr>
          <w:rFonts w:hint="eastAsia"/>
          <w:lang/>
        </w:rPr>
        <w:t>日（对认购份额而言，下同）或基金份额申购或转换转入确认日（对申购或转换转入份额而言，下同）起，至基金合同生效日或基金份额申购或转换转入确认日后的第</w:t>
      </w:r>
      <w:r>
        <w:rPr>
          <w:rFonts w:hint="eastAsia"/>
          <w:lang/>
        </w:rPr>
        <w:t>30</w:t>
      </w:r>
      <w:r>
        <w:rPr>
          <w:rFonts w:hint="eastAsia"/>
          <w:lang/>
        </w:rPr>
        <w:lastRenderedPageBreak/>
        <w:t>天止的期间。在每份基金份额的最短持有期内，投资者不能对该基金份额提出赎回或转换转出申请；投资者可以在最短持有期到期日的下一工作日（含）起进行基金份额的赎回或转换转出，具体办理时间为上海证券交易所、深圳证券交易所的正常交易日的交易时间，但基金管理人根据法律法规、中国证监会的要求或基金合同的规定公告暂停申购、赎回时除外。</w:t>
      </w:r>
      <w:r>
        <w:rPr>
          <w:rFonts w:hint="eastAsia"/>
          <w:lang/>
        </w:rPr>
        <w:br/>
      </w:r>
      <w:r>
        <w:rPr>
          <w:rFonts w:hint="eastAsia"/>
          <w:lang/>
        </w:rPr>
        <w:t xml:space="preserve">　　基金合同生效后，若出现新的证券、期货交</w:t>
      </w:r>
      <w:r>
        <w:rPr>
          <w:rFonts w:hint="eastAsia"/>
          <w:lang/>
        </w:rPr>
        <w:t>易市场、证券、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w:t>
      </w:r>
    </w:p>
    <w:p w:rsidR="00000000" w:rsidRDefault="00564E45">
      <w:pPr>
        <w:spacing w:line="360" w:lineRule="auto"/>
        <w:ind w:firstLineChars="200" w:firstLine="420"/>
        <w:rPr>
          <w:rFonts w:hint="eastAsia"/>
        </w:rPr>
      </w:pPr>
      <w:r>
        <w:rPr>
          <w:rFonts w:hint="eastAsia"/>
          <w:lang/>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000000" w:rsidRDefault="00564E45">
      <w:pPr>
        <w:pStyle w:val="XBRLTitle1"/>
        <w:spacing w:before="156" w:line="360" w:lineRule="auto"/>
        <w:rPr>
          <w:rFonts w:hint="eastAsia"/>
        </w:rPr>
      </w:pPr>
      <w:bookmarkStart w:id="29" w:name="_Toc34758521"/>
      <w:bookmarkStart w:id="30" w:name="_Toc34841030"/>
      <w:bookmarkStart w:id="31" w:name="m401_tab"/>
      <w:bookmarkStart w:id="32" w:name="m401"/>
      <w:bookmarkStart w:id="33" w:name="_Toc17898180"/>
      <w:bookmarkStart w:id="34" w:name="_Toc513295894"/>
      <w:bookmarkStart w:id="35" w:name="_Toc17897938"/>
      <w:bookmarkStart w:id="36" w:name="_Toc512519482"/>
      <w:bookmarkStart w:id="37" w:name="_Toc481075049"/>
      <w:bookmarkStart w:id="38" w:name="_Toc490050003"/>
      <w:bookmarkStart w:id="39" w:name="_Toc513295848"/>
      <w:bookmarkStart w:id="40" w:name="_Toc438646455"/>
      <w:r>
        <w:rPr>
          <w:rFonts w:hAnsi="宋体" w:hint="eastAsia"/>
        </w:rPr>
        <w:t>日常申购业务</w:t>
      </w:r>
      <w:bookmarkEnd w:id="29"/>
      <w:bookmarkEnd w:id="30"/>
      <w:r>
        <w:rPr>
          <w:rFonts w:hAnsi="宋体" w:hint="eastAsia"/>
        </w:rPr>
        <w:t xml:space="preserve"> </w:t>
      </w:r>
    </w:p>
    <w:p w:rsidR="00000000" w:rsidRDefault="00564E45">
      <w:pPr>
        <w:pStyle w:val="XBRLTitle2"/>
        <w:spacing w:before="156" w:line="360" w:lineRule="auto"/>
        <w:rPr>
          <w:rFonts w:hint="eastAsia"/>
        </w:rPr>
      </w:pPr>
      <w:bookmarkStart w:id="41" w:name="_Toc34841031"/>
      <w:bookmarkStart w:id="42" w:name="_Toc17898181"/>
      <w:bookmarkStart w:id="43" w:name="_Toc512519483"/>
      <w:bookmarkStart w:id="44" w:name="_Toc17897939"/>
      <w:bookmarkStart w:id="45" w:name="_Toc513295849"/>
      <w:bookmarkStart w:id="46" w:name="_Toc490050004"/>
      <w:bookmarkStart w:id="47" w:name="_Toc34758522"/>
      <w:bookmarkStart w:id="48" w:name="_Toc481075050"/>
      <w:bookmarkStart w:id="49" w:name="_Toc513295895"/>
      <w:bookmarkStart w:id="50" w:name="_Toc438646456"/>
      <w:r>
        <w:rPr>
          <w:rFonts w:hAnsi="宋体" w:hint="eastAsia"/>
        </w:rPr>
        <w:t>申购金额限制</w:t>
      </w:r>
      <w:bookmarkEnd w:id="41"/>
      <w:bookmarkEnd w:id="42"/>
      <w:bookmarkEnd w:id="43"/>
      <w:bookmarkEnd w:id="44"/>
      <w:bookmarkEnd w:id="45"/>
      <w:bookmarkEnd w:id="46"/>
      <w:bookmarkEnd w:id="50"/>
      <w:bookmarkEnd w:id="47"/>
      <w:bookmarkEnd w:id="48"/>
      <w:bookmarkEnd w:id="49"/>
      <w:r>
        <w:rPr>
          <w:rFonts w:hAnsi="宋体" w:hint="eastAsia"/>
        </w:rPr>
        <w:t xml:space="preserve"> </w:t>
      </w:r>
    </w:p>
    <w:p w:rsidR="00000000" w:rsidRDefault="00564E45">
      <w:pPr>
        <w:spacing w:line="360" w:lineRule="auto"/>
        <w:ind w:firstLineChars="200" w:firstLine="420"/>
        <w:rPr>
          <w:rFonts w:hint="eastAsia"/>
        </w:rPr>
      </w:pPr>
      <w:r>
        <w:rPr>
          <w:rFonts w:hint="eastAsia"/>
          <w:lang/>
        </w:rPr>
        <w:t>1</w:t>
      </w:r>
      <w:r>
        <w:rPr>
          <w:rFonts w:hint="eastAsia"/>
          <w:lang/>
        </w:rPr>
        <w:t>、投资者单个基金账户每笔</w:t>
      </w:r>
      <w:r>
        <w:rPr>
          <w:rFonts w:hint="eastAsia"/>
          <w:lang/>
        </w:rPr>
        <w:t>最低申购金额为</w:t>
      </w:r>
      <w:r>
        <w:rPr>
          <w:rFonts w:hint="eastAsia"/>
          <w:lang/>
        </w:rPr>
        <w:t>1</w:t>
      </w:r>
      <w:r>
        <w:rPr>
          <w:rFonts w:hint="eastAsia"/>
          <w:lang/>
        </w:rPr>
        <w:t>元人民币（含申购费），追加申购每笔最低金额为</w:t>
      </w:r>
      <w:r>
        <w:rPr>
          <w:rFonts w:hint="eastAsia"/>
          <w:lang/>
        </w:rPr>
        <w:t>1</w:t>
      </w:r>
      <w:r>
        <w:rPr>
          <w:rFonts w:hint="eastAsia"/>
          <w:lang/>
        </w:rPr>
        <w:t>元人民币（含申购费）。实际操作中，以各销售机构的具体规定为准。</w:t>
      </w:r>
      <w:r>
        <w:rPr>
          <w:rFonts w:hint="eastAsia"/>
          <w:lang/>
        </w:rPr>
        <w:br/>
      </w:r>
      <w:r>
        <w:rPr>
          <w:rFonts w:hint="eastAsia"/>
          <w:lang/>
        </w:rPr>
        <w:t xml:space="preserve">　　投资人将当期分配的基金收益再投资时，不受最低申购金额的限制。</w:t>
      </w:r>
      <w:r>
        <w:rPr>
          <w:rFonts w:hint="eastAsia"/>
          <w:lang/>
        </w:rPr>
        <w:br/>
      </w:r>
      <w:r>
        <w:rPr>
          <w:rFonts w:hint="eastAsia"/>
          <w:lang/>
        </w:rPr>
        <w:t xml:space="preserve">　　</w:t>
      </w:r>
      <w:r>
        <w:rPr>
          <w:rFonts w:hint="eastAsia"/>
          <w:lang/>
        </w:rPr>
        <w:t>2</w:t>
      </w:r>
      <w:r>
        <w:rPr>
          <w:rFonts w:hint="eastAsia"/>
          <w:lang/>
        </w:rPr>
        <w:t>、本基金单一投资者单日申购金额不超过</w:t>
      </w:r>
      <w:r>
        <w:rPr>
          <w:rFonts w:hint="eastAsia"/>
          <w:lang/>
        </w:rPr>
        <w:t>1000</w:t>
      </w:r>
      <w:r>
        <w:rPr>
          <w:rFonts w:hint="eastAsia"/>
          <w:lang/>
        </w:rPr>
        <w:t>万元（个人投资者、公募资产管理产品、职业年金、企业年金计划、养老金产品和基金管理人自有资金申购除外），基金管理人可以调整单一投资者单日申购金额上限，具体规定请参见更新的招募说明书或相关公告。单一投资者持有基金份额数不得达到或超过基金份额总数的</w:t>
      </w:r>
      <w:r>
        <w:rPr>
          <w:rFonts w:hint="eastAsia"/>
          <w:lang/>
        </w:rPr>
        <w:t>50%</w:t>
      </w:r>
      <w:r>
        <w:rPr>
          <w:rFonts w:hint="eastAsia"/>
          <w:lang/>
        </w:rPr>
        <w:t>（在基金运作过程中因基</w:t>
      </w:r>
      <w:r>
        <w:rPr>
          <w:rFonts w:hint="eastAsia"/>
          <w:lang/>
        </w:rPr>
        <w:t>金份额赎回等基金管理人无法予以控制的情形导致被动达到或超过</w:t>
      </w:r>
      <w:r>
        <w:rPr>
          <w:rFonts w:hint="eastAsia"/>
          <w:lang/>
        </w:rPr>
        <w:t>50%</w:t>
      </w:r>
      <w:r>
        <w:rPr>
          <w:rFonts w:hint="eastAsia"/>
          <w:lang/>
        </w:rPr>
        <w:t>的除外）。法律法规、监管机构另有规定的，从其规定。</w:t>
      </w:r>
      <w:r>
        <w:rPr>
          <w:rFonts w:hint="eastAsia"/>
          <w:lang/>
        </w:rPr>
        <w:br/>
      </w:r>
      <w:r>
        <w:rPr>
          <w:rFonts w:hint="eastAsia"/>
          <w:lang/>
        </w:rPr>
        <w:t xml:space="preserve">　　</w:t>
      </w:r>
      <w:r>
        <w:rPr>
          <w:rFonts w:hint="eastAsia"/>
          <w:lang/>
        </w:rPr>
        <w:t>3</w:t>
      </w:r>
      <w:r>
        <w:rPr>
          <w:rFonts w:hint="eastAsia"/>
          <w:lang/>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hint="eastAsia"/>
          <w:lang/>
        </w:rPr>
        <w:br/>
      </w:r>
      <w:r>
        <w:rPr>
          <w:rFonts w:hint="eastAsia"/>
          <w:lang/>
        </w:rPr>
        <w:t xml:space="preserve">　　</w:t>
      </w:r>
      <w:r>
        <w:rPr>
          <w:rFonts w:hint="eastAsia"/>
          <w:lang/>
        </w:rPr>
        <w:t>4</w:t>
      </w:r>
      <w:r>
        <w:rPr>
          <w:rFonts w:hint="eastAsia"/>
          <w:lang/>
        </w:rPr>
        <w:t>、基金管理人可在法律法规允许的情况下，调整上述规定申购金额的数量限制或新增基</w:t>
      </w:r>
      <w:r>
        <w:rPr>
          <w:rFonts w:hint="eastAsia"/>
          <w:lang/>
        </w:rPr>
        <w:t>金规模控制措施。基金管理人必须在调整实施前依照《信息披露办法》的有关规定在规定媒介上公告。</w:t>
      </w:r>
    </w:p>
    <w:p w:rsidR="00000000" w:rsidRDefault="00564E45">
      <w:pPr>
        <w:pStyle w:val="XBRLTitle2"/>
        <w:spacing w:before="156" w:line="360" w:lineRule="auto"/>
        <w:rPr>
          <w:rFonts w:hint="eastAsia"/>
        </w:rPr>
      </w:pPr>
      <w:bookmarkStart w:id="51" w:name="_Toc513465658"/>
      <w:bookmarkStart w:id="52" w:name="_Toc490050005"/>
      <w:bookmarkStart w:id="53" w:name="_Toc438646457"/>
      <w:bookmarkStart w:id="54" w:name="_Toc481075051"/>
      <w:bookmarkStart w:id="55" w:name="_Toc512519484"/>
      <w:r>
        <w:rPr>
          <w:rFonts w:hAnsi="宋体" w:hint="eastAsia"/>
        </w:rPr>
        <w:t>申购费率</w:t>
      </w:r>
      <w:bookmarkEnd w:id="51"/>
      <w:r>
        <w:rPr>
          <w:rFonts w:hAnsi="宋体" w:hint="eastAsia"/>
        </w:rPr>
        <w:t xml:space="preserve"> </w:t>
      </w:r>
    </w:p>
    <w:p w:rsidR="00000000" w:rsidRDefault="00564E45">
      <w:pPr>
        <w:spacing w:line="360" w:lineRule="auto"/>
        <w:ind w:firstLineChars="200" w:firstLine="420"/>
        <w:rPr>
          <w:rFonts w:hint="eastAsia"/>
          <w:lang/>
        </w:rPr>
      </w:pPr>
      <w:r>
        <w:rPr>
          <w:rFonts w:hint="eastAsia"/>
          <w:lang/>
        </w:rPr>
        <w:t>本基金基金份额分为</w:t>
      </w:r>
      <w:r>
        <w:rPr>
          <w:rFonts w:hint="eastAsia"/>
          <w:lang/>
        </w:rPr>
        <w:t>A</w:t>
      </w:r>
      <w:r>
        <w:rPr>
          <w:rFonts w:hint="eastAsia"/>
          <w:lang/>
        </w:rPr>
        <w:t>类和</w:t>
      </w:r>
      <w:r>
        <w:rPr>
          <w:rFonts w:hint="eastAsia"/>
          <w:lang/>
        </w:rPr>
        <w:t>C</w:t>
      </w:r>
      <w:r>
        <w:rPr>
          <w:rFonts w:hint="eastAsia"/>
          <w:lang/>
        </w:rPr>
        <w:t>类基金份额。投资人申购</w:t>
      </w:r>
      <w:r>
        <w:rPr>
          <w:rFonts w:hint="eastAsia"/>
          <w:lang/>
        </w:rPr>
        <w:t>A</w:t>
      </w:r>
      <w:r>
        <w:rPr>
          <w:rFonts w:hint="eastAsia"/>
          <w:lang/>
        </w:rPr>
        <w:t>类基金份额时支付申购费用，申购</w:t>
      </w:r>
      <w:r>
        <w:rPr>
          <w:rFonts w:hint="eastAsia"/>
          <w:lang/>
        </w:rPr>
        <w:t>C</w:t>
      </w:r>
      <w:r>
        <w:rPr>
          <w:rFonts w:hint="eastAsia"/>
          <w:lang/>
        </w:rPr>
        <w:t>类基金份额时不支付申购费用，而是从该类别基金资产中计提销售服务费。</w:t>
      </w:r>
    </w:p>
    <w:p w:rsidR="00000000" w:rsidRDefault="00564E45">
      <w:pPr>
        <w:spacing w:line="360" w:lineRule="auto"/>
        <w:ind w:firstLineChars="200" w:firstLine="420"/>
        <w:rPr>
          <w:rFonts w:hint="eastAsia"/>
        </w:rPr>
      </w:pPr>
      <w:r>
        <w:rPr>
          <w:rFonts w:hint="eastAsia"/>
          <w:lang/>
        </w:rPr>
        <w:t>本基金对</w:t>
      </w:r>
      <w:r>
        <w:rPr>
          <w:rFonts w:hint="eastAsia"/>
          <w:lang/>
        </w:rPr>
        <w:t>A</w:t>
      </w:r>
      <w:r>
        <w:rPr>
          <w:rFonts w:hint="eastAsia"/>
          <w:lang/>
        </w:rPr>
        <w:t>类基金份额申购设置级差费率，投资者在一天之内如有多笔申购，适用费率按单笔分别计算。</w:t>
      </w:r>
      <w:r>
        <w:rPr>
          <w:rFonts w:hint="eastAsia"/>
          <w:lang/>
        </w:rPr>
        <w:br/>
      </w:r>
      <w:r>
        <w:rPr>
          <w:rFonts w:hint="eastAsia"/>
          <w:lang/>
        </w:rPr>
        <w:t xml:space="preserve">　　本基金</w:t>
      </w:r>
      <w:r>
        <w:rPr>
          <w:rFonts w:hint="eastAsia"/>
          <w:lang/>
        </w:rPr>
        <w:t>A</w:t>
      </w:r>
      <w:r>
        <w:rPr>
          <w:rFonts w:hint="eastAsia"/>
          <w:lang/>
        </w:rPr>
        <w:t>类和</w:t>
      </w:r>
      <w:r>
        <w:rPr>
          <w:rFonts w:hint="eastAsia"/>
          <w:lang/>
        </w:rPr>
        <w:t>C</w:t>
      </w:r>
      <w:r>
        <w:rPr>
          <w:rFonts w:hint="eastAsia"/>
          <w:lang/>
        </w:rPr>
        <w:t>类基金份额的申购费率如下表所示：</w:t>
      </w:r>
    </w:p>
    <w:p w:rsidR="00000000" w:rsidRDefault="00564E45">
      <w:pPr>
        <w:pStyle w:val="XBRLTitle3"/>
        <w:spacing w:before="156"/>
        <w:rPr>
          <w:rFonts w:hint="eastAsia"/>
        </w:rPr>
      </w:pPr>
      <w:bookmarkStart w:id="56" w:name="_Toc513465659"/>
      <w:bookmarkStart w:id="57" w:name="_Toc481075052"/>
      <w:bookmarkStart w:id="58" w:name="_Toc490050006"/>
      <w:bookmarkStart w:id="59" w:name="_Toc512519485"/>
      <w:r>
        <w:rPr>
          <w:rFonts w:hint="eastAsia"/>
        </w:rPr>
        <w:t>前端收费</w:t>
      </w:r>
      <w:bookmarkEnd w:id="56"/>
      <w:r>
        <w:rPr>
          <w:rFonts w:hint="eastAsi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8"/>
        <w:gridCol w:w="2386"/>
        <w:gridCol w:w="2388"/>
        <w:gridCol w:w="1338"/>
      </w:tblGrid>
      <w:tr w:rsidR="00000000">
        <w:trPr>
          <w:trHeight w:val="369"/>
          <w:jc w:val="center"/>
        </w:trPr>
        <w:tc>
          <w:tcPr>
            <w:tcW w:w="1578" w:type="dxa"/>
            <w:vMerge w:val="restart"/>
            <w:vAlign w:val="center"/>
          </w:tcPr>
          <w:p w:rsidR="00000000" w:rsidRDefault="00564E45">
            <w:pPr>
              <w:spacing w:line="240" w:lineRule="atLeast"/>
              <w:jc w:val="center"/>
              <w:rPr>
                <w:rFonts w:ascii="宋体" w:hAnsi="宋体"/>
                <w:color w:val="000000"/>
                <w:kern w:val="0"/>
                <w:szCs w:val="21"/>
              </w:rPr>
            </w:pPr>
            <w:r>
              <w:rPr>
                <w:rFonts w:ascii="宋体" w:hAnsi="宋体" w:hint="eastAsia"/>
                <w:color w:val="000000"/>
                <w:kern w:val="0"/>
                <w:szCs w:val="21"/>
              </w:rPr>
              <w:t>费用种类</w:t>
            </w:r>
          </w:p>
        </w:tc>
        <w:tc>
          <w:tcPr>
            <w:tcW w:w="4774" w:type="dxa"/>
            <w:gridSpan w:val="2"/>
            <w:vAlign w:val="center"/>
          </w:tcPr>
          <w:p w:rsidR="00000000" w:rsidRDefault="00564E45">
            <w:pPr>
              <w:spacing w:line="240" w:lineRule="atLeast"/>
              <w:jc w:val="center"/>
              <w:rPr>
                <w:rFonts w:ascii="宋体" w:hAnsi="宋体"/>
                <w:color w:val="000000"/>
                <w:kern w:val="0"/>
                <w:szCs w:val="21"/>
              </w:rPr>
            </w:pPr>
            <w:r>
              <w:rPr>
                <w:rFonts w:ascii="宋体" w:hAnsi="宋体" w:hint="eastAsia"/>
                <w:color w:val="000000"/>
                <w:kern w:val="0"/>
                <w:szCs w:val="21"/>
              </w:rPr>
              <w:t>A</w:t>
            </w:r>
            <w:r>
              <w:rPr>
                <w:rFonts w:ascii="宋体" w:hAnsi="宋体" w:hint="eastAsia"/>
                <w:color w:val="000000"/>
                <w:kern w:val="0"/>
                <w:szCs w:val="21"/>
              </w:rPr>
              <w:t>类基金份额</w:t>
            </w:r>
          </w:p>
        </w:tc>
        <w:tc>
          <w:tcPr>
            <w:tcW w:w="1338" w:type="dxa"/>
            <w:vAlign w:val="center"/>
          </w:tcPr>
          <w:p w:rsidR="00000000" w:rsidRDefault="00564E45">
            <w:pPr>
              <w:spacing w:line="240" w:lineRule="atLeast"/>
              <w:jc w:val="center"/>
              <w:rPr>
                <w:rFonts w:ascii="宋体" w:hAnsi="宋体"/>
                <w:color w:val="000000"/>
                <w:kern w:val="0"/>
                <w:szCs w:val="21"/>
              </w:rPr>
            </w:pPr>
            <w:r>
              <w:rPr>
                <w:rFonts w:ascii="宋体" w:hAnsi="宋体" w:hint="eastAsia"/>
                <w:color w:val="000000"/>
                <w:kern w:val="0"/>
                <w:szCs w:val="21"/>
              </w:rPr>
              <w:t>C</w:t>
            </w:r>
            <w:r>
              <w:rPr>
                <w:rFonts w:ascii="宋体" w:hAnsi="宋体" w:hint="eastAsia"/>
                <w:color w:val="000000"/>
                <w:kern w:val="0"/>
                <w:szCs w:val="21"/>
              </w:rPr>
              <w:t>类基金份额</w:t>
            </w:r>
          </w:p>
        </w:tc>
      </w:tr>
      <w:tr w:rsidR="00000000">
        <w:trPr>
          <w:trHeight w:val="369"/>
          <w:jc w:val="center"/>
        </w:trPr>
        <w:tc>
          <w:tcPr>
            <w:tcW w:w="1578" w:type="dxa"/>
            <w:vMerge/>
            <w:vAlign w:val="center"/>
          </w:tcPr>
          <w:p w:rsidR="00000000" w:rsidRDefault="00564E45">
            <w:pPr>
              <w:widowControl/>
              <w:spacing w:line="240" w:lineRule="atLeast"/>
              <w:jc w:val="center"/>
              <w:rPr>
                <w:rFonts w:ascii="宋体" w:hAnsi="宋体"/>
                <w:color w:val="000000"/>
                <w:kern w:val="0"/>
                <w:szCs w:val="21"/>
              </w:rPr>
            </w:pPr>
          </w:p>
        </w:tc>
        <w:tc>
          <w:tcPr>
            <w:tcW w:w="2386" w:type="dxa"/>
            <w:vAlign w:val="center"/>
          </w:tcPr>
          <w:p w:rsidR="00000000" w:rsidRDefault="00564E45">
            <w:pPr>
              <w:widowControl/>
              <w:spacing w:line="240" w:lineRule="atLeast"/>
              <w:jc w:val="center"/>
              <w:rPr>
                <w:rFonts w:ascii="宋体" w:hAnsi="宋体"/>
                <w:color w:val="000000"/>
                <w:kern w:val="0"/>
                <w:szCs w:val="21"/>
              </w:rPr>
            </w:pPr>
            <w:r>
              <w:rPr>
                <w:rFonts w:ascii="宋体" w:hAnsi="宋体" w:hint="eastAsia"/>
                <w:color w:val="000000"/>
                <w:kern w:val="0"/>
                <w:szCs w:val="21"/>
              </w:rPr>
              <w:t>情形</w:t>
            </w:r>
          </w:p>
        </w:tc>
        <w:tc>
          <w:tcPr>
            <w:tcW w:w="2388" w:type="dxa"/>
            <w:vAlign w:val="center"/>
          </w:tcPr>
          <w:p w:rsidR="00000000" w:rsidRDefault="00564E45">
            <w:pPr>
              <w:spacing w:line="240" w:lineRule="atLeast"/>
              <w:jc w:val="center"/>
              <w:rPr>
                <w:rFonts w:ascii="宋体" w:hAnsi="宋体"/>
                <w:color w:val="000000"/>
                <w:kern w:val="0"/>
                <w:szCs w:val="21"/>
              </w:rPr>
            </w:pPr>
            <w:r>
              <w:rPr>
                <w:rFonts w:ascii="宋体" w:hAnsi="宋体" w:hint="eastAsia"/>
                <w:color w:val="000000"/>
                <w:kern w:val="0"/>
                <w:szCs w:val="21"/>
              </w:rPr>
              <w:t>费率</w:t>
            </w:r>
          </w:p>
        </w:tc>
        <w:tc>
          <w:tcPr>
            <w:tcW w:w="1338" w:type="dxa"/>
            <w:vAlign w:val="center"/>
          </w:tcPr>
          <w:p w:rsidR="00000000" w:rsidRDefault="00564E45">
            <w:pPr>
              <w:spacing w:line="240" w:lineRule="atLeast"/>
              <w:jc w:val="center"/>
              <w:rPr>
                <w:rFonts w:ascii="宋体" w:hAnsi="宋体"/>
                <w:color w:val="000000"/>
                <w:kern w:val="0"/>
                <w:szCs w:val="21"/>
              </w:rPr>
            </w:pPr>
            <w:r>
              <w:rPr>
                <w:rFonts w:ascii="宋体" w:hAnsi="宋体" w:hint="eastAsia"/>
                <w:color w:val="000000"/>
                <w:kern w:val="0"/>
                <w:szCs w:val="21"/>
              </w:rPr>
              <w:t>费率</w:t>
            </w:r>
          </w:p>
        </w:tc>
      </w:tr>
      <w:tr w:rsidR="00000000">
        <w:trPr>
          <w:trHeight w:val="369"/>
          <w:jc w:val="center"/>
        </w:trPr>
        <w:tc>
          <w:tcPr>
            <w:tcW w:w="1578" w:type="dxa"/>
            <w:vMerge w:val="restart"/>
            <w:vAlign w:val="center"/>
          </w:tcPr>
          <w:p w:rsidR="00000000" w:rsidRDefault="00564E45">
            <w:pPr>
              <w:widowControl/>
              <w:spacing w:line="240" w:lineRule="atLeast"/>
              <w:jc w:val="center"/>
              <w:rPr>
                <w:rFonts w:ascii="宋体" w:hAnsi="宋体"/>
                <w:color w:val="000000"/>
                <w:kern w:val="0"/>
                <w:szCs w:val="21"/>
              </w:rPr>
            </w:pPr>
            <w:r>
              <w:rPr>
                <w:rFonts w:ascii="宋体" w:hAnsi="宋体" w:hint="eastAsia"/>
                <w:color w:val="000000"/>
                <w:kern w:val="0"/>
                <w:szCs w:val="21"/>
              </w:rPr>
              <w:t>申购费率</w:t>
            </w:r>
          </w:p>
        </w:tc>
        <w:tc>
          <w:tcPr>
            <w:tcW w:w="2386" w:type="dxa"/>
            <w:vAlign w:val="center"/>
          </w:tcPr>
          <w:p w:rsidR="00000000" w:rsidRDefault="00564E45">
            <w:pPr>
              <w:spacing w:line="240" w:lineRule="atLeast"/>
              <w:jc w:val="center"/>
              <w:rPr>
                <w:rFonts w:ascii="宋体" w:hAnsi="宋体"/>
                <w:color w:val="000000"/>
                <w:kern w:val="0"/>
                <w:szCs w:val="21"/>
              </w:rPr>
            </w:pPr>
            <w:r>
              <w:rPr>
                <w:rFonts w:ascii="宋体" w:hAnsi="宋体"/>
                <w:color w:val="000000"/>
                <w:kern w:val="0"/>
                <w:szCs w:val="21"/>
              </w:rPr>
              <w:t>M</w:t>
            </w:r>
            <w:r>
              <w:rPr>
                <w:rFonts w:ascii="宋体" w:hAnsi="宋体" w:hint="eastAsia"/>
                <w:color w:val="000000"/>
                <w:kern w:val="0"/>
                <w:szCs w:val="21"/>
              </w:rPr>
              <w:t>＜</w:t>
            </w:r>
            <w:r>
              <w:rPr>
                <w:rFonts w:ascii="宋体" w:hAnsi="宋体"/>
                <w:color w:val="000000"/>
                <w:kern w:val="0"/>
                <w:szCs w:val="21"/>
              </w:rPr>
              <w:t>100</w:t>
            </w:r>
            <w:r>
              <w:rPr>
                <w:rFonts w:ascii="宋体" w:hAnsi="宋体" w:hint="eastAsia"/>
                <w:color w:val="000000"/>
                <w:kern w:val="0"/>
                <w:szCs w:val="21"/>
              </w:rPr>
              <w:t>万</w:t>
            </w:r>
          </w:p>
        </w:tc>
        <w:tc>
          <w:tcPr>
            <w:tcW w:w="2388" w:type="dxa"/>
            <w:vAlign w:val="center"/>
          </w:tcPr>
          <w:p w:rsidR="00000000" w:rsidRDefault="00564E45">
            <w:pPr>
              <w:spacing w:line="240" w:lineRule="atLeast"/>
              <w:jc w:val="center"/>
              <w:rPr>
                <w:rFonts w:ascii="宋体" w:hAnsi="宋体"/>
                <w:color w:val="000000"/>
                <w:kern w:val="0"/>
                <w:szCs w:val="21"/>
              </w:rPr>
            </w:pPr>
            <w:r>
              <w:rPr>
                <w:rFonts w:ascii="宋体" w:hAnsi="宋体"/>
                <w:color w:val="000000"/>
                <w:kern w:val="0"/>
                <w:szCs w:val="21"/>
              </w:rPr>
              <w:t>0.20%</w:t>
            </w:r>
          </w:p>
        </w:tc>
        <w:tc>
          <w:tcPr>
            <w:tcW w:w="1338" w:type="dxa"/>
            <w:vMerge w:val="restart"/>
            <w:vAlign w:val="center"/>
          </w:tcPr>
          <w:p w:rsidR="00000000" w:rsidRDefault="00564E45">
            <w:pPr>
              <w:widowControl/>
              <w:spacing w:line="240" w:lineRule="atLeast"/>
              <w:jc w:val="center"/>
              <w:rPr>
                <w:kern w:val="0"/>
                <w:szCs w:val="21"/>
              </w:rPr>
            </w:pPr>
            <w:r>
              <w:rPr>
                <w:rFonts w:hint="eastAsia"/>
                <w:kern w:val="0"/>
                <w:szCs w:val="21"/>
              </w:rPr>
              <w:t>0</w:t>
            </w:r>
            <w:r>
              <w:rPr>
                <w:rFonts w:hint="eastAsia"/>
                <w:kern w:val="0"/>
                <w:szCs w:val="21"/>
              </w:rPr>
              <w:t>%</w:t>
            </w:r>
          </w:p>
        </w:tc>
      </w:tr>
      <w:tr w:rsidR="00000000">
        <w:trPr>
          <w:trHeight w:val="369"/>
          <w:jc w:val="center"/>
        </w:trPr>
        <w:tc>
          <w:tcPr>
            <w:tcW w:w="1578" w:type="dxa"/>
            <w:vMerge/>
            <w:vAlign w:val="center"/>
          </w:tcPr>
          <w:p w:rsidR="00000000" w:rsidRDefault="00564E45">
            <w:pPr>
              <w:widowControl/>
              <w:spacing w:line="240" w:lineRule="atLeast"/>
              <w:jc w:val="center"/>
              <w:rPr>
                <w:rFonts w:ascii="宋体" w:hAnsi="宋体"/>
                <w:color w:val="000000"/>
                <w:kern w:val="0"/>
                <w:szCs w:val="21"/>
              </w:rPr>
            </w:pPr>
          </w:p>
        </w:tc>
        <w:tc>
          <w:tcPr>
            <w:tcW w:w="2386" w:type="dxa"/>
            <w:vAlign w:val="center"/>
          </w:tcPr>
          <w:p w:rsidR="00000000" w:rsidRDefault="00564E45">
            <w:pPr>
              <w:spacing w:line="240" w:lineRule="atLeast"/>
              <w:jc w:val="center"/>
              <w:rPr>
                <w:rFonts w:ascii="宋体" w:hAnsi="宋体"/>
                <w:color w:val="000000"/>
                <w:kern w:val="0"/>
                <w:szCs w:val="21"/>
              </w:rPr>
            </w:pPr>
            <w:r>
              <w:rPr>
                <w:rFonts w:ascii="宋体" w:hAnsi="宋体"/>
                <w:color w:val="000000"/>
                <w:kern w:val="0"/>
                <w:szCs w:val="21"/>
              </w:rPr>
              <w:t>100</w:t>
            </w:r>
            <w:r>
              <w:rPr>
                <w:rFonts w:ascii="宋体" w:hAnsi="宋体" w:hint="eastAsia"/>
                <w:color w:val="000000"/>
                <w:kern w:val="0"/>
                <w:szCs w:val="21"/>
              </w:rPr>
              <w:t>万</w:t>
            </w:r>
            <w:r>
              <w:rPr>
                <w:rFonts w:ascii="宋体" w:hAnsi="宋体"/>
                <w:color w:val="000000"/>
                <w:kern w:val="0"/>
                <w:szCs w:val="21"/>
              </w:rPr>
              <w:t>≤M</w:t>
            </w:r>
            <w:r>
              <w:rPr>
                <w:rFonts w:ascii="宋体" w:hAnsi="宋体" w:hint="eastAsia"/>
                <w:color w:val="000000"/>
                <w:kern w:val="0"/>
                <w:szCs w:val="21"/>
              </w:rPr>
              <w:t>＜</w:t>
            </w:r>
            <w:r>
              <w:rPr>
                <w:rFonts w:ascii="宋体" w:hAnsi="宋体"/>
                <w:color w:val="000000"/>
                <w:kern w:val="0"/>
                <w:szCs w:val="21"/>
              </w:rPr>
              <w:t>500</w:t>
            </w:r>
            <w:r>
              <w:rPr>
                <w:rFonts w:ascii="宋体" w:hAnsi="宋体" w:hint="eastAsia"/>
                <w:color w:val="000000"/>
                <w:kern w:val="0"/>
                <w:szCs w:val="21"/>
              </w:rPr>
              <w:t>万</w:t>
            </w:r>
          </w:p>
        </w:tc>
        <w:tc>
          <w:tcPr>
            <w:tcW w:w="2388" w:type="dxa"/>
            <w:vAlign w:val="center"/>
          </w:tcPr>
          <w:p w:rsidR="00000000" w:rsidRDefault="00564E45">
            <w:pPr>
              <w:spacing w:line="240" w:lineRule="atLeast"/>
              <w:jc w:val="center"/>
              <w:rPr>
                <w:rFonts w:ascii="宋体" w:hAnsi="宋体"/>
                <w:color w:val="000000"/>
                <w:kern w:val="0"/>
                <w:szCs w:val="21"/>
              </w:rPr>
            </w:pPr>
            <w:r>
              <w:rPr>
                <w:rFonts w:ascii="宋体" w:hAnsi="宋体"/>
                <w:color w:val="000000"/>
                <w:kern w:val="0"/>
                <w:szCs w:val="21"/>
              </w:rPr>
              <w:t>0.10%</w:t>
            </w:r>
          </w:p>
        </w:tc>
        <w:tc>
          <w:tcPr>
            <w:tcW w:w="1338" w:type="dxa"/>
            <w:vMerge/>
            <w:vAlign w:val="center"/>
          </w:tcPr>
          <w:p w:rsidR="00000000" w:rsidRDefault="00564E45">
            <w:pPr>
              <w:widowControl/>
              <w:spacing w:line="240" w:lineRule="atLeast"/>
              <w:jc w:val="center"/>
              <w:rPr>
                <w:kern w:val="0"/>
                <w:szCs w:val="21"/>
              </w:rPr>
            </w:pPr>
          </w:p>
        </w:tc>
      </w:tr>
      <w:tr w:rsidR="00000000">
        <w:trPr>
          <w:trHeight w:val="369"/>
          <w:jc w:val="center"/>
        </w:trPr>
        <w:tc>
          <w:tcPr>
            <w:tcW w:w="1578" w:type="dxa"/>
            <w:vMerge/>
            <w:vAlign w:val="center"/>
          </w:tcPr>
          <w:p w:rsidR="00000000" w:rsidRDefault="00564E45">
            <w:pPr>
              <w:widowControl/>
              <w:spacing w:line="240" w:lineRule="atLeast"/>
              <w:jc w:val="center"/>
              <w:rPr>
                <w:rFonts w:ascii="宋体" w:hAnsi="宋体"/>
                <w:color w:val="000000"/>
                <w:kern w:val="0"/>
                <w:szCs w:val="21"/>
              </w:rPr>
            </w:pPr>
          </w:p>
        </w:tc>
        <w:tc>
          <w:tcPr>
            <w:tcW w:w="2386" w:type="dxa"/>
            <w:vAlign w:val="center"/>
          </w:tcPr>
          <w:p w:rsidR="00000000" w:rsidRDefault="00564E45">
            <w:pPr>
              <w:spacing w:line="240" w:lineRule="atLeast"/>
              <w:jc w:val="center"/>
              <w:rPr>
                <w:rFonts w:ascii="宋体" w:hAnsi="宋体"/>
                <w:color w:val="000000"/>
                <w:kern w:val="0"/>
                <w:szCs w:val="21"/>
              </w:rPr>
            </w:pPr>
            <w:r>
              <w:rPr>
                <w:rFonts w:ascii="宋体" w:hAnsi="宋体"/>
                <w:color w:val="000000"/>
                <w:kern w:val="0"/>
                <w:szCs w:val="21"/>
              </w:rPr>
              <w:t>M≥500</w:t>
            </w:r>
            <w:r>
              <w:rPr>
                <w:rFonts w:ascii="宋体" w:hAnsi="宋体" w:hint="eastAsia"/>
                <w:color w:val="000000"/>
                <w:kern w:val="0"/>
                <w:szCs w:val="21"/>
              </w:rPr>
              <w:t>万</w:t>
            </w:r>
          </w:p>
        </w:tc>
        <w:tc>
          <w:tcPr>
            <w:tcW w:w="2388" w:type="dxa"/>
            <w:vAlign w:val="center"/>
          </w:tcPr>
          <w:p w:rsidR="00000000" w:rsidRDefault="00564E45">
            <w:pPr>
              <w:spacing w:line="240" w:lineRule="atLeast"/>
              <w:jc w:val="center"/>
              <w:rPr>
                <w:rFonts w:ascii="宋体" w:hAnsi="宋体"/>
                <w:color w:val="000000"/>
                <w:kern w:val="0"/>
                <w:szCs w:val="21"/>
              </w:rPr>
            </w:pPr>
            <w:r>
              <w:rPr>
                <w:rFonts w:ascii="宋体" w:hAnsi="宋体" w:hint="eastAsia"/>
                <w:color w:val="000000"/>
                <w:kern w:val="0"/>
                <w:szCs w:val="21"/>
              </w:rPr>
              <w:t>按笔收取，</w:t>
            </w:r>
            <w:r>
              <w:rPr>
                <w:rFonts w:ascii="宋体" w:hAnsi="宋体"/>
                <w:color w:val="000000"/>
                <w:kern w:val="0"/>
                <w:szCs w:val="21"/>
              </w:rPr>
              <w:t>1,000</w:t>
            </w:r>
            <w:r>
              <w:rPr>
                <w:rFonts w:ascii="宋体" w:hAnsi="宋体" w:hint="eastAsia"/>
                <w:color w:val="000000"/>
                <w:kern w:val="0"/>
                <w:szCs w:val="21"/>
              </w:rPr>
              <w:t>元</w:t>
            </w:r>
            <w:r>
              <w:rPr>
                <w:rFonts w:ascii="宋体" w:hAnsi="宋体"/>
                <w:color w:val="000000"/>
                <w:kern w:val="0"/>
                <w:szCs w:val="21"/>
              </w:rPr>
              <w:t>/</w:t>
            </w:r>
            <w:r>
              <w:rPr>
                <w:rFonts w:ascii="宋体" w:hAnsi="宋体" w:hint="eastAsia"/>
                <w:color w:val="000000"/>
                <w:kern w:val="0"/>
                <w:szCs w:val="21"/>
              </w:rPr>
              <w:t>笔</w:t>
            </w:r>
          </w:p>
        </w:tc>
        <w:tc>
          <w:tcPr>
            <w:tcW w:w="1338" w:type="dxa"/>
            <w:vMerge/>
            <w:vAlign w:val="center"/>
          </w:tcPr>
          <w:p w:rsidR="00000000" w:rsidRDefault="00564E45">
            <w:pPr>
              <w:spacing w:line="240" w:lineRule="atLeast"/>
              <w:jc w:val="center"/>
              <w:rPr>
                <w:kern w:val="0"/>
                <w:szCs w:val="21"/>
              </w:rPr>
            </w:pPr>
          </w:p>
        </w:tc>
      </w:tr>
    </w:tbl>
    <w:p w:rsidR="00000000" w:rsidRDefault="00564E45">
      <w:pPr>
        <w:spacing w:line="360" w:lineRule="auto"/>
        <w:jc w:val="left"/>
        <w:rPr>
          <w:rFonts w:hint="eastAsia"/>
        </w:rPr>
      </w:pPr>
      <w:r>
        <w:rPr>
          <w:rFonts w:hint="eastAsia"/>
          <w:szCs w:val="21"/>
        </w:rPr>
        <w:t>注：</w:t>
      </w:r>
      <w:r>
        <w:rPr>
          <w:rFonts w:hint="eastAsia"/>
          <w:szCs w:val="21"/>
        </w:rPr>
        <w:t>1</w:t>
      </w:r>
      <w:r>
        <w:rPr>
          <w:rFonts w:hint="eastAsia"/>
          <w:szCs w:val="21"/>
        </w:rPr>
        <w:t>、</w:t>
      </w:r>
      <w:r>
        <w:rPr>
          <w:rFonts w:hint="eastAsia"/>
          <w:szCs w:val="21"/>
        </w:rPr>
        <w:t>M</w:t>
      </w:r>
      <w:r>
        <w:rPr>
          <w:rFonts w:hint="eastAsia"/>
          <w:szCs w:val="21"/>
        </w:rPr>
        <w:t>为申购金额</w:t>
      </w:r>
      <w:r>
        <w:rPr>
          <w:rFonts w:hint="eastAsia"/>
          <w:szCs w:val="21"/>
        </w:rPr>
        <w:br/>
      </w:r>
      <w:r>
        <w:rPr>
          <w:rFonts w:hint="eastAsia"/>
          <w:szCs w:val="21"/>
        </w:rPr>
        <w:t xml:space="preserve">　　</w:t>
      </w:r>
      <w:r>
        <w:rPr>
          <w:rFonts w:hint="eastAsia"/>
          <w:szCs w:val="21"/>
        </w:rPr>
        <w:t>2</w:t>
      </w:r>
      <w:r>
        <w:rPr>
          <w:rFonts w:hint="eastAsia"/>
          <w:szCs w:val="21"/>
        </w:rPr>
        <w:t>、本基金</w:t>
      </w:r>
      <w:r>
        <w:rPr>
          <w:rFonts w:hint="eastAsia"/>
          <w:szCs w:val="21"/>
        </w:rPr>
        <w:t>A</w:t>
      </w:r>
      <w:r>
        <w:rPr>
          <w:rFonts w:hint="eastAsia"/>
          <w:szCs w:val="21"/>
        </w:rPr>
        <w:t>类基金份额的申购费用由申购</w:t>
      </w:r>
      <w:r>
        <w:rPr>
          <w:rFonts w:hint="eastAsia"/>
          <w:szCs w:val="21"/>
        </w:rPr>
        <w:t>A</w:t>
      </w:r>
      <w:r>
        <w:rPr>
          <w:rFonts w:hint="eastAsia"/>
          <w:szCs w:val="21"/>
        </w:rPr>
        <w:t>类基金份额的投资人承担，主要用于本基金的市场推广、销售、注册登记等各项费用，不列入基金财产。</w:t>
      </w:r>
    </w:p>
    <w:p w:rsidR="00000000" w:rsidRDefault="00564E45">
      <w:pPr>
        <w:pStyle w:val="XBRLTitle2"/>
        <w:spacing w:before="156"/>
        <w:rPr>
          <w:rFonts w:hint="eastAsia"/>
        </w:rPr>
      </w:pPr>
      <w:bookmarkStart w:id="60" w:name="_Toc34758524"/>
      <w:bookmarkStart w:id="61" w:name="_Toc34841033"/>
      <w:bookmarkStart w:id="62" w:name="_Toc453852604"/>
      <w:bookmarkStart w:id="63" w:name="_Toc481075053"/>
      <w:bookmarkStart w:id="64" w:name="_Toc512519486"/>
      <w:bookmarkStart w:id="65" w:name="m03_03"/>
      <w:bookmarkStart w:id="66" w:name="_Toc247616208"/>
      <w:bookmarkStart w:id="67" w:name="_Toc485300223"/>
      <w:bookmarkStart w:id="68" w:name="_Toc497398101"/>
      <w:bookmarkStart w:id="69" w:name="_Toc245003735"/>
      <w:bookmarkStart w:id="70" w:name="_Toc244948694"/>
      <w:bookmarkStart w:id="71" w:name="_Toc454983260"/>
      <w:bookmarkStart w:id="72" w:name="_Toc490050007"/>
      <w:bookmarkStart w:id="73" w:name="_Toc17897941"/>
      <w:bookmarkStart w:id="74" w:name="_Toc17898185"/>
      <w:bookmarkStart w:id="75" w:name="_Toc452398732"/>
      <w:bookmarkStart w:id="76" w:name="_Toc506208214"/>
      <w:bookmarkStart w:id="77" w:name="_Toc433036679"/>
      <w:r>
        <w:rPr>
          <w:rFonts w:hint="eastAsia"/>
        </w:rPr>
        <w:t>其他与申购相关的事项</w:t>
      </w:r>
      <w:bookmarkEnd w:id="60"/>
      <w:bookmarkEnd w:id="61"/>
    </w:p>
    <w:p w:rsidR="00000000" w:rsidRDefault="00564E45">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、基金管理人可以在基金合同约定的范围内调整费率或收费方式，并最迟应于新的费率或收费方式实施日前依照《信息披露办法》的有关规定在规定媒介上公告。</w:t>
      </w:r>
      <w:r>
        <w:rPr>
          <w:rFonts w:hint="eastAsia"/>
          <w:lang/>
        </w:rPr>
        <w:br/>
      </w:r>
      <w:r>
        <w:rPr>
          <w:rFonts w:hint="eastAsia"/>
          <w:lang/>
        </w:rPr>
        <w:t xml:space="preserve">　　</w:t>
      </w:r>
      <w:r>
        <w:rPr>
          <w:rFonts w:hint="eastAsia"/>
          <w:lang/>
        </w:rPr>
        <w:t>2</w:t>
      </w:r>
      <w:r>
        <w:rPr>
          <w:rFonts w:hint="eastAsia"/>
          <w:lang/>
        </w:rPr>
        <w:t>、当本基金发生大额申购情形时，基金管理人可以采用摆动定价机制，以确保基金估值的公平</w:t>
      </w:r>
      <w:r>
        <w:rPr>
          <w:rFonts w:hint="eastAsia"/>
          <w:lang/>
        </w:rPr>
        <w:t>性。具体处理原则与操作规范遵循相关法律法规以及监管部门、自律规则的规定。</w:t>
      </w:r>
      <w:r>
        <w:rPr>
          <w:rFonts w:hint="eastAsia"/>
          <w:lang/>
        </w:rPr>
        <w:br/>
      </w:r>
      <w:r>
        <w:rPr>
          <w:rFonts w:hint="eastAsia"/>
          <w:lang/>
        </w:rPr>
        <w:t xml:space="preserve">　　</w:t>
      </w:r>
      <w:r>
        <w:rPr>
          <w:rFonts w:hint="eastAsia"/>
          <w:lang/>
        </w:rPr>
        <w:t>3</w:t>
      </w:r>
      <w:r>
        <w:rPr>
          <w:rFonts w:hint="eastAsia"/>
          <w:lang/>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销售费率。</w:t>
      </w:r>
    </w:p>
    <w:p w:rsidR="00000000" w:rsidRDefault="00564E45">
      <w:pPr>
        <w:pStyle w:val="XBRLTitle1"/>
        <w:spacing w:before="156" w:line="360" w:lineRule="auto"/>
        <w:rPr>
          <w:rFonts w:hint="eastAsia"/>
        </w:rPr>
      </w:pPr>
      <w:bookmarkStart w:id="78" w:name="_Toc481075054"/>
      <w:bookmarkStart w:id="79" w:name="_Toc512519487"/>
      <w:bookmarkStart w:id="80" w:name="_Toc34841034"/>
      <w:bookmarkStart w:id="81" w:name="_Toc34758525"/>
      <w:bookmarkStart w:id="82" w:name="_Toc438646458"/>
      <w:bookmarkStart w:id="83" w:name="_Toc513295851"/>
      <w:bookmarkStart w:id="84" w:name="_Toc17898186"/>
      <w:bookmarkStart w:id="85" w:name="_Toc490050008"/>
      <w:bookmarkStart w:id="86" w:name="_Toc17897942"/>
      <w:bookmarkStart w:id="87" w:name="_Toc513295899"/>
      <w:r>
        <w:rPr>
          <w:rFonts w:hAnsi="宋体" w:hint="eastAsia"/>
        </w:rPr>
        <w:t>日常赎回业务</w:t>
      </w:r>
      <w:bookmarkEnd w:id="85"/>
      <w:bookmarkEnd w:id="86"/>
      <w:bookmarkEnd w:id="87"/>
      <w:bookmarkEnd w:id="78"/>
      <w:bookmarkEnd w:id="84"/>
      <w:bookmarkEnd w:id="79"/>
      <w:bookmarkEnd w:id="80"/>
      <w:bookmarkEnd w:id="81"/>
      <w:bookmarkEnd w:id="82"/>
      <w:bookmarkEnd w:id="83"/>
      <w:r>
        <w:rPr>
          <w:rFonts w:hAnsi="宋体" w:hint="eastAsia"/>
          <w:szCs w:val="44"/>
        </w:rPr>
        <w:t xml:space="preserve"> </w:t>
      </w:r>
    </w:p>
    <w:p w:rsidR="00000000" w:rsidRDefault="00564E45">
      <w:pPr>
        <w:pStyle w:val="XBRLTitle2"/>
        <w:spacing w:before="156" w:line="360" w:lineRule="auto"/>
        <w:rPr>
          <w:rFonts w:hint="eastAsia"/>
        </w:rPr>
      </w:pPr>
      <w:bookmarkStart w:id="88" w:name="_Toc513295900"/>
      <w:bookmarkStart w:id="89" w:name="_Toc513295852"/>
      <w:bookmarkStart w:id="90" w:name="_Toc481075055"/>
      <w:bookmarkStart w:id="91" w:name="_Toc438646459"/>
      <w:bookmarkStart w:id="92" w:name="_Toc34841035"/>
      <w:bookmarkStart w:id="93" w:name="_Toc512519488"/>
      <w:bookmarkStart w:id="94" w:name="_Toc490050009"/>
      <w:bookmarkStart w:id="95" w:name="_Toc17897943"/>
      <w:bookmarkStart w:id="96" w:name="_Toc17898187"/>
      <w:bookmarkStart w:id="97" w:name="_Toc34758526"/>
      <w:r>
        <w:rPr>
          <w:rFonts w:hAnsi="宋体" w:hint="eastAsia"/>
        </w:rPr>
        <w:t>赎回份额限制</w:t>
      </w:r>
      <w:bookmarkEnd w:id="96"/>
      <w:bookmarkEnd w:id="95"/>
      <w:bookmarkEnd w:id="94"/>
      <w:bookmarkEnd w:id="93"/>
      <w:bookmarkEnd w:id="92"/>
      <w:bookmarkEnd w:id="91"/>
      <w:bookmarkEnd w:id="90"/>
      <w:bookmarkEnd w:id="89"/>
      <w:bookmarkEnd w:id="88"/>
      <w:bookmarkEnd w:id="97"/>
      <w:r>
        <w:rPr>
          <w:rFonts w:hAnsi="宋体" w:hint="eastAsia"/>
        </w:rPr>
        <w:t xml:space="preserve"> </w:t>
      </w:r>
    </w:p>
    <w:p w:rsidR="00000000" w:rsidRDefault="00564E45">
      <w:pPr>
        <w:spacing w:line="360" w:lineRule="auto"/>
        <w:ind w:firstLineChars="200" w:firstLine="420"/>
        <w:rPr>
          <w:rFonts w:hint="eastAsia"/>
        </w:rPr>
      </w:pPr>
      <w:r>
        <w:rPr>
          <w:rFonts w:hint="eastAsia"/>
          <w:lang/>
        </w:rPr>
        <w:t>1</w:t>
      </w:r>
      <w:r>
        <w:rPr>
          <w:rFonts w:hint="eastAsia"/>
          <w:lang/>
        </w:rPr>
        <w:t>、每次赎回基金份额不得低于</w:t>
      </w:r>
      <w:r>
        <w:rPr>
          <w:rFonts w:hint="eastAsia"/>
          <w:lang/>
        </w:rPr>
        <w:t>1</w:t>
      </w:r>
      <w:r>
        <w:rPr>
          <w:rFonts w:hint="eastAsia"/>
          <w:lang/>
        </w:rPr>
        <w:t>份，基金份额持有人赎回时或赎回后保留的基金份额余额不足</w:t>
      </w:r>
      <w:r>
        <w:rPr>
          <w:rFonts w:hint="eastAsia"/>
          <w:lang/>
        </w:rPr>
        <w:t>1</w:t>
      </w:r>
      <w:r>
        <w:rPr>
          <w:rFonts w:hint="eastAsia"/>
          <w:lang/>
        </w:rPr>
        <w:t>份的，在赎回时需一次全部赎回。实际操作中，以各销售机构的具体规</w:t>
      </w:r>
      <w:r>
        <w:rPr>
          <w:rFonts w:hint="eastAsia"/>
          <w:lang/>
        </w:rPr>
        <w:t>定为准。</w:t>
      </w:r>
      <w:r>
        <w:rPr>
          <w:rFonts w:hint="eastAsia"/>
          <w:lang/>
        </w:rPr>
        <w:br/>
      </w:r>
      <w:r>
        <w:rPr>
          <w:rFonts w:hint="eastAsia"/>
          <w:lang/>
        </w:rPr>
        <w:t xml:space="preserve">　　如遇巨额赎回等情况发生而导致延期办理赎回时，赎回办理和款项支付的办法将依据基金合同有关巨额赎回的相关条款处理。</w:t>
      </w:r>
      <w:r>
        <w:rPr>
          <w:rFonts w:hint="eastAsia"/>
          <w:lang/>
        </w:rPr>
        <w:br/>
      </w:r>
      <w:r>
        <w:rPr>
          <w:rFonts w:hint="eastAsia"/>
          <w:lang/>
        </w:rPr>
        <w:t xml:space="preserve">　　</w:t>
      </w:r>
      <w:r>
        <w:rPr>
          <w:rFonts w:hint="eastAsia"/>
          <w:lang/>
        </w:rPr>
        <w:t>2</w:t>
      </w:r>
      <w:r>
        <w:rPr>
          <w:rFonts w:hint="eastAsia"/>
          <w:lang/>
        </w:rPr>
        <w:t>、基金管理人可在法律法规允许的情况下，调整上述规定赎回份额的数量限制或新增基金规模控制措施。基金管理人必须在调整实施前依照《信息披露办法》的有关规定在规定媒介上公告。</w:t>
      </w:r>
    </w:p>
    <w:p w:rsidR="00000000" w:rsidRDefault="00564E45">
      <w:pPr>
        <w:pStyle w:val="XBRLTitle2"/>
        <w:spacing w:before="156" w:line="360" w:lineRule="auto"/>
        <w:rPr>
          <w:rFonts w:hint="eastAsia"/>
        </w:rPr>
      </w:pPr>
      <w:bookmarkStart w:id="98" w:name="_Toc512519489"/>
      <w:bookmarkStart w:id="99" w:name="_Toc490050010"/>
      <w:bookmarkStart w:id="100" w:name="_Toc481075056"/>
      <w:bookmarkStart w:id="101" w:name="_Toc513295853"/>
      <w:bookmarkStart w:id="102" w:name="_Toc34841036"/>
      <w:bookmarkStart w:id="103" w:name="_Toc17898188"/>
      <w:bookmarkStart w:id="104" w:name="_Toc17897944"/>
      <w:bookmarkStart w:id="105" w:name="m402"/>
      <w:bookmarkStart w:id="106" w:name="_Toc513295901"/>
      <w:bookmarkStart w:id="107" w:name="_Toc34758527"/>
      <w:bookmarkStart w:id="108" w:name="_Toc438646460"/>
      <w:r>
        <w:rPr>
          <w:rFonts w:hAnsi="宋体" w:hint="eastAsia"/>
        </w:rPr>
        <w:t>赎回费率</w:t>
      </w:r>
      <w:bookmarkEnd w:id="108"/>
      <w:bookmarkEnd w:id="107"/>
      <w:bookmarkEnd w:id="106"/>
      <w:bookmarkEnd w:id="98"/>
      <w:bookmarkEnd w:id="99"/>
      <w:bookmarkEnd w:id="100"/>
      <w:bookmarkEnd w:id="101"/>
      <w:bookmarkEnd w:id="102"/>
      <w:bookmarkEnd w:id="103"/>
      <w:bookmarkEnd w:id="104"/>
      <w:r>
        <w:rPr>
          <w:rFonts w:hAnsi="宋体" w:hint="eastAsia"/>
        </w:rPr>
        <w:t xml:space="preserve"> </w:t>
      </w:r>
    </w:p>
    <w:bookmarkEnd w:id="105"/>
    <w:p w:rsidR="00000000" w:rsidRDefault="00564E45">
      <w:pPr>
        <w:wordWrap w:val="0"/>
        <w:spacing w:line="360" w:lineRule="auto"/>
        <w:ind w:firstLineChars="200" w:firstLine="420"/>
        <w:rPr>
          <w:rFonts w:hint="eastAsia"/>
        </w:rPr>
      </w:pPr>
      <w:r>
        <w:rPr>
          <w:rFonts w:hint="eastAsia"/>
          <w:lang/>
        </w:rPr>
        <w:t>本基金对于每份基金份额设置</w:t>
      </w:r>
      <w:r>
        <w:rPr>
          <w:rFonts w:hint="eastAsia"/>
          <w:lang/>
        </w:rPr>
        <w:t>30</w:t>
      </w:r>
      <w:r>
        <w:rPr>
          <w:rFonts w:hint="eastAsia"/>
          <w:lang/>
        </w:rPr>
        <w:t>天的最短持有期，不收取赎回费。</w:t>
      </w:r>
      <w:r>
        <w:rPr>
          <w:rFonts w:hint="eastAsia"/>
        </w:rPr>
        <w:t xml:space="preserve"> </w:t>
      </w:r>
    </w:p>
    <w:p w:rsidR="00000000" w:rsidRDefault="00564E45">
      <w:pPr>
        <w:pStyle w:val="XBRLTitle2"/>
        <w:spacing w:before="156" w:line="360" w:lineRule="auto"/>
        <w:rPr>
          <w:rFonts w:hint="eastAsia"/>
        </w:rPr>
      </w:pPr>
      <w:bookmarkStart w:id="109" w:name="_Toc17897946"/>
      <w:bookmarkStart w:id="110" w:name="_Toc490050014"/>
      <w:bookmarkStart w:id="111" w:name="m403"/>
      <w:bookmarkStart w:id="112" w:name="_Toc34758528"/>
      <w:bookmarkStart w:id="113" w:name="m405_01_2550"/>
      <w:bookmarkStart w:id="114" w:name="_Toc481075061"/>
      <w:bookmarkStart w:id="115" w:name="_Toc513295855"/>
      <w:bookmarkStart w:id="116" w:name="_Toc34841037"/>
      <w:bookmarkStart w:id="117" w:name="_Toc512519493"/>
      <w:bookmarkStart w:id="118" w:name="_Toc513295905"/>
      <w:bookmarkStart w:id="119" w:name="_Toc17898192"/>
      <w:bookmarkEnd w:id="111"/>
      <w:r>
        <w:rPr>
          <w:rFonts w:hAnsi="宋体" w:hint="eastAsia"/>
        </w:rPr>
        <w:t>其他与赎回相关的事项</w:t>
      </w:r>
      <w:bookmarkEnd w:id="110"/>
      <w:bookmarkEnd w:id="112"/>
      <w:bookmarkEnd w:id="109"/>
      <w:bookmarkEnd w:id="119"/>
      <w:bookmarkEnd w:id="118"/>
      <w:bookmarkEnd w:id="117"/>
      <w:bookmarkEnd w:id="116"/>
      <w:bookmarkEnd w:id="115"/>
      <w:bookmarkEnd w:id="114"/>
      <w:r>
        <w:rPr>
          <w:rFonts w:hAnsi="宋体" w:hint="eastAsia"/>
        </w:rPr>
        <w:t xml:space="preserve"> </w:t>
      </w:r>
    </w:p>
    <w:p w:rsidR="00000000" w:rsidRDefault="00564E45">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w:t>
      </w:r>
      <w:r>
        <w:rPr>
          <w:rFonts w:hint="eastAsia"/>
          <w:lang/>
        </w:rPr>
        <w:t>法》的有关规定在规定媒介上公告。</w:t>
      </w:r>
      <w:r>
        <w:rPr>
          <w:rFonts w:hint="eastAsia"/>
          <w:lang/>
        </w:rPr>
        <w:br/>
      </w:r>
      <w:r>
        <w:rPr>
          <w:rFonts w:hint="eastAsia"/>
          <w:lang/>
        </w:rPr>
        <w:t xml:space="preserve">　　</w:t>
      </w:r>
      <w:r>
        <w:rPr>
          <w:rFonts w:hint="eastAsia"/>
          <w:lang/>
        </w:rPr>
        <w:t>2</w:t>
      </w:r>
      <w:r>
        <w:rPr>
          <w:rFonts w:hint="eastAsia"/>
          <w:lang/>
        </w:rPr>
        <w:t>、当本基金发生大额赎回情形时，基金管理人可以采用摆动定价机制，以确保基金估值的公平性。具体处理原则与操作规范遵循相关法律法规以及监管部门、自律规则的规定。</w:t>
      </w:r>
    </w:p>
    <w:p w:rsidR="00000000" w:rsidRDefault="00564E45">
      <w:pPr>
        <w:pStyle w:val="XBRLTitle1"/>
        <w:spacing w:before="156" w:line="360" w:lineRule="auto"/>
        <w:rPr>
          <w:rFonts w:hint="eastAsia"/>
        </w:rPr>
      </w:pPr>
      <w:bookmarkStart w:id="120" w:name="_Toc513295908"/>
      <w:bookmarkStart w:id="121" w:name="_Toc481075064"/>
      <w:bookmarkStart w:id="122" w:name="_Toc438646466"/>
      <w:bookmarkStart w:id="123" w:name="_Toc34758529"/>
      <w:bookmarkStart w:id="124" w:name="_Toc490050017"/>
      <w:bookmarkStart w:id="125" w:name="_Toc34841038"/>
      <w:bookmarkStart w:id="126" w:name="_Toc512519496"/>
      <w:bookmarkStart w:id="127" w:name="_Toc17898195"/>
      <w:bookmarkStart w:id="128" w:name="_Toc17897949"/>
      <w:bookmarkStart w:id="129" w:name="_Toc513295858"/>
      <w:bookmarkEnd w:id="113"/>
      <w:r>
        <w:rPr>
          <w:rFonts w:hAnsi="宋体" w:hint="eastAsia"/>
        </w:rPr>
        <w:t>日常转换业务</w:t>
      </w:r>
      <w:bookmarkEnd w:id="127"/>
      <w:bookmarkEnd w:id="128"/>
      <w:bookmarkEnd w:id="129"/>
      <w:bookmarkEnd w:id="122"/>
      <w:bookmarkEnd w:id="121"/>
      <w:bookmarkEnd w:id="123"/>
      <w:bookmarkEnd w:id="124"/>
      <w:bookmarkEnd w:id="125"/>
      <w:bookmarkEnd w:id="126"/>
      <w:bookmarkEnd w:id="120"/>
      <w:r>
        <w:rPr>
          <w:rFonts w:hAnsi="宋体" w:hint="eastAsia"/>
        </w:rPr>
        <w:t xml:space="preserve"> </w:t>
      </w:r>
    </w:p>
    <w:p w:rsidR="00000000" w:rsidRDefault="00564E45">
      <w:pPr>
        <w:pStyle w:val="XBRLTitle2"/>
        <w:spacing w:before="156" w:line="360" w:lineRule="auto"/>
        <w:rPr>
          <w:rFonts w:hint="eastAsia"/>
        </w:rPr>
      </w:pPr>
      <w:bookmarkStart w:id="130" w:name="_Toc512519497"/>
      <w:bookmarkStart w:id="131" w:name="_Toc17898196"/>
      <w:bookmarkStart w:id="132" w:name="_Toc513295859"/>
      <w:bookmarkStart w:id="133" w:name="_Toc513295909"/>
      <w:bookmarkStart w:id="134" w:name="_Toc490050018"/>
      <w:bookmarkStart w:id="135" w:name="_Toc438646467"/>
      <w:bookmarkStart w:id="136" w:name="_Toc481075065"/>
      <w:bookmarkStart w:id="137" w:name="m501"/>
      <w:bookmarkStart w:id="138" w:name="_Toc17897950"/>
      <w:bookmarkStart w:id="139" w:name="_Toc34841039"/>
      <w:bookmarkStart w:id="140" w:name="_Toc34758530"/>
      <w:r>
        <w:rPr>
          <w:rFonts w:hAnsi="宋体" w:hint="eastAsia"/>
        </w:rPr>
        <w:t>转换费率</w:t>
      </w:r>
      <w:bookmarkEnd w:id="133"/>
      <w:bookmarkEnd w:id="134"/>
      <w:bookmarkEnd w:id="135"/>
      <w:bookmarkEnd w:id="136"/>
      <w:bookmarkEnd w:id="132"/>
      <w:bookmarkEnd w:id="130"/>
      <w:bookmarkEnd w:id="131"/>
      <w:bookmarkEnd w:id="140"/>
      <w:bookmarkEnd w:id="139"/>
      <w:bookmarkEnd w:id="138"/>
      <w:r>
        <w:rPr>
          <w:rFonts w:hAnsi="宋体" w:hint="eastAsia"/>
        </w:rPr>
        <w:t xml:space="preserve"> </w:t>
      </w:r>
    </w:p>
    <w:p w:rsidR="00000000" w:rsidRDefault="00564E45">
      <w:pPr>
        <w:spacing w:line="360" w:lineRule="auto"/>
        <w:ind w:firstLineChars="200" w:firstLine="420"/>
        <w:rPr>
          <w:rFonts w:hint="eastAsia"/>
        </w:rPr>
      </w:pPr>
      <w:r>
        <w:rPr>
          <w:rFonts w:hint="eastAsia"/>
          <w:lang/>
        </w:rPr>
        <w:t>1</w:t>
      </w:r>
      <w:r>
        <w:rPr>
          <w:rFonts w:hint="eastAsia"/>
          <w:lang/>
        </w:rPr>
        <w:t>、基金转换费用由基金赎回费用及基金申购补差费用构成。</w:t>
      </w:r>
      <w:r>
        <w:rPr>
          <w:rFonts w:hint="eastAsia"/>
          <w:lang/>
        </w:rPr>
        <w:br/>
      </w:r>
      <w:r>
        <w:rPr>
          <w:rFonts w:hint="eastAsia"/>
          <w:lang/>
        </w:rPr>
        <w:t xml:space="preserve">　　</w:t>
      </w:r>
      <w:r>
        <w:rPr>
          <w:rFonts w:hint="eastAsia"/>
          <w:lang/>
        </w:rPr>
        <w:t>2</w:t>
      </w:r>
      <w:r>
        <w:rPr>
          <w:rFonts w:hint="eastAsia"/>
          <w:lang/>
        </w:rPr>
        <w:t>、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r>
        <w:rPr>
          <w:rFonts w:hint="eastAsia"/>
          <w:lang/>
        </w:rPr>
        <w:br/>
      </w:r>
      <w:r>
        <w:rPr>
          <w:rFonts w:hint="eastAsia"/>
          <w:lang/>
        </w:rPr>
        <w:t xml:space="preserve">　　</w:t>
      </w:r>
      <w:r>
        <w:rPr>
          <w:rFonts w:hint="eastAsia"/>
          <w:lang/>
        </w:rPr>
        <w:t>3</w:t>
      </w:r>
      <w:r>
        <w:rPr>
          <w:rFonts w:hint="eastAsia"/>
          <w:lang/>
        </w:rPr>
        <w:t>、转出基金时</w:t>
      </w:r>
      <w:r>
        <w:rPr>
          <w:rFonts w:hint="eastAsia"/>
          <w:lang/>
        </w:rPr>
        <w:t>，如涉及的转出基金有赎回费用的，收取该基金的赎回费用。</w:t>
      </w:r>
      <w:r>
        <w:rPr>
          <w:rFonts w:hint="eastAsia"/>
          <w:lang/>
        </w:rPr>
        <w:br/>
      </w:r>
      <w:r>
        <w:rPr>
          <w:rFonts w:hint="eastAsia"/>
          <w:lang/>
        </w:rPr>
        <w:t xml:space="preserve">　　</w:t>
      </w:r>
      <w:r>
        <w:rPr>
          <w:rFonts w:hint="eastAsia"/>
          <w:lang/>
        </w:rPr>
        <w:t>4</w:t>
      </w:r>
      <w:r>
        <w:rPr>
          <w:rFonts w:hint="eastAsia"/>
          <w:lang/>
        </w:rPr>
        <w:t>、转入基金时，从申购费用低的基金向申购费用高的基金转换时，每次收取申购补差费用；从申购费用高的基金向申购费用低的基金转换时，不收取申购补差费用。</w:t>
      </w:r>
      <w:r>
        <w:rPr>
          <w:rFonts w:hint="eastAsia"/>
          <w:lang/>
        </w:rPr>
        <w:br/>
      </w:r>
      <w:r>
        <w:rPr>
          <w:rFonts w:hint="eastAsia"/>
          <w:lang/>
        </w:rPr>
        <w:t xml:space="preserve">　　</w:t>
      </w:r>
      <w:r>
        <w:rPr>
          <w:rFonts w:hint="eastAsia"/>
          <w:lang/>
        </w:rPr>
        <w:t>5</w:t>
      </w:r>
      <w:r>
        <w:rPr>
          <w:rFonts w:hint="eastAsia"/>
          <w:lang/>
        </w:rPr>
        <w:t>、本公司旗下基金的转换业务，最低转换申请份额以各产品相关公告为准。如果某笔转换申请导致转出基金的单个交易账户的基金份额余额少于基金最低保留余额限制，则转出基金余额部分基金份额将被同时赎回。</w:t>
      </w:r>
      <w:r>
        <w:rPr>
          <w:rFonts w:hint="eastAsia"/>
          <w:lang/>
        </w:rPr>
        <w:br/>
      </w:r>
      <w:r>
        <w:rPr>
          <w:rFonts w:hint="eastAsia"/>
          <w:lang/>
        </w:rPr>
        <w:t xml:space="preserve">　　</w:t>
      </w:r>
      <w:r>
        <w:rPr>
          <w:rFonts w:hint="eastAsia"/>
          <w:lang/>
        </w:rPr>
        <w:t>6</w:t>
      </w:r>
      <w:r>
        <w:rPr>
          <w:rFonts w:hint="eastAsia"/>
          <w:lang/>
        </w:rPr>
        <w:t>、投资者可以发起多次基金转换业务，基金转换费用按每笔申请单独计算。</w:t>
      </w:r>
      <w:r>
        <w:rPr>
          <w:rFonts w:hint="eastAsia"/>
          <w:lang/>
        </w:rPr>
        <w:br/>
      </w:r>
      <w:r>
        <w:rPr>
          <w:rFonts w:hint="eastAsia"/>
          <w:lang/>
        </w:rPr>
        <w:t xml:space="preserve">　　</w:t>
      </w:r>
      <w:r>
        <w:rPr>
          <w:rFonts w:hint="eastAsia"/>
          <w:lang/>
        </w:rPr>
        <w:t>7</w:t>
      </w:r>
      <w:r>
        <w:rPr>
          <w:rFonts w:hint="eastAsia"/>
          <w:lang/>
        </w:rPr>
        <w:t>、转换费用以人民币元为单位，</w:t>
      </w:r>
      <w:r>
        <w:rPr>
          <w:rFonts w:hint="eastAsia"/>
          <w:lang/>
        </w:rPr>
        <w:t>计算结果按照四舍五入方法，保留小数点后两位。</w:t>
      </w:r>
      <w:r>
        <w:rPr>
          <w:rFonts w:hint="eastAsia"/>
          <w:lang/>
        </w:rPr>
        <w:br/>
      </w:r>
      <w:r>
        <w:rPr>
          <w:rFonts w:hint="eastAsia"/>
          <w:lang/>
        </w:rPr>
        <w:t xml:space="preserve">　　</w:t>
      </w:r>
      <w:r>
        <w:rPr>
          <w:rFonts w:hint="eastAsia"/>
          <w:lang/>
        </w:rPr>
        <w:t>8</w:t>
      </w:r>
      <w:r>
        <w:rPr>
          <w:rFonts w:hint="eastAsia"/>
          <w:lang/>
        </w:rPr>
        <w:t>、如遇旗下基金开展申购费率优惠活动（包括本公司电子自助交易系统的费率优惠活动，公告中有特别说明的除外），则基金转换时的申购补差费按照优惠后的费率计算，但对于通过销售机构网上交易提起的基金转换申请，如本公司未作特别说明，将不适用优惠费率。</w:t>
      </w:r>
      <w:r>
        <w:rPr>
          <w:rFonts w:hint="eastAsia"/>
          <w:lang/>
        </w:rPr>
        <w:br/>
      </w:r>
      <w:r>
        <w:rPr>
          <w:rFonts w:hint="eastAsia"/>
          <w:lang/>
        </w:rPr>
        <w:t xml:space="preserve">　　</w:t>
      </w:r>
      <w:r>
        <w:rPr>
          <w:rFonts w:hint="eastAsia"/>
          <w:lang/>
        </w:rPr>
        <w:t>9</w:t>
      </w:r>
      <w:r>
        <w:rPr>
          <w:rFonts w:hint="eastAsia"/>
          <w:lang/>
        </w:rPr>
        <w:t>、如遇申购费率优惠活动，基金转换费用的构成同样适用于前述规则，即基金转换费用由基金赎回费用及基金申购补差费用构成。</w:t>
      </w:r>
      <w:r>
        <w:rPr>
          <w:rFonts w:hint="eastAsia"/>
          <w:lang/>
        </w:rPr>
        <w:br/>
      </w:r>
      <w:r>
        <w:rPr>
          <w:rFonts w:hint="eastAsia"/>
          <w:lang/>
        </w:rPr>
        <w:t xml:space="preserve">　　</w:t>
      </w:r>
      <w:r>
        <w:rPr>
          <w:rFonts w:hint="eastAsia"/>
          <w:lang/>
        </w:rPr>
        <w:t>10</w:t>
      </w:r>
      <w:r>
        <w:rPr>
          <w:rFonts w:hint="eastAsia"/>
          <w:lang/>
        </w:rPr>
        <w:t>、转换份额的计算公式</w:t>
      </w:r>
      <w:r>
        <w:rPr>
          <w:rFonts w:hint="eastAsia"/>
          <w:lang/>
        </w:rPr>
        <w:br/>
      </w:r>
      <w:r>
        <w:rPr>
          <w:rFonts w:hint="eastAsia"/>
          <w:lang/>
        </w:rPr>
        <w:t xml:space="preserve">　　</w:t>
      </w:r>
      <w:r>
        <w:rPr>
          <w:rFonts w:hint="eastAsia"/>
          <w:lang/>
        </w:rPr>
        <w:t>A</w:t>
      </w:r>
      <w:r>
        <w:rPr>
          <w:rFonts w:hint="eastAsia"/>
          <w:lang/>
        </w:rPr>
        <w:t>＝［</w:t>
      </w:r>
      <w:r>
        <w:rPr>
          <w:rFonts w:hint="eastAsia"/>
          <w:lang/>
        </w:rPr>
        <w:t>B</w:t>
      </w:r>
      <w:r>
        <w:rPr>
          <w:rFonts w:hint="eastAsia"/>
          <w:lang/>
        </w:rPr>
        <w:t>×</w:t>
      </w:r>
      <w:r>
        <w:rPr>
          <w:rFonts w:hint="eastAsia"/>
          <w:lang/>
        </w:rPr>
        <w:t>C</w:t>
      </w:r>
      <w:r>
        <w:rPr>
          <w:rFonts w:hint="eastAsia"/>
          <w:lang/>
        </w:rPr>
        <w:t>×</w:t>
      </w:r>
      <w:r>
        <w:rPr>
          <w:rFonts w:hint="eastAsia"/>
          <w:lang/>
        </w:rPr>
        <w:t>(1-D)</w:t>
      </w:r>
      <w:r>
        <w:rPr>
          <w:rFonts w:hint="eastAsia"/>
          <w:lang/>
        </w:rPr>
        <w:t xml:space="preserve">　</w:t>
      </w:r>
      <w:r>
        <w:rPr>
          <w:rFonts w:hint="eastAsia"/>
          <w:lang/>
        </w:rPr>
        <w:t>/</w:t>
      </w:r>
      <w:r>
        <w:rPr>
          <w:rFonts w:hint="eastAsia"/>
          <w:lang/>
        </w:rPr>
        <w:t>（</w:t>
      </w:r>
      <w:r>
        <w:rPr>
          <w:rFonts w:hint="eastAsia"/>
          <w:lang/>
        </w:rPr>
        <w:t>1+G</w:t>
      </w:r>
      <w:r>
        <w:rPr>
          <w:rFonts w:hint="eastAsia"/>
          <w:lang/>
        </w:rPr>
        <w:t>）</w:t>
      </w:r>
      <w:r>
        <w:rPr>
          <w:rFonts w:hint="eastAsia"/>
          <w:lang/>
        </w:rPr>
        <w:t>+F</w:t>
      </w:r>
      <w:r>
        <w:rPr>
          <w:rFonts w:hint="eastAsia"/>
          <w:lang/>
        </w:rPr>
        <w:t>］</w:t>
      </w:r>
      <w:r>
        <w:rPr>
          <w:rFonts w:hint="eastAsia"/>
          <w:lang/>
        </w:rPr>
        <w:t>/E</w:t>
      </w:r>
      <w:r>
        <w:rPr>
          <w:rFonts w:hint="eastAsia"/>
          <w:lang/>
        </w:rPr>
        <w:br/>
      </w:r>
      <w:r>
        <w:rPr>
          <w:rFonts w:hint="eastAsia"/>
          <w:lang/>
        </w:rPr>
        <w:t xml:space="preserve">　　其中，</w:t>
      </w:r>
      <w:r>
        <w:rPr>
          <w:rFonts w:hint="eastAsia"/>
          <w:lang/>
        </w:rPr>
        <w:t>A</w:t>
      </w:r>
      <w:r>
        <w:rPr>
          <w:rFonts w:hint="eastAsia"/>
          <w:lang/>
        </w:rPr>
        <w:t>为转</w:t>
      </w:r>
      <w:r>
        <w:rPr>
          <w:rFonts w:hint="eastAsia"/>
          <w:lang/>
        </w:rPr>
        <w:t>入的基金份额；</w:t>
      </w:r>
      <w:r>
        <w:rPr>
          <w:rFonts w:hint="eastAsia"/>
          <w:lang/>
        </w:rPr>
        <w:t>B</w:t>
      </w:r>
      <w:r>
        <w:rPr>
          <w:rFonts w:hint="eastAsia"/>
          <w:lang/>
        </w:rPr>
        <w:t>为转出的基金份额；</w:t>
      </w:r>
      <w:r>
        <w:rPr>
          <w:rFonts w:hint="eastAsia"/>
          <w:lang/>
        </w:rPr>
        <w:t>C</w:t>
      </w:r>
      <w:r>
        <w:rPr>
          <w:rFonts w:hint="eastAsia"/>
          <w:lang/>
        </w:rPr>
        <w:t>为转换申请当日转出基金的基金份额净值；</w:t>
      </w:r>
      <w:r>
        <w:rPr>
          <w:rFonts w:hint="eastAsia"/>
          <w:lang/>
        </w:rPr>
        <w:t>D</w:t>
      </w:r>
      <w:r>
        <w:rPr>
          <w:rFonts w:hint="eastAsia"/>
          <w:lang/>
        </w:rPr>
        <w:t>为转出基金的对应赎回费率；</w:t>
      </w:r>
      <w:r>
        <w:rPr>
          <w:rFonts w:hint="eastAsia"/>
          <w:lang/>
        </w:rPr>
        <w:t>G</w:t>
      </w:r>
      <w:r>
        <w:rPr>
          <w:rFonts w:hint="eastAsia"/>
          <w:lang/>
        </w:rPr>
        <w:t>为对应的申购补差费率；</w:t>
      </w:r>
      <w:r>
        <w:rPr>
          <w:rFonts w:hint="eastAsia"/>
          <w:lang/>
        </w:rPr>
        <w:t>E</w:t>
      </w:r>
      <w:r>
        <w:rPr>
          <w:rFonts w:hint="eastAsia"/>
          <w:lang/>
        </w:rPr>
        <w:t>为转换申请当日转入基金的基金份额净值；</w:t>
      </w:r>
      <w:r>
        <w:rPr>
          <w:rFonts w:hint="eastAsia"/>
          <w:lang/>
        </w:rPr>
        <w:t>F</w:t>
      </w:r>
      <w:r>
        <w:rPr>
          <w:rFonts w:hint="eastAsia"/>
          <w:lang/>
        </w:rPr>
        <w:t>为货币市场基金转出的基金份额按比例结转的账户当前累计未付收益（仅限转出基金为货币市场基金）。</w:t>
      </w:r>
      <w:r>
        <w:rPr>
          <w:rFonts w:hint="eastAsia"/>
          <w:lang/>
        </w:rPr>
        <w:br/>
      </w:r>
      <w:r>
        <w:rPr>
          <w:rFonts w:hint="eastAsia"/>
          <w:lang/>
        </w:rPr>
        <w:t xml:space="preserve">　　具体份额以注册登记机构的记录为准。转入份额的计算结果四舍五入保留到小数点后两位，由此误差产生的损失由基金财产承担，产生的收益归基金财产所有。</w:t>
      </w:r>
    </w:p>
    <w:p w:rsidR="00000000" w:rsidRDefault="00564E45">
      <w:pPr>
        <w:pStyle w:val="XBRLTitle2"/>
        <w:spacing w:before="156" w:line="360" w:lineRule="auto"/>
        <w:rPr>
          <w:rFonts w:hint="eastAsia"/>
        </w:rPr>
      </w:pPr>
      <w:bookmarkStart w:id="141" w:name="_Toc17898200"/>
      <w:bookmarkStart w:id="142" w:name="_Toc513295913"/>
      <w:bookmarkStart w:id="143" w:name="_Toc34841040"/>
      <w:bookmarkStart w:id="144" w:name="_Toc34758531"/>
      <w:bookmarkStart w:id="145" w:name="_Toc481075069"/>
      <w:bookmarkStart w:id="146" w:name="m502"/>
      <w:bookmarkStart w:id="147" w:name="_Toc17897952"/>
      <w:bookmarkStart w:id="148" w:name="m504"/>
      <w:bookmarkStart w:id="149" w:name="_Toc490050022"/>
      <w:bookmarkStart w:id="150" w:name="_Toc438646470"/>
      <w:bookmarkStart w:id="151" w:name="_Toc513295861"/>
      <w:bookmarkStart w:id="152" w:name="_Toc512519501"/>
      <w:bookmarkEnd w:id="137"/>
      <w:r>
        <w:rPr>
          <w:rFonts w:hAnsi="宋体" w:hint="eastAsia"/>
        </w:rPr>
        <w:t>其他与转换相关的事项</w:t>
      </w:r>
      <w:bookmarkEnd w:id="148"/>
      <w:bookmarkEnd w:id="147"/>
      <w:bookmarkEnd w:id="146"/>
      <w:bookmarkEnd w:id="145"/>
      <w:bookmarkEnd w:id="141"/>
      <w:bookmarkEnd w:id="152"/>
      <w:bookmarkEnd w:id="151"/>
      <w:bookmarkEnd w:id="143"/>
      <w:bookmarkEnd w:id="142"/>
      <w:bookmarkEnd w:id="150"/>
      <w:bookmarkEnd w:id="149"/>
      <w:bookmarkEnd w:id="144"/>
      <w:r>
        <w:rPr>
          <w:rFonts w:hAnsi="宋体" w:hint="eastAsia"/>
        </w:rPr>
        <w:t xml:space="preserve"> </w:t>
      </w:r>
    </w:p>
    <w:p w:rsidR="00000000" w:rsidRDefault="00564E45">
      <w:pPr>
        <w:numPr>
          <w:ilvl w:val="0"/>
          <w:numId w:val="2"/>
        </w:numPr>
        <w:spacing w:line="360" w:lineRule="auto"/>
        <w:ind w:firstLineChars="200" w:firstLine="420"/>
        <w:rPr>
          <w:rFonts w:hint="eastAsia"/>
          <w:kern w:val="0"/>
          <w:szCs w:val="21"/>
          <w:lang/>
        </w:rPr>
      </w:pPr>
      <w:r>
        <w:rPr>
          <w:rFonts w:hint="eastAsia"/>
          <w:kern w:val="0"/>
          <w:szCs w:val="21"/>
          <w:lang/>
        </w:rPr>
        <w:t>可转换基金</w:t>
      </w:r>
    </w:p>
    <w:p w:rsidR="00000000" w:rsidRDefault="00564E45">
      <w:pPr>
        <w:spacing w:line="360" w:lineRule="auto"/>
        <w:ind w:firstLineChars="200" w:firstLine="420"/>
        <w:rPr>
          <w:rFonts w:hint="eastAsia"/>
          <w:kern w:val="0"/>
          <w:szCs w:val="21"/>
          <w:lang/>
        </w:rPr>
      </w:pPr>
      <w:r>
        <w:rPr>
          <w:rFonts w:hint="eastAsia"/>
          <w:kern w:val="0"/>
          <w:szCs w:val="21"/>
          <w:lang/>
        </w:rPr>
        <w:t>本基金开通与工银瑞信旗下其它开放式基金（由同一注册登记机构办理注册登</w:t>
      </w:r>
      <w:r>
        <w:rPr>
          <w:rFonts w:hint="eastAsia"/>
          <w:kern w:val="0"/>
          <w:szCs w:val="21"/>
          <w:lang/>
        </w:rPr>
        <w:t>记的、已公告开通基金转换业务、且通过非个人养老金资金账户投资）之间的转换业务，各基金转换业务的开放状态及交易限制详见各基金相关公告。</w:t>
      </w:r>
      <w:r>
        <w:rPr>
          <w:rFonts w:hint="eastAsia"/>
          <w:kern w:val="0"/>
          <w:szCs w:val="21"/>
          <w:lang/>
        </w:rPr>
        <w:br/>
      </w:r>
      <w:r>
        <w:rPr>
          <w:rFonts w:hint="eastAsia"/>
          <w:kern w:val="0"/>
          <w:szCs w:val="21"/>
          <w:lang/>
        </w:rPr>
        <w:t xml:space="preserve">　　</w:t>
      </w:r>
      <w:r>
        <w:rPr>
          <w:rFonts w:hint="eastAsia"/>
          <w:kern w:val="0"/>
          <w:szCs w:val="21"/>
          <w:lang/>
        </w:rPr>
        <w:t>2</w:t>
      </w:r>
      <w:r>
        <w:rPr>
          <w:rFonts w:hint="eastAsia"/>
          <w:kern w:val="0"/>
          <w:szCs w:val="21"/>
          <w:lang/>
        </w:rPr>
        <w:t>、开通转换业务的销售机构</w:t>
      </w:r>
      <w:r>
        <w:rPr>
          <w:rFonts w:hint="eastAsia"/>
          <w:kern w:val="0"/>
          <w:szCs w:val="21"/>
          <w:lang/>
        </w:rPr>
        <w:br/>
      </w:r>
      <w:r>
        <w:rPr>
          <w:rFonts w:hint="eastAsia"/>
          <w:kern w:val="0"/>
          <w:szCs w:val="21"/>
          <w:lang/>
        </w:rPr>
        <w:t xml:space="preserve">　　基金转换只能在同一销售机构进行。转换的两只基金必须都是该销售机构销售的同一基金管理人管理的、在同一注册登记机构注册登记的基金。</w:t>
      </w:r>
      <w:r>
        <w:rPr>
          <w:rFonts w:hint="eastAsia"/>
          <w:kern w:val="0"/>
          <w:szCs w:val="21"/>
          <w:lang/>
        </w:rPr>
        <w:br/>
      </w:r>
      <w:r>
        <w:rPr>
          <w:rFonts w:hint="eastAsia"/>
          <w:kern w:val="0"/>
          <w:szCs w:val="21"/>
          <w:lang/>
        </w:rPr>
        <w:t xml:space="preserve">　　目前，投资者可在本基金管理人电子自助交易系统、直销中心办理本基金的转换业务。各销售机构办理转换业务的具体网点、流程、规则以及投资者需要提交的文件等信息，请参照各销售机构的规定。其他销售机构如以后开通本基金的转换</w:t>
      </w:r>
      <w:r>
        <w:rPr>
          <w:rFonts w:hint="eastAsia"/>
          <w:kern w:val="0"/>
          <w:szCs w:val="21"/>
          <w:lang/>
        </w:rPr>
        <w:t xml:space="preserve">业务，本公司将不再特别公告，敬请广大投资者关注各销售机构开通上述业务的公告或垂询有关销售机构。　　</w:t>
      </w:r>
      <w:r>
        <w:rPr>
          <w:rFonts w:hint="eastAsia"/>
          <w:kern w:val="0"/>
          <w:szCs w:val="21"/>
          <w:lang/>
        </w:rPr>
        <w:br/>
      </w:r>
      <w:r>
        <w:rPr>
          <w:rFonts w:hint="eastAsia"/>
          <w:kern w:val="0"/>
          <w:szCs w:val="21"/>
          <w:lang/>
        </w:rPr>
        <w:t xml:space="preserve">　　</w:t>
      </w:r>
      <w:r>
        <w:rPr>
          <w:rFonts w:hint="eastAsia"/>
          <w:kern w:val="0"/>
          <w:szCs w:val="21"/>
          <w:lang/>
        </w:rPr>
        <w:t>3</w:t>
      </w:r>
      <w:r>
        <w:rPr>
          <w:rFonts w:hint="eastAsia"/>
          <w:kern w:val="0"/>
          <w:szCs w:val="21"/>
          <w:lang/>
        </w:rPr>
        <w:t>、本公司旗下基金的转换业务规则以《工银瑞信基金管理有限公司证券投资基金注册登记业务规则》为准。</w:t>
      </w:r>
      <w:r>
        <w:rPr>
          <w:rFonts w:hint="eastAsia"/>
          <w:kern w:val="0"/>
          <w:szCs w:val="21"/>
          <w:lang/>
        </w:rPr>
        <w:t xml:space="preserve"> </w:t>
      </w:r>
    </w:p>
    <w:p w:rsidR="00000000" w:rsidRDefault="00564E45">
      <w:pPr>
        <w:pStyle w:val="XBRLTitle1"/>
        <w:spacing w:before="156" w:line="360" w:lineRule="auto"/>
        <w:rPr>
          <w:rFonts w:hint="eastAsia"/>
        </w:rPr>
      </w:pPr>
      <w:bookmarkStart w:id="153" w:name="_Toc34758532"/>
      <w:bookmarkStart w:id="154" w:name="_Toc34841041"/>
      <w:r>
        <w:rPr>
          <w:rFonts w:hAnsi="宋体" w:hint="eastAsia"/>
        </w:rPr>
        <w:t>定期定额投资业务</w:t>
      </w:r>
      <w:bookmarkEnd w:id="153"/>
      <w:bookmarkEnd w:id="154"/>
      <w:r>
        <w:rPr>
          <w:rFonts w:hAnsi="宋体" w:hint="eastAsia"/>
        </w:rPr>
        <w:t xml:space="preserve"> </w:t>
      </w:r>
    </w:p>
    <w:p w:rsidR="00000000" w:rsidRDefault="00564E45">
      <w:pPr>
        <w:spacing w:line="360" w:lineRule="auto"/>
        <w:ind w:firstLineChars="200" w:firstLine="420"/>
        <w:rPr>
          <w:rFonts w:hint="eastAsia"/>
          <w:kern w:val="0"/>
          <w:szCs w:val="21"/>
          <w:lang/>
        </w:rPr>
      </w:pPr>
      <w:r>
        <w:rPr>
          <w:rFonts w:hint="eastAsia"/>
          <w:lang/>
        </w:rPr>
        <w:t>1</w:t>
      </w:r>
      <w:r>
        <w:rPr>
          <w:rFonts w:hint="eastAsia"/>
          <w:lang/>
        </w:rPr>
        <w:t>、定期定额投资业务是指投资者可通过销售机构提交申请，约定每期扣款时间、扣款金额，由销售机构于每期约定扣款日在投资者指定资金账户内自动完成扣款，并提交基金申购申请的一种长期投资方式。</w:t>
      </w:r>
      <w:r>
        <w:rPr>
          <w:rFonts w:hint="eastAsia"/>
          <w:lang/>
        </w:rPr>
        <w:br/>
      </w:r>
      <w:r>
        <w:rPr>
          <w:rFonts w:hint="eastAsia"/>
          <w:lang/>
        </w:rPr>
        <w:t xml:space="preserve">　　</w:t>
      </w:r>
      <w:r>
        <w:rPr>
          <w:rFonts w:hint="eastAsia"/>
          <w:lang/>
        </w:rPr>
        <w:t>2</w:t>
      </w:r>
      <w:r>
        <w:rPr>
          <w:rFonts w:hint="eastAsia"/>
          <w:lang/>
        </w:rPr>
        <w:t>、除另有公告外，定期定额投资费率与日常申购费率相同。</w:t>
      </w:r>
      <w:r>
        <w:rPr>
          <w:rFonts w:hint="eastAsia"/>
          <w:lang/>
        </w:rPr>
        <w:br/>
      </w:r>
      <w:r>
        <w:rPr>
          <w:rFonts w:hint="eastAsia"/>
          <w:lang/>
        </w:rPr>
        <w:t xml:space="preserve">　　</w:t>
      </w:r>
      <w:r>
        <w:rPr>
          <w:rFonts w:hint="eastAsia"/>
          <w:lang/>
        </w:rPr>
        <w:t>3</w:t>
      </w:r>
      <w:r>
        <w:rPr>
          <w:rFonts w:hint="eastAsia"/>
          <w:lang/>
        </w:rPr>
        <w:t>、目前，投资者可在本基金管理人电子自助</w:t>
      </w:r>
      <w:r>
        <w:rPr>
          <w:rFonts w:hint="eastAsia"/>
          <w:lang/>
        </w:rPr>
        <w:t>交易系统办理本基金的定期定额投资业务。各销售机构办理定期定额投资业务的具体网点、流程、规则以及投资者需要提交的文件等信息，请参照各销售机构的规定。</w:t>
      </w:r>
      <w:r>
        <w:rPr>
          <w:rFonts w:hint="eastAsia"/>
          <w:lang/>
        </w:rPr>
        <w:br/>
      </w:r>
      <w:r>
        <w:rPr>
          <w:rFonts w:hint="eastAsia"/>
          <w:lang/>
        </w:rPr>
        <w:t xml:space="preserve">　　投资者在各销售机构办理定投业务应遵循各销售机构相关的具体规定。其他销售本基金的销售机构以后如开通本基金的定期定额投资业务，本公司可不再特别公告，敬请广大投资者关注各销售机构开通上述业务的公告或垂询有关销售机构。当定期定额申购日该基金暂停交易时，定期定额投资处理以相关公告为准。</w:t>
      </w:r>
    </w:p>
    <w:p w:rsidR="00000000" w:rsidRDefault="00564E45">
      <w:pPr>
        <w:pStyle w:val="XBRLTitle1"/>
        <w:spacing w:before="156" w:line="360" w:lineRule="auto"/>
        <w:rPr>
          <w:rFonts w:hint="eastAsia"/>
        </w:rPr>
      </w:pPr>
      <w:bookmarkStart w:id="155" w:name="_Toc3475852111"/>
      <w:bookmarkStart w:id="156" w:name="_Toc34841042"/>
      <w:r>
        <w:rPr>
          <w:rFonts w:hAnsi="宋体" w:hint="eastAsia"/>
        </w:rPr>
        <w:t>基金销售机构</w:t>
      </w:r>
      <w:bookmarkEnd w:id="40"/>
      <w:bookmarkEnd w:id="39"/>
      <w:bookmarkEnd w:id="38"/>
      <w:bookmarkEnd w:id="37"/>
      <w:bookmarkEnd w:id="36"/>
      <w:bookmarkEnd w:id="35"/>
      <w:bookmarkEnd w:id="34"/>
      <w:bookmarkEnd w:id="33"/>
      <w:bookmarkEnd w:id="155"/>
      <w:bookmarkEnd w:id="156"/>
      <w:r>
        <w:rPr>
          <w:rFonts w:hAnsi="宋体" w:hint="eastAsia"/>
        </w:rPr>
        <w:t xml:space="preserve"> </w:t>
      </w:r>
    </w:p>
    <w:p w:rsidR="00000000" w:rsidRDefault="00564E45">
      <w:pPr>
        <w:pStyle w:val="XBRLTitle2"/>
        <w:spacing w:before="156" w:line="360" w:lineRule="auto"/>
        <w:rPr>
          <w:rFonts w:hint="eastAsia"/>
        </w:rPr>
      </w:pPr>
      <w:bookmarkStart w:id="157" w:name="_Toc51346565811"/>
      <w:r>
        <w:rPr>
          <w:rFonts w:hAnsi="宋体" w:hint="eastAsia"/>
        </w:rPr>
        <w:t>场外销售机构</w:t>
      </w:r>
      <w:bookmarkEnd w:id="54"/>
      <w:bookmarkEnd w:id="53"/>
      <w:bookmarkEnd w:id="55"/>
      <w:bookmarkEnd w:id="52"/>
      <w:bookmarkEnd w:id="157"/>
      <w:r>
        <w:rPr>
          <w:rFonts w:hAnsi="宋体" w:hint="eastAsia"/>
        </w:rPr>
        <w:t xml:space="preserve"> </w:t>
      </w:r>
    </w:p>
    <w:p w:rsidR="00000000" w:rsidRDefault="00564E45">
      <w:pPr>
        <w:pStyle w:val="XBRLTitle3"/>
        <w:spacing w:before="156"/>
        <w:rPr>
          <w:rFonts w:hint="eastAsia"/>
        </w:rPr>
      </w:pPr>
      <w:bookmarkStart w:id="158" w:name="_Toc51346565911"/>
      <w:r>
        <w:rPr>
          <w:rFonts w:hint="eastAsia"/>
        </w:rPr>
        <w:t>直销机构</w:t>
      </w:r>
      <w:bookmarkEnd w:id="59"/>
      <w:bookmarkEnd w:id="57"/>
      <w:bookmarkEnd w:id="58"/>
      <w:bookmarkEnd w:id="158"/>
      <w:r>
        <w:rPr>
          <w:rFonts w:hint="eastAsia"/>
        </w:rPr>
        <w:t xml:space="preserve"> </w:t>
      </w:r>
    </w:p>
    <w:p w:rsidR="00000000" w:rsidRDefault="00564E45">
      <w:pPr>
        <w:spacing w:line="360" w:lineRule="auto"/>
        <w:ind w:firstLineChars="200" w:firstLine="420"/>
        <w:rPr>
          <w:rFonts w:hint="eastAsia"/>
        </w:rPr>
      </w:pPr>
      <w:r>
        <w:rPr>
          <w:rFonts w:hint="eastAsia"/>
          <w:lang/>
        </w:rPr>
        <w:t>名称：工银瑞信基金管理有限公司</w:t>
      </w:r>
      <w:r>
        <w:rPr>
          <w:rFonts w:hint="eastAsia"/>
          <w:lang/>
        </w:rPr>
        <w:br/>
      </w:r>
      <w:r>
        <w:rPr>
          <w:rFonts w:hint="eastAsia"/>
          <w:lang/>
        </w:rPr>
        <w:t xml:space="preserve">　　住</w:t>
      </w:r>
      <w:r>
        <w:rPr>
          <w:rFonts w:hint="eastAsia"/>
          <w:lang/>
        </w:rPr>
        <w:t>所：北京市西城区金融大街</w:t>
      </w:r>
      <w:r>
        <w:rPr>
          <w:rFonts w:hint="eastAsia"/>
          <w:lang/>
        </w:rPr>
        <w:t>5</w:t>
      </w:r>
      <w:r>
        <w:rPr>
          <w:rFonts w:hint="eastAsia"/>
          <w:lang/>
        </w:rPr>
        <w:t>号、甲</w:t>
      </w:r>
      <w:r>
        <w:rPr>
          <w:rFonts w:hint="eastAsia"/>
          <w:lang/>
        </w:rPr>
        <w:t>5</w:t>
      </w:r>
      <w:r>
        <w:rPr>
          <w:rFonts w:hint="eastAsia"/>
          <w:lang/>
        </w:rPr>
        <w:t>号</w:t>
      </w:r>
      <w:r>
        <w:rPr>
          <w:rFonts w:hint="eastAsia"/>
          <w:lang/>
        </w:rPr>
        <w:t>9</w:t>
      </w:r>
      <w:r>
        <w:rPr>
          <w:rFonts w:hint="eastAsia"/>
          <w:lang/>
        </w:rPr>
        <w:t>层甲</w:t>
      </w:r>
      <w:r>
        <w:rPr>
          <w:rFonts w:hint="eastAsia"/>
          <w:lang/>
        </w:rPr>
        <w:t>5</w:t>
      </w:r>
      <w:r>
        <w:rPr>
          <w:rFonts w:hint="eastAsia"/>
          <w:lang/>
        </w:rPr>
        <w:t>号</w:t>
      </w:r>
      <w:r>
        <w:rPr>
          <w:rFonts w:hint="eastAsia"/>
          <w:lang/>
        </w:rPr>
        <w:t>901</w:t>
      </w:r>
      <w:r>
        <w:rPr>
          <w:rFonts w:hint="eastAsia"/>
          <w:lang/>
        </w:rPr>
        <w:br/>
      </w:r>
      <w:r>
        <w:rPr>
          <w:rFonts w:hint="eastAsia"/>
          <w:lang/>
        </w:rPr>
        <w:t xml:space="preserve">　　办公地址：北京市西城区金融大街</w:t>
      </w:r>
      <w:r>
        <w:rPr>
          <w:rFonts w:hint="eastAsia"/>
          <w:lang/>
        </w:rPr>
        <w:t>5</w:t>
      </w:r>
      <w:r>
        <w:rPr>
          <w:rFonts w:hint="eastAsia"/>
          <w:lang/>
        </w:rPr>
        <w:t>号新盛大厦</w:t>
      </w:r>
      <w:r>
        <w:rPr>
          <w:rFonts w:hint="eastAsia"/>
          <w:lang/>
        </w:rPr>
        <w:t>A</w:t>
      </w:r>
      <w:r>
        <w:rPr>
          <w:rFonts w:hint="eastAsia"/>
          <w:lang/>
        </w:rPr>
        <w:t>座</w:t>
      </w:r>
      <w:r>
        <w:rPr>
          <w:rFonts w:hint="eastAsia"/>
          <w:lang/>
        </w:rPr>
        <w:t>6-9</w:t>
      </w:r>
      <w:r>
        <w:rPr>
          <w:rFonts w:hint="eastAsia"/>
          <w:lang/>
        </w:rPr>
        <w:t>层</w:t>
      </w:r>
      <w:r>
        <w:rPr>
          <w:rFonts w:hint="eastAsia"/>
          <w:lang/>
        </w:rPr>
        <w:br/>
      </w:r>
      <w:r>
        <w:rPr>
          <w:rFonts w:hint="eastAsia"/>
          <w:lang/>
        </w:rPr>
        <w:t xml:space="preserve">　　公司网址：</w:t>
      </w:r>
      <w:r>
        <w:rPr>
          <w:rFonts w:hint="eastAsia"/>
          <w:lang/>
        </w:rPr>
        <w:t>www.icbcubs.com.cn</w:t>
      </w:r>
      <w:r>
        <w:rPr>
          <w:rFonts w:hint="eastAsia"/>
          <w:lang/>
        </w:rPr>
        <w:br/>
      </w:r>
      <w:r>
        <w:rPr>
          <w:rFonts w:hint="eastAsia"/>
          <w:lang/>
        </w:rPr>
        <w:t xml:space="preserve">　　全国统一客户服务电话：</w:t>
      </w:r>
      <w:r>
        <w:rPr>
          <w:rFonts w:hint="eastAsia"/>
          <w:lang/>
        </w:rPr>
        <w:t>400-811-9999</w:t>
      </w:r>
      <w:r>
        <w:rPr>
          <w:rFonts w:hint="eastAsia"/>
          <w:lang/>
        </w:rPr>
        <w:br/>
      </w:r>
      <w:r>
        <w:rPr>
          <w:rFonts w:hint="eastAsia"/>
          <w:lang/>
        </w:rPr>
        <w:t xml:space="preserve">　　直销机构网点信息：</w:t>
      </w:r>
      <w:r>
        <w:rPr>
          <w:rFonts w:hint="eastAsia"/>
          <w:lang/>
        </w:rPr>
        <w:br/>
      </w:r>
      <w:r>
        <w:rPr>
          <w:rFonts w:hint="eastAsia"/>
          <w:lang/>
        </w:rPr>
        <w:t xml:space="preserve">　　本公司直销</w:t>
      </w:r>
      <w:r>
        <w:rPr>
          <w:rFonts w:hint="eastAsia"/>
        </w:rPr>
        <w:t>柜台</w:t>
      </w:r>
      <w:r>
        <w:rPr>
          <w:rFonts w:hint="eastAsia"/>
          <w:lang/>
        </w:rPr>
        <w:t>及直销电子自助交易系统（含</w:t>
      </w:r>
      <w:r>
        <w:rPr>
          <w:rFonts w:hint="eastAsia"/>
          <w:lang/>
        </w:rPr>
        <w:t>APP</w:t>
      </w:r>
      <w:r>
        <w:rPr>
          <w:rFonts w:hint="eastAsia"/>
          <w:lang/>
        </w:rPr>
        <w:t>、网上交易、微信自助交易）销售本基金，网点具体信息详见本公司网站。</w:t>
      </w:r>
    </w:p>
    <w:p w:rsidR="00000000" w:rsidRDefault="00564E45">
      <w:pPr>
        <w:pStyle w:val="XBRLTitle3"/>
        <w:spacing w:before="156"/>
        <w:rPr>
          <w:rFonts w:hint="eastAsia"/>
        </w:rPr>
      </w:pPr>
      <w:bookmarkStart w:id="159" w:name="_Toc51346566011"/>
      <w:r>
        <w:rPr>
          <w:rFonts w:hint="eastAsia"/>
        </w:rPr>
        <w:t>场外非直销机构</w:t>
      </w:r>
      <w:bookmarkEnd w:id="64"/>
      <w:bookmarkEnd w:id="69"/>
      <w:bookmarkEnd w:id="70"/>
      <w:bookmarkEnd w:id="71"/>
      <w:bookmarkEnd w:id="77"/>
      <w:bookmarkEnd w:id="76"/>
      <w:bookmarkEnd w:id="75"/>
      <w:bookmarkEnd w:id="72"/>
      <w:bookmarkEnd w:id="73"/>
      <w:bookmarkEnd w:id="74"/>
      <w:bookmarkEnd w:id="66"/>
      <w:bookmarkEnd w:id="62"/>
      <w:bookmarkEnd w:id="63"/>
      <w:bookmarkEnd w:id="65"/>
      <w:bookmarkEnd w:id="67"/>
      <w:bookmarkEnd w:id="68"/>
      <w:bookmarkEnd w:id="159"/>
    </w:p>
    <w:p w:rsidR="00000000" w:rsidRDefault="00564E45">
      <w:pPr>
        <w:spacing w:line="360" w:lineRule="auto"/>
        <w:ind w:firstLineChars="200" w:firstLine="420"/>
        <w:rPr>
          <w:rFonts w:hint="eastAsia"/>
        </w:rPr>
      </w:pPr>
      <w:r>
        <w:rPr>
          <w:rFonts w:hint="eastAsia"/>
          <w:kern w:val="0"/>
          <w:szCs w:val="21"/>
          <w:lang/>
        </w:rPr>
        <w:t>本基金场外非直销机构信息详见基金管理人网站公示，敬请投资者留意。</w:t>
      </w:r>
      <w:r>
        <w:rPr>
          <w:rFonts w:hint="eastAsia"/>
          <w:kern w:val="0"/>
          <w:sz w:val="24"/>
        </w:rPr>
        <w:t xml:space="preserve"> </w:t>
      </w:r>
    </w:p>
    <w:p w:rsidR="00000000" w:rsidRDefault="00564E45">
      <w:pPr>
        <w:pStyle w:val="XBRLTitle1"/>
        <w:spacing w:before="156" w:line="360" w:lineRule="auto"/>
        <w:rPr>
          <w:rFonts w:hint="eastAsia"/>
        </w:rPr>
      </w:pPr>
      <w:bookmarkStart w:id="160" w:name="_Toc3475853211"/>
      <w:bookmarkStart w:id="161" w:name="_Toc34841045"/>
      <w:r>
        <w:rPr>
          <w:rFonts w:hAnsi="宋体" w:hint="eastAsia"/>
        </w:rPr>
        <w:t>基金份额净值公告</w:t>
      </w:r>
      <w:r>
        <w:rPr>
          <w:rFonts w:hAnsi="宋体" w:hint="eastAsia"/>
        </w:rPr>
        <w:t>/</w:t>
      </w:r>
      <w:r>
        <w:rPr>
          <w:rFonts w:hAnsi="宋体" w:hint="eastAsia"/>
        </w:rPr>
        <w:t>基金收益公告的披露安排</w:t>
      </w:r>
      <w:bookmarkEnd w:id="160"/>
      <w:bookmarkEnd w:id="161"/>
      <w:r>
        <w:rPr>
          <w:rFonts w:hAnsi="宋体" w:hint="eastAsia"/>
        </w:rPr>
        <w:t xml:space="preserve"> </w:t>
      </w:r>
    </w:p>
    <w:p w:rsidR="00000000" w:rsidRDefault="00564E45">
      <w:pPr>
        <w:spacing w:line="360" w:lineRule="auto"/>
        <w:ind w:firstLineChars="200" w:firstLine="420"/>
        <w:rPr>
          <w:rFonts w:hint="eastAsia"/>
        </w:rPr>
      </w:pPr>
      <w:r>
        <w:rPr>
          <w:rFonts w:hint="eastAsia"/>
          <w:lang/>
        </w:rPr>
        <w:t>在开始办理基金份额申购或</w:t>
      </w:r>
      <w:r>
        <w:rPr>
          <w:rFonts w:hint="eastAsia"/>
          <w:lang/>
        </w:rPr>
        <w:t>者赎回后，基金管理人应当在不晚于每个开放日的次日，通过规定网站、基金销售机构网站或者营业网点披露开放日的各类基金份额的基金份额净值和基金份额累计净值。</w:t>
      </w:r>
      <w:r>
        <w:rPr>
          <w:rFonts w:hint="eastAsia"/>
          <w:lang/>
        </w:rPr>
        <w:br/>
      </w:r>
      <w:r>
        <w:rPr>
          <w:rFonts w:hint="eastAsia"/>
          <w:lang/>
        </w:rPr>
        <w:t xml:space="preserve">　　基金管理人应当在不晚于半年度和年度最后一日的次日，在规定网站披露半年度和年度最后一日的各类基金份额的基金份额净值和基金份额累计净值。</w:t>
      </w:r>
    </w:p>
    <w:p w:rsidR="00000000" w:rsidRDefault="00564E45">
      <w:pPr>
        <w:pStyle w:val="XBRLTitle1"/>
        <w:spacing w:before="156" w:line="360" w:lineRule="auto"/>
        <w:rPr>
          <w:rFonts w:hint="eastAsia"/>
        </w:rPr>
      </w:pPr>
      <w:bookmarkStart w:id="162" w:name="_Toc34841046"/>
      <w:bookmarkStart w:id="163" w:name="_Toc3475853212"/>
      <w:r>
        <w:rPr>
          <w:rFonts w:hAnsi="宋体" w:hint="eastAsia"/>
        </w:rPr>
        <w:t>其他需要提示的事项</w:t>
      </w:r>
      <w:bookmarkEnd w:id="19"/>
      <w:bookmarkEnd w:id="18"/>
      <w:bookmarkEnd w:id="17"/>
      <w:bookmarkEnd w:id="20"/>
      <w:bookmarkEnd w:id="16"/>
      <w:bookmarkEnd w:id="23"/>
      <w:bookmarkEnd w:id="22"/>
      <w:bookmarkEnd w:id="21"/>
      <w:bookmarkEnd w:id="32"/>
      <w:bookmarkEnd w:id="31"/>
      <w:bookmarkEnd w:id="162"/>
      <w:bookmarkEnd w:id="163"/>
      <w:r>
        <w:rPr>
          <w:rFonts w:hAnsi="宋体" w:hint="eastAsia"/>
        </w:rPr>
        <w:t xml:space="preserve"> </w:t>
      </w:r>
    </w:p>
    <w:bookmarkEnd w:id="12"/>
    <w:bookmarkEnd w:id="11"/>
    <w:bookmarkEnd w:id="13"/>
    <w:bookmarkEnd w:id="25"/>
    <w:bookmarkEnd w:id="28"/>
    <w:bookmarkEnd w:id="27"/>
    <w:bookmarkEnd w:id="26"/>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1</w:t>
      </w:r>
      <w:r>
        <w:rPr>
          <w:rFonts w:hint="eastAsia"/>
          <w:sz w:val="21"/>
          <w:szCs w:val="21"/>
        </w:rPr>
        <w:t>、申购和赎回的申请方式</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投资人必须根据销售机构规定的程序，在开放日的具体业务办理时间内提出申购或赎回的申请。投资者在提交申购申请时，须按销售机构规定的方式备足申购资金，投资者在提交赎回申请时，应确</w:t>
      </w:r>
      <w:r>
        <w:rPr>
          <w:rFonts w:hint="eastAsia"/>
          <w:sz w:val="21"/>
          <w:szCs w:val="21"/>
        </w:rPr>
        <w:t>保账户内有足够的基金份额余额，否则申购、赎回申请不成立。</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2</w:t>
      </w:r>
      <w:r>
        <w:rPr>
          <w:rFonts w:hint="eastAsia"/>
          <w:sz w:val="21"/>
          <w:szCs w:val="21"/>
        </w:rPr>
        <w:t>、申购和赎回的款项支付</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投资人申购基金份额时，必须全额交付申购款项，投资人全额交付申购款项，申购成立；基金份额登记机构确认基金份额时，申购生效。</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基金份额持有人递交赎回申请，赎回成立；基金份额登记机构确认赎回时，赎回生效。投资者赎回申请生效后，基金管理人将在</w:t>
      </w:r>
      <w:r>
        <w:rPr>
          <w:rFonts w:hint="eastAsia"/>
          <w:sz w:val="21"/>
          <w:szCs w:val="21"/>
        </w:rPr>
        <w:t>T</w:t>
      </w:r>
      <w:r>
        <w:rPr>
          <w:rFonts w:hint="eastAsia"/>
          <w:sz w:val="21"/>
          <w:szCs w:val="21"/>
        </w:rPr>
        <w:t>＋</w:t>
      </w:r>
      <w:r>
        <w:rPr>
          <w:rFonts w:hint="eastAsia"/>
          <w:sz w:val="21"/>
          <w:szCs w:val="21"/>
        </w:rPr>
        <w:t>7</w:t>
      </w:r>
      <w:r>
        <w:rPr>
          <w:rFonts w:hint="eastAsia"/>
          <w:sz w:val="21"/>
          <w:szCs w:val="21"/>
        </w:rPr>
        <w:t>日</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内支付赎回款项。遇证券、期货交易所或交易市场数据传输延迟、通讯系统故障、银行数据交换系统故障或其它非基金管理人及基金托管人所能控制的因素影响业务处理流程时，赎回款项顺延</w:t>
      </w:r>
      <w:r>
        <w:rPr>
          <w:rFonts w:hint="eastAsia"/>
          <w:sz w:val="21"/>
          <w:szCs w:val="21"/>
        </w:rPr>
        <w:t>至下一个工作日划出。在发生巨额赎回或基金合同载明的其他暂停赎回或延缓支付赎回款项的情形时，款项的支付办法参照基金合同有关条款处理。</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3</w:t>
      </w:r>
      <w:r>
        <w:rPr>
          <w:rFonts w:hint="eastAsia"/>
          <w:sz w:val="21"/>
          <w:szCs w:val="21"/>
        </w:rPr>
        <w:t>、申购和赎回申请的确认</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基金管理人应以交易时间结束前受理有效申购和赎回申请的当天作为申购或赎回申请日（</w:t>
      </w:r>
      <w:r>
        <w:rPr>
          <w:rFonts w:hint="eastAsia"/>
          <w:sz w:val="21"/>
          <w:szCs w:val="21"/>
        </w:rPr>
        <w:t>T</w:t>
      </w:r>
      <w:r>
        <w:rPr>
          <w:rFonts w:hint="eastAsia"/>
          <w:sz w:val="21"/>
          <w:szCs w:val="21"/>
        </w:rPr>
        <w:t>日），在正常情况下，本基金登记机构在</w:t>
      </w:r>
      <w:r>
        <w:rPr>
          <w:rFonts w:hint="eastAsia"/>
          <w:sz w:val="21"/>
          <w:szCs w:val="21"/>
        </w:rPr>
        <w:t>T+1</w:t>
      </w:r>
      <w:r>
        <w:rPr>
          <w:rFonts w:hint="eastAsia"/>
          <w:sz w:val="21"/>
          <w:szCs w:val="21"/>
        </w:rPr>
        <w:t>日内对该交易的有效性进行确认。</w:t>
      </w:r>
      <w:r>
        <w:rPr>
          <w:rFonts w:hint="eastAsia"/>
          <w:sz w:val="21"/>
          <w:szCs w:val="21"/>
        </w:rPr>
        <w:t>T</w:t>
      </w:r>
      <w:r>
        <w:rPr>
          <w:rFonts w:hint="eastAsia"/>
          <w:sz w:val="21"/>
          <w:szCs w:val="21"/>
        </w:rPr>
        <w:t>日提交的有效申请，投资人应在</w:t>
      </w:r>
      <w:r>
        <w:rPr>
          <w:rFonts w:hint="eastAsia"/>
          <w:sz w:val="21"/>
          <w:szCs w:val="21"/>
        </w:rPr>
        <w:t>T+2</w:t>
      </w:r>
      <w:r>
        <w:rPr>
          <w:rFonts w:hint="eastAsia"/>
          <w:sz w:val="21"/>
          <w:szCs w:val="21"/>
        </w:rPr>
        <w:t>日后（包括该日）及时到销售网点柜台或以销售机构规定的其他方式查询申请的确认情况。若申购不成立或无效，则申购款项本金退还给投资人。</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基金销售机构对申购、赎回申请的</w:t>
      </w:r>
      <w:r>
        <w:rPr>
          <w:rFonts w:hint="eastAsia"/>
          <w:sz w:val="21"/>
          <w:szCs w:val="21"/>
        </w:rPr>
        <w:t>受理并不代表申请一定成功，而仅代表销售机构确实接收到申请。申购、赎回的确认以登记机构的确认结果为准。对于申请的确认情况，投资人应及时查询并妥善行使合法权利。因投资人怠于履行该项查询等各项义务，致使其相关权益受损的，基金管理人、基金托管人、销售机构不承担由此造成的损失或不利后果。如因申请未得到登记机构的确认而造成的损失，由投资人自行承担。</w:t>
      </w:r>
      <w:r>
        <w:rPr>
          <w:rFonts w:hint="eastAsia"/>
          <w:sz w:val="21"/>
          <w:szCs w:val="21"/>
        </w:rPr>
        <w:t xml:space="preserve"> </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4</w:t>
      </w:r>
      <w:r>
        <w:rPr>
          <w:rFonts w:hint="eastAsia"/>
          <w:sz w:val="21"/>
          <w:szCs w:val="21"/>
        </w:rPr>
        <w:t>、在法律法规允许的范围内，本基金登记机构可根据相关业务规则，对上述业务办理时间进行调整，本基金管理人将在调整实施前按照《信息披露办法》的有关规定在规定媒介上公告。</w:t>
      </w:r>
    </w:p>
    <w:p w:rsidR="00000000" w:rsidRDefault="00564E45">
      <w:pPr>
        <w:pStyle w:val="aa"/>
        <w:spacing w:before="0" w:beforeAutospacing="0" w:after="0" w:afterAutospacing="0" w:line="360" w:lineRule="auto"/>
        <w:ind w:firstLineChars="200" w:firstLine="420"/>
        <w:rPr>
          <w:rFonts w:hint="eastAsia"/>
          <w:sz w:val="21"/>
          <w:szCs w:val="21"/>
        </w:rPr>
      </w:pPr>
      <w:r>
        <w:rPr>
          <w:rFonts w:hint="eastAsia"/>
          <w:sz w:val="21"/>
          <w:szCs w:val="21"/>
        </w:rPr>
        <w:t>5</w:t>
      </w:r>
      <w:r>
        <w:rPr>
          <w:rFonts w:hint="eastAsia"/>
          <w:sz w:val="21"/>
          <w:szCs w:val="21"/>
        </w:rPr>
        <w:t>、</w:t>
      </w:r>
      <w:r>
        <w:rPr>
          <w:rFonts w:hint="eastAsia"/>
          <w:sz w:val="21"/>
          <w:szCs w:val="21"/>
        </w:rPr>
        <w:t>如有任何疑问，欢迎与我们联系：</w:t>
      </w:r>
      <w:r>
        <w:rPr>
          <w:rFonts w:hint="eastAsia"/>
          <w:sz w:val="21"/>
          <w:szCs w:val="21"/>
        </w:rPr>
        <w:br/>
      </w:r>
      <w:r>
        <w:rPr>
          <w:rFonts w:hint="eastAsia"/>
          <w:sz w:val="21"/>
          <w:szCs w:val="21"/>
        </w:rPr>
        <w:t xml:space="preserve">　　客户服务中心电话：</w:t>
      </w:r>
      <w:r>
        <w:rPr>
          <w:rFonts w:hint="eastAsia"/>
          <w:sz w:val="21"/>
          <w:szCs w:val="21"/>
        </w:rPr>
        <w:t>400-811-9999</w:t>
      </w:r>
      <w:r>
        <w:rPr>
          <w:rFonts w:hint="eastAsia"/>
          <w:sz w:val="21"/>
          <w:szCs w:val="21"/>
        </w:rPr>
        <w:br/>
      </w:r>
      <w:r>
        <w:rPr>
          <w:rFonts w:hint="eastAsia"/>
          <w:sz w:val="21"/>
          <w:szCs w:val="21"/>
        </w:rPr>
        <w:t xml:space="preserve">　　电子邮件地址：</w:t>
      </w:r>
      <w:r>
        <w:rPr>
          <w:rFonts w:hint="eastAsia"/>
          <w:sz w:val="21"/>
          <w:szCs w:val="21"/>
        </w:rPr>
        <w:t>customerservice@icbcubs.com.cn</w:t>
      </w:r>
      <w:r>
        <w:rPr>
          <w:rFonts w:hint="eastAsia"/>
          <w:sz w:val="21"/>
          <w:szCs w:val="21"/>
        </w:rPr>
        <w:br/>
      </w:r>
      <w:r>
        <w:rPr>
          <w:rFonts w:hint="eastAsia"/>
          <w:sz w:val="21"/>
          <w:szCs w:val="21"/>
        </w:rPr>
        <w:t xml:space="preserve">　　</w:t>
      </w:r>
      <w:r>
        <w:rPr>
          <w:rFonts w:hint="eastAsia"/>
          <w:sz w:val="21"/>
          <w:szCs w:val="21"/>
        </w:rPr>
        <w:t>6</w:t>
      </w:r>
      <w:r>
        <w:rPr>
          <w:rFonts w:hint="eastAsia"/>
          <w:sz w:val="21"/>
          <w:szCs w:val="21"/>
        </w:rPr>
        <w:t>、风险提示：本基金管理人承诺以诚实信用、勤勉尽责的原则管理和运用基金资产，但不保证基金一定盈利，也不保证最低收益。敬请投资者于投资前认真阅读本基金的《基金产品资料概要》、《基金合同》和《招募说明书》。</w:t>
      </w:r>
      <w:r>
        <w:rPr>
          <w:rFonts w:hint="eastAsia"/>
          <w:sz w:val="21"/>
          <w:szCs w:val="21"/>
        </w:rPr>
        <w:t xml:space="preserve"> </w:t>
      </w:r>
    </w:p>
    <w:p w:rsidR="00000000" w:rsidRDefault="00564E45">
      <w:pPr>
        <w:pStyle w:val="aa"/>
        <w:spacing w:before="0" w:beforeAutospacing="0" w:after="0" w:afterAutospacing="0" w:line="360" w:lineRule="auto"/>
        <w:ind w:firstLineChars="200" w:firstLine="422"/>
        <w:rPr>
          <w:rFonts w:hint="eastAsia"/>
          <w:sz w:val="21"/>
          <w:szCs w:val="21"/>
        </w:rPr>
      </w:pPr>
      <w:r>
        <w:rPr>
          <w:rFonts w:hint="eastAsia"/>
          <w:b/>
          <w:bCs/>
          <w:sz w:val="21"/>
          <w:szCs w:val="21"/>
        </w:rPr>
        <w:t xml:space="preserve">　</w:t>
      </w:r>
      <w:r>
        <w:rPr>
          <w:rFonts w:hint="eastAsia"/>
          <w:sz w:val="21"/>
          <w:szCs w:val="21"/>
        </w:rPr>
        <w:t xml:space="preserve"> </w:t>
      </w:r>
    </w:p>
    <w:p w:rsidR="00000000" w:rsidRDefault="00564E45">
      <w:pPr>
        <w:spacing w:line="360" w:lineRule="auto"/>
        <w:ind w:firstLineChars="600" w:firstLine="1446"/>
        <w:jc w:val="right"/>
        <w:rPr>
          <w:rFonts w:hint="eastAsia"/>
        </w:rPr>
      </w:pPr>
      <w:r>
        <w:rPr>
          <w:rFonts w:hint="eastAsia"/>
          <w:b/>
          <w:bCs/>
          <w:sz w:val="24"/>
          <w:szCs w:val="30"/>
        </w:rPr>
        <w:t xml:space="preserve">　</w:t>
      </w:r>
      <w:r>
        <w:rPr>
          <w:rFonts w:hint="eastAsia"/>
          <w:b/>
          <w:bCs/>
          <w:sz w:val="24"/>
          <w:szCs w:val="30"/>
        </w:rPr>
        <w:t xml:space="preserve"> </w:t>
      </w:r>
      <w:bookmarkEnd w:id="24"/>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64E45">
      <w:r>
        <w:separator/>
      </w:r>
    </w:p>
  </w:endnote>
  <w:endnote w:type="continuationSeparator" w:id="0">
    <w:p w:rsidR="00000000" w:rsidRDefault="00564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E4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E45">
    <w:pPr>
      <w:pStyle w:val="a6"/>
      <w:rPr>
        <w:rFonts w:hint="eastAsia"/>
      </w:rPr>
    </w:pPr>
  </w:p>
  <w:p w:rsidR="00000000" w:rsidRDefault="00564E4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564E45">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64E45">
      <w:r>
        <w:separator/>
      </w:r>
    </w:p>
  </w:footnote>
  <w:footnote w:type="continuationSeparator" w:id="0">
    <w:p w:rsidR="00000000" w:rsidRDefault="00564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E45">
    <w:pPr>
      <w:pStyle w:val="a7"/>
      <w:jc w:val="right"/>
    </w:pPr>
    <w:r>
      <w:rPr>
        <w:rFonts w:hint="eastAsia"/>
      </w:rPr>
      <w:t>工银瑞信稳健丰裕</w:t>
    </w:r>
    <w:r>
      <w:rPr>
        <w:rFonts w:hint="eastAsia"/>
      </w:rPr>
      <w:t>30</w:t>
    </w:r>
    <w:r>
      <w:rPr>
        <w:rFonts w:hint="eastAsia"/>
      </w:rPr>
      <w:t>天持有期债券型证券投资基金开放日常申购、赎回、转换及定期定额投资业务的公告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E45">
    <w:pPr>
      <w:pStyle w:val="a7"/>
      <w:jc w:val="right"/>
      <w:rPr>
        <w:rFonts w:hint="eastAsia"/>
      </w:rPr>
    </w:pPr>
    <w:r>
      <w:rPr>
        <w:rFonts w:hint="eastAsia"/>
      </w:rPr>
      <w:t>工银瑞信稳健丰裕</w:t>
    </w:r>
    <w:r>
      <w:rPr>
        <w:rFonts w:hint="eastAsia"/>
      </w:rPr>
      <w:t>30</w:t>
    </w:r>
    <w:r>
      <w:rPr>
        <w:rFonts w:hint="eastAsia"/>
      </w:rPr>
      <w:t>天持有期债券型证券投资基金开放日常申购、赎回、转换及定期定额投资业务的公告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EFB84C"/>
    <w:multiLevelType w:val="singleLevel"/>
    <w:tmpl w:val="ABEFB84C"/>
    <w:lvl w:ilvl="0">
      <w:start w:val="1"/>
      <w:numFmt w:val="decimal"/>
      <w:suff w:val="nothing"/>
      <w:lvlText w:val="%1、"/>
      <w:lvlJc w:val="left"/>
    </w:lvl>
  </w:abstractNum>
  <w:abstractNum w:abstractNumId="1">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attachedTemplate r:id="rId1"/>
  <w:trackRevisions/>
  <w:doNotTrackMove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661"/>
    <w:rsid w:val="004A3661"/>
    <w:rsid w:val="00564E45"/>
    <w:rsid w:val="00A8319A"/>
    <w:rsid w:val="0546421E"/>
    <w:rsid w:val="074B65B5"/>
    <w:rsid w:val="0FBB1CF6"/>
    <w:rsid w:val="12437483"/>
    <w:rsid w:val="150A4793"/>
    <w:rsid w:val="27FF6791"/>
    <w:rsid w:val="2AFF5914"/>
    <w:rsid w:val="2B890C62"/>
    <w:rsid w:val="2BF60F30"/>
    <w:rsid w:val="4A937164"/>
    <w:rsid w:val="4C282A7E"/>
    <w:rsid w:val="552024A4"/>
    <w:rsid w:val="66A34259"/>
    <w:rsid w:val="68360873"/>
    <w:rsid w:val="6DEE4FE9"/>
    <w:rsid w:val="6E5D3E31"/>
    <w:rsid w:val="785B71B2"/>
    <w:rsid w:val="EFDA62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Char10"/>
    <w:rPr>
      <w:sz w:val="32"/>
    </w:rPr>
  </w:style>
  <w:style w:type="character" w:customStyle="1" w:styleId="Char10">
    <w:name w:val="日期 Char1"/>
    <w:link w:val="a4"/>
    <w:locked/>
    <w:rPr>
      <w:rFonts w:ascii="宋体" w:eastAsia="宋体" w:hAnsi="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2"/>
    <w:link w:val="a6"/>
    <w:uiPriority w:val="99"/>
    <w:locked/>
    <w:rPr>
      <w:kern w:val="2"/>
      <w:sz w:val="18"/>
      <w:szCs w:val="18"/>
    </w:rPr>
  </w:style>
  <w:style w:type="paragraph" w:styleId="a7">
    <w:name w:val="header"/>
    <w:basedOn w:val="a"/>
    <w:link w:val="Char20"/>
    <w:uiPriority w:val="99"/>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12"/>
    <w:qFormat/>
    <w:pPr>
      <w:spacing w:before="240" w:after="60" w:line="312" w:lineRule="auto"/>
      <w:jc w:val="left"/>
    </w:pPr>
    <w:rPr>
      <w:bCs w:val="0"/>
      <w:kern w:val="24"/>
      <w:sz w:val="24"/>
    </w:rPr>
  </w:style>
  <w:style w:type="character" w:customStyle="1" w:styleId="Char12">
    <w:name w:val="副标题 Char1"/>
    <w:link w:val="a8"/>
    <w:locked/>
    <w:rPr>
      <w:rFonts w:ascii="Cambria" w:eastAsia="宋体" w:hAnsi="Cambria" w:cs="宋体" w:hint="default"/>
      <w:b/>
      <w:bCs w:val="0"/>
      <w:kern w:val="24"/>
      <w:sz w:val="24"/>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line="240" w:lineRule="auto"/>
      <w:jc w:val="center"/>
    </w:pPr>
    <w:rPr>
      <w:rFonts w:ascii="Cambria" w:hAnsi="Cambria"/>
      <w:kern w:val="0"/>
      <w:sz w:val="32"/>
      <w:szCs w:val="32"/>
    </w:rPr>
  </w:style>
  <w:style w:type="character" w:customStyle="1" w:styleId="Char14">
    <w:name w:val="标题 Char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character" w:customStyle="1" w:styleId="af0">
    <w:name w:val="文档结构图 字符"/>
    <w:link w:val="a3"/>
    <w:locked/>
    <w:rPr>
      <w:rFonts w:ascii="Microsoft YaHei UI" w:eastAsia="Microsoft YaHei UI" w:hAnsi="Microsoft YaHei UI" w:hint="eastAsia"/>
      <w:kern w:val="2"/>
      <w:sz w:val="18"/>
      <w:szCs w:val="18"/>
    </w:rPr>
  </w:style>
  <w:style w:type="character" w:customStyle="1" w:styleId="af1">
    <w:name w:val="日期 字符"/>
    <w:link w:val="a4"/>
    <w:locked/>
    <w:rPr>
      <w:kern w:val="2"/>
      <w:sz w:val="21"/>
    </w:rPr>
  </w:style>
  <w:style w:type="character" w:customStyle="1" w:styleId="af2">
    <w:name w:val="批注框文本 字符"/>
    <w:link w:val="a5"/>
    <w:uiPriority w:val="99"/>
    <w:semiHidden/>
    <w:locked/>
    <w:rPr>
      <w:kern w:val="2"/>
      <w:sz w:val="18"/>
      <w:szCs w:val="18"/>
    </w:rPr>
  </w:style>
  <w:style w:type="character" w:customStyle="1" w:styleId="af3">
    <w:name w:val="页脚 字符"/>
    <w:link w:val="a6"/>
    <w:uiPriority w:val="99"/>
    <w:locked/>
    <w:rPr>
      <w:kern w:val="2"/>
      <w:sz w:val="18"/>
      <w:szCs w:val="18"/>
    </w:rPr>
  </w:style>
  <w:style w:type="character" w:customStyle="1" w:styleId="af4">
    <w:name w:val="页眉 字符"/>
    <w:link w:val="a7"/>
    <w:uiPriority w:val="99"/>
    <w:locked/>
    <w:rPr>
      <w:kern w:val="2"/>
      <w:sz w:val="18"/>
      <w:szCs w:val="18"/>
    </w:rPr>
  </w:style>
  <w:style w:type="character" w:customStyle="1" w:styleId="af5">
    <w:name w:val="副标题 字符"/>
    <w:link w:val="a8"/>
    <w:locked/>
    <w:rPr>
      <w:rFonts w:ascii="Calibri" w:eastAsia="宋体" w:hAnsi="Calibri" w:cs="Times New Roman" w:hint="default"/>
      <w:b/>
      <w:bCs/>
      <w:kern w:val="24"/>
      <w:sz w:val="32"/>
      <w:szCs w:val="32"/>
    </w:rPr>
  </w:style>
  <w:style w:type="character" w:customStyle="1" w:styleId="af6">
    <w:name w:val="脚注文本 字符"/>
    <w:link w:val="a9"/>
    <w:locked/>
    <w:rPr>
      <w:kern w:val="2"/>
      <w:sz w:val="18"/>
      <w:szCs w:val="18"/>
    </w:rPr>
  </w:style>
  <w:style w:type="character" w:customStyle="1" w:styleId="af7">
    <w:name w:val="标题 字符"/>
    <w:link w:val="ab"/>
    <w:uiPriority w:val="10"/>
    <w:locked/>
    <w:rPr>
      <w:rFonts w:ascii="Cambria" w:eastAsia="宋体" w:hAnsi="Cambria" w:cs="Times New Roman" w:hint="default"/>
      <w:b/>
      <w:bCs/>
      <w:kern w:val="2"/>
      <w:sz w:val="32"/>
      <w:szCs w:val="32"/>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
    <w:name w:val="文档结构图 Char"/>
    <w:link w:val="a3"/>
    <w:locked/>
    <w:rPr>
      <w:rFonts w:ascii="宋体" w:eastAsia="宋体" w:hAnsi="宋体" w:hint="eastAsia"/>
      <w:kern w:val="2"/>
      <w:sz w:val="18"/>
      <w:szCs w:val="18"/>
    </w:rPr>
  </w:style>
  <w:style w:type="character" w:customStyle="1" w:styleId="Char0">
    <w:name w:val="日期 Char"/>
    <w:link w:val="a4"/>
    <w:locked/>
    <w:rPr>
      <w:kern w:val="2"/>
      <w:sz w:val="21"/>
    </w:rPr>
  </w:style>
  <w:style w:type="character" w:customStyle="1" w:styleId="Char3">
    <w:name w:val="批注框文本 Char"/>
    <w:link w:val="a5"/>
    <w:uiPriority w:val="99"/>
    <w:semiHidden/>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页眉 Char"/>
    <w:link w:val="a7"/>
    <w:uiPriority w:val="99"/>
    <w:locked/>
    <w:rPr>
      <w:kern w:val="2"/>
      <w:sz w:val="18"/>
      <w:szCs w:val="18"/>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脚注文本 Char"/>
    <w:link w:val="a9"/>
    <w:locked/>
    <w:rPr>
      <w:kern w:val="2"/>
      <w:sz w:val="18"/>
      <w:szCs w:val="18"/>
    </w:rPr>
  </w:style>
  <w:style w:type="character" w:customStyle="1" w:styleId="Char8">
    <w:name w:val="标题 Char"/>
    <w:link w:val="ab"/>
    <w:uiPriority w:val="10"/>
    <w:locked/>
    <w:rPr>
      <w:rFonts w:ascii="Cambria" w:hAnsi="Cambria" w:cs="Times New Roman" w:hint="default"/>
      <w:b/>
      <w:bCs/>
      <w:kern w:val="2"/>
      <w:sz w:val="32"/>
      <w:szCs w:val="32"/>
    </w:rPr>
  </w:style>
  <w:style w:type="paragraph" w:customStyle="1" w:styleId="msonormal0">
    <w:name w:val="msonormal"/>
    <w:basedOn w:val="a"/>
    <w:pPr>
      <w:widowControl/>
      <w:spacing w:before="100" w:beforeAutospacing="1" w:after="100" w:afterAutospacing="1"/>
      <w:jc w:val="left"/>
    </w:pPr>
    <w:rPr>
      <w:kern w:val="0"/>
      <w:sz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2">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5">
    <w:name w:val="页眉 Char1"/>
    <w:locked/>
    <w:rPr>
      <w:kern w:val="2"/>
      <w:sz w:val="18"/>
      <w:szCs w:val="18"/>
    </w:rPr>
  </w:style>
  <w:style w:type="character" w:customStyle="1" w:styleId="Char16">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5390</Characters>
  <Application>Microsoft Office Word</Application>
  <DocSecurity>4</DocSecurity>
  <Lines>44</Lines>
  <Paragraphs>12</Paragraphs>
  <ScaleCrop>false</ScaleCrop>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2025-11-12T16:02:00Z</dcterms:created>
  <dcterms:modified xsi:type="dcterms:W3CDTF">2025-11-12T16:02:00Z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C3E6945411054D8BB217A8E83EA4C3AC</vt:lpwstr>
  </property>
</Properties>
</file>