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A0" w:rsidRDefault="00C879A8">
      <w:pPr>
        <w:pStyle w:val="a5"/>
        <w:spacing w:before="0" w:after="0" w:line="360" w:lineRule="auto"/>
        <w:jc w:val="center"/>
        <w:rPr>
          <w:rFonts w:cs="Tahoma"/>
          <w:b/>
          <w:color w:val="000000" w:themeColor="text1"/>
          <w:sz w:val="21"/>
          <w:szCs w:val="21"/>
        </w:rPr>
      </w:pPr>
      <w:r>
        <w:rPr>
          <w:rFonts w:cs="Tahoma" w:hint="eastAsia"/>
          <w:b/>
          <w:color w:val="000000" w:themeColor="text1"/>
        </w:rPr>
        <w:t xml:space="preserve"> 广发基金管理有限公司</w:t>
      </w:r>
    </w:p>
    <w:p w:rsidR="00C31BA0" w:rsidRDefault="00C879A8">
      <w:pPr>
        <w:pStyle w:val="a5"/>
        <w:spacing w:before="0" w:after="0" w:line="360" w:lineRule="auto"/>
        <w:jc w:val="center"/>
        <w:rPr>
          <w:rFonts w:cs="Tahoma"/>
          <w:b/>
          <w:color w:val="000000" w:themeColor="text1"/>
          <w:sz w:val="21"/>
          <w:szCs w:val="21"/>
        </w:rPr>
      </w:pPr>
      <w:r>
        <w:rPr>
          <w:rFonts w:cs="Tahoma" w:hint="eastAsia"/>
          <w:b/>
          <w:color w:val="000000" w:themeColor="text1"/>
        </w:rPr>
        <w:t>关于广发对冲套利定期开放混合型发起式证券投资基金运用股指期货进行对冲的投资策略的执行情况公告</w:t>
      </w:r>
    </w:p>
    <w:p w:rsidR="00C31BA0" w:rsidRDefault="00C879A8">
      <w:pPr>
        <w:pStyle w:val="a5"/>
        <w:spacing w:before="0" w:after="0" w:line="360" w:lineRule="auto"/>
        <w:ind w:firstLine="480"/>
        <w:jc w:val="center"/>
        <w:rPr>
          <w:rFonts w:cs="Tahoma"/>
          <w:color w:val="000000" w:themeColor="text1"/>
          <w:sz w:val="21"/>
          <w:szCs w:val="21"/>
        </w:rPr>
      </w:pPr>
      <w:r>
        <w:rPr>
          <w:rFonts w:cs="Tahoma" w:hint="eastAsia"/>
          <w:color w:val="000000" w:themeColor="text1"/>
        </w:rPr>
        <w:t> </w:t>
      </w:r>
    </w:p>
    <w:p w:rsidR="00C31BA0" w:rsidRDefault="00C879A8" w:rsidP="00210B8C">
      <w:pPr>
        <w:pStyle w:val="a5"/>
        <w:spacing w:before="0" w:after="0" w:line="360" w:lineRule="auto"/>
        <w:ind w:firstLine="480"/>
        <w:jc w:val="both"/>
        <w:rPr>
          <w:rFonts w:cs="Tahoma"/>
          <w:sz w:val="21"/>
          <w:szCs w:val="21"/>
        </w:rPr>
      </w:pPr>
      <w:r>
        <w:rPr>
          <w:rFonts w:cs="Tahoma" w:hint="eastAsia"/>
        </w:rPr>
        <w:t>广发对冲套利定期开放混合型发起式证券投资基金（以下简称“本基金”）自</w:t>
      </w:r>
      <w:r w:rsidR="000F270B" w:rsidRPr="000F270B">
        <w:rPr>
          <w:rFonts w:hint="eastAsia"/>
        </w:rPr>
        <w:t>2025年8月15日</w:t>
      </w:r>
      <w:r>
        <w:rPr>
          <w:rFonts w:cs="Tahoma" w:hint="eastAsia"/>
        </w:rPr>
        <w:t>进入第</w:t>
      </w:r>
      <w:r>
        <w:rPr>
          <w:rFonts w:cs="Tahoma"/>
        </w:rPr>
        <w:t>4</w:t>
      </w:r>
      <w:r w:rsidR="000F270B">
        <w:rPr>
          <w:rFonts w:cs="Tahoma"/>
        </w:rPr>
        <w:t>3</w:t>
      </w:r>
      <w:r>
        <w:rPr>
          <w:rFonts w:cs="Tahoma" w:hint="eastAsia"/>
        </w:rPr>
        <w:t>个封闭期。截至202</w:t>
      </w:r>
      <w:r>
        <w:rPr>
          <w:rFonts w:cs="Tahoma"/>
        </w:rPr>
        <w:t>5</w:t>
      </w:r>
      <w:r>
        <w:rPr>
          <w:rFonts w:cs="Tahoma" w:hint="eastAsia"/>
        </w:rPr>
        <w:t>年</w:t>
      </w:r>
      <w:r w:rsidR="000F270B">
        <w:rPr>
          <w:rFonts w:cs="Tahoma"/>
        </w:rPr>
        <w:t>11</w:t>
      </w:r>
      <w:r>
        <w:rPr>
          <w:rFonts w:cs="Tahoma" w:hint="eastAsia"/>
        </w:rPr>
        <w:t>月</w:t>
      </w:r>
      <w:r w:rsidR="000F270B">
        <w:rPr>
          <w:rFonts w:cs="Tahoma"/>
        </w:rPr>
        <w:t>7</w:t>
      </w:r>
      <w:r>
        <w:rPr>
          <w:rFonts w:cs="Tahoma" w:hint="eastAsia"/>
        </w:rPr>
        <w:t>日，本基金持有股票资产</w:t>
      </w:r>
      <w:r w:rsidR="00EB4BD2">
        <w:rPr>
          <w:rFonts w:cs="Tahoma"/>
        </w:rPr>
        <w:t>32,919,398.57</w:t>
      </w:r>
      <w:r>
        <w:rPr>
          <w:rFonts w:cs="Tahoma" w:hint="eastAsia"/>
        </w:rPr>
        <w:t>元，占基金资产净值的比例为</w:t>
      </w:r>
      <w:r w:rsidR="00EB4BD2">
        <w:rPr>
          <w:rFonts w:cs="Tahoma"/>
        </w:rPr>
        <w:t>60.92</w:t>
      </w:r>
      <w:r w:rsidR="00A90F39">
        <w:rPr>
          <w:rFonts w:cs="Tahoma"/>
        </w:rPr>
        <w:t>%</w:t>
      </w:r>
      <w:r>
        <w:rPr>
          <w:rFonts w:cs="Tahoma" w:hint="eastAsia"/>
        </w:rPr>
        <w:t>；运用股指期货进行对冲的空头合约市值</w:t>
      </w:r>
      <w:r w:rsidR="00EB4BD2">
        <w:rPr>
          <w:rFonts w:cs="Tahoma"/>
        </w:rPr>
        <w:t>30,116,240.00</w:t>
      </w:r>
      <w:r>
        <w:rPr>
          <w:rFonts w:cs="Tahoma" w:hint="eastAsia"/>
        </w:rPr>
        <w:t>元，占基金资产净值的比例为</w:t>
      </w:r>
      <w:r w:rsidR="00EB4BD2">
        <w:rPr>
          <w:rFonts w:cs="Tahoma"/>
        </w:rPr>
        <w:t>55.73</w:t>
      </w:r>
      <w:r w:rsidR="00A90F39">
        <w:rPr>
          <w:rFonts w:cs="Tahoma"/>
        </w:rPr>
        <w:t>%</w:t>
      </w:r>
      <w:r>
        <w:rPr>
          <w:rFonts w:cs="Tahoma" w:hint="eastAsia"/>
        </w:rPr>
        <w:t>。</w:t>
      </w:r>
      <w:bookmarkStart w:id="0" w:name="_GoBack"/>
      <w:bookmarkEnd w:id="0"/>
    </w:p>
    <w:p w:rsidR="00C31BA0" w:rsidRDefault="00C879A8" w:rsidP="00210B8C">
      <w:pPr>
        <w:pStyle w:val="a5"/>
        <w:spacing w:before="0" w:after="0" w:line="360" w:lineRule="auto"/>
        <w:ind w:firstLine="480"/>
        <w:jc w:val="both"/>
        <w:rPr>
          <w:rFonts w:cs="Tahoma"/>
          <w:sz w:val="21"/>
          <w:szCs w:val="21"/>
        </w:rPr>
      </w:pPr>
      <w:r>
        <w:rPr>
          <w:rFonts w:cs="Tahoma" w:hint="eastAsia"/>
        </w:rPr>
        <w:t>本基金最新的股指期货交易情况（包括投资政策、持仓情况、损失情况等）、股指期货投资的特定风险，请投资者关注本基金的基金合同、更新的招募说明书及相关最新公告。</w:t>
      </w:r>
    </w:p>
    <w:p w:rsidR="00C31BA0" w:rsidRDefault="00C879A8">
      <w:pPr>
        <w:pStyle w:val="a5"/>
        <w:spacing w:before="0" w:after="0" w:line="360" w:lineRule="auto"/>
        <w:ind w:firstLine="480"/>
        <w:rPr>
          <w:rFonts w:cs="Tahoma"/>
          <w:color w:val="000000" w:themeColor="text1"/>
          <w:sz w:val="21"/>
          <w:szCs w:val="21"/>
        </w:rPr>
      </w:pPr>
      <w:r>
        <w:rPr>
          <w:rFonts w:cs="Tahoma" w:hint="eastAsia"/>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C31BA0" w:rsidRDefault="00C879A8">
      <w:pPr>
        <w:pStyle w:val="a5"/>
        <w:spacing w:before="0" w:after="0" w:line="360" w:lineRule="auto"/>
        <w:ind w:firstLine="480"/>
        <w:rPr>
          <w:rFonts w:cs="Tahoma"/>
          <w:color w:val="000000" w:themeColor="text1"/>
          <w:sz w:val="21"/>
          <w:szCs w:val="21"/>
        </w:rPr>
      </w:pPr>
      <w:r>
        <w:rPr>
          <w:rFonts w:cs="Tahoma" w:hint="eastAsia"/>
          <w:color w:val="000000" w:themeColor="text1"/>
        </w:rPr>
        <w:t>特此公告。</w:t>
      </w:r>
    </w:p>
    <w:p w:rsidR="00C31BA0" w:rsidRDefault="00C31BA0">
      <w:pPr>
        <w:pStyle w:val="a5"/>
        <w:spacing w:before="0" w:after="0" w:line="360" w:lineRule="auto"/>
        <w:ind w:firstLine="480"/>
        <w:jc w:val="right"/>
        <w:rPr>
          <w:rFonts w:cs="Tahoma"/>
          <w:color w:val="000000" w:themeColor="text1"/>
        </w:rPr>
      </w:pPr>
    </w:p>
    <w:p w:rsidR="00C31BA0" w:rsidRDefault="00C879A8">
      <w:pPr>
        <w:pStyle w:val="a5"/>
        <w:spacing w:before="0" w:after="0" w:line="360" w:lineRule="auto"/>
        <w:ind w:firstLine="480"/>
        <w:jc w:val="right"/>
        <w:rPr>
          <w:rFonts w:cs="Tahoma"/>
          <w:color w:val="000000" w:themeColor="text1"/>
          <w:sz w:val="21"/>
          <w:szCs w:val="21"/>
        </w:rPr>
      </w:pPr>
      <w:r>
        <w:rPr>
          <w:rFonts w:cs="Tahoma" w:hint="eastAsia"/>
          <w:color w:val="000000" w:themeColor="text1"/>
        </w:rPr>
        <w:t>广发基金管理有限公司</w:t>
      </w:r>
    </w:p>
    <w:p w:rsidR="00C31BA0" w:rsidRDefault="00C879A8">
      <w:pPr>
        <w:pStyle w:val="a5"/>
        <w:spacing w:before="0" w:after="0" w:line="360" w:lineRule="auto"/>
        <w:ind w:firstLine="480"/>
        <w:jc w:val="right"/>
        <w:rPr>
          <w:rFonts w:cs="Tahoma"/>
          <w:color w:val="000000" w:themeColor="text1"/>
          <w:sz w:val="21"/>
          <w:szCs w:val="21"/>
        </w:rPr>
      </w:pPr>
      <w:r>
        <w:rPr>
          <w:rFonts w:cs="Tahoma" w:hint="eastAsia"/>
          <w:color w:val="000000" w:themeColor="text1"/>
        </w:rPr>
        <w:t>202</w:t>
      </w:r>
      <w:r>
        <w:rPr>
          <w:rFonts w:cs="Tahoma"/>
          <w:color w:val="000000" w:themeColor="text1"/>
        </w:rPr>
        <w:t>5</w:t>
      </w:r>
      <w:r>
        <w:rPr>
          <w:rFonts w:cs="Tahoma" w:hint="eastAsia"/>
          <w:color w:val="000000" w:themeColor="text1"/>
        </w:rPr>
        <w:t>年</w:t>
      </w:r>
      <w:r w:rsidR="000F270B">
        <w:rPr>
          <w:rFonts w:cs="Tahoma"/>
          <w:color w:val="000000" w:themeColor="text1"/>
        </w:rPr>
        <w:t>11</w:t>
      </w:r>
      <w:r>
        <w:rPr>
          <w:rFonts w:cs="Tahoma" w:hint="eastAsia"/>
          <w:color w:val="000000" w:themeColor="text1"/>
        </w:rPr>
        <w:t>月</w:t>
      </w:r>
      <w:r w:rsidR="000F270B">
        <w:rPr>
          <w:rFonts w:cs="Tahoma"/>
          <w:color w:val="000000" w:themeColor="text1"/>
        </w:rPr>
        <w:t>12</w:t>
      </w:r>
      <w:r>
        <w:rPr>
          <w:rFonts w:cs="Tahoma" w:hint="eastAsia"/>
          <w:color w:val="000000" w:themeColor="text1"/>
        </w:rPr>
        <w:t>日</w:t>
      </w:r>
    </w:p>
    <w:p w:rsidR="00C31BA0" w:rsidRDefault="00C31BA0">
      <w:pPr>
        <w:spacing w:line="360" w:lineRule="auto"/>
        <w:rPr>
          <w:rFonts w:ascii="宋体" w:eastAsia="宋体" w:hAnsi="宋体"/>
          <w:color w:val="000000" w:themeColor="text1"/>
        </w:rPr>
      </w:pPr>
    </w:p>
    <w:sectPr w:rsidR="00C31BA0" w:rsidSect="002E13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20B" w:rsidRDefault="0002120B" w:rsidP="00A90F39">
      <w:r>
        <w:separator/>
      </w:r>
    </w:p>
  </w:endnote>
  <w:endnote w:type="continuationSeparator" w:id="0">
    <w:p w:rsidR="0002120B" w:rsidRDefault="0002120B" w:rsidP="00A90F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20B" w:rsidRDefault="0002120B" w:rsidP="00A90F39">
      <w:r>
        <w:separator/>
      </w:r>
    </w:p>
  </w:footnote>
  <w:footnote w:type="continuationSeparator" w:id="0">
    <w:p w:rsidR="0002120B" w:rsidRDefault="0002120B" w:rsidP="00A90F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1AE"/>
    <w:rsid w:val="000050DD"/>
    <w:rsid w:val="00012FEF"/>
    <w:rsid w:val="000206D8"/>
    <w:rsid w:val="0002120B"/>
    <w:rsid w:val="000453AE"/>
    <w:rsid w:val="00046747"/>
    <w:rsid w:val="00051E69"/>
    <w:rsid w:val="00087EBB"/>
    <w:rsid w:val="000A0BCA"/>
    <w:rsid w:val="000C0E79"/>
    <w:rsid w:val="000F25E1"/>
    <w:rsid w:val="000F270B"/>
    <w:rsid w:val="000F6E42"/>
    <w:rsid w:val="00101E58"/>
    <w:rsid w:val="00111C1D"/>
    <w:rsid w:val="001147A3"/>
    <w:rsid w:val="00127BB9"/>
    <w:rsid w:val="001332E9"/>
    <w:rsid w:val="0013373B"/>
    <w:rsid w:val="00137F48"/>
    <w:rsid w:val="00140E44"/>
    <w:rsid w:val="00145E4E"/>
    <w:rsid w:val="00156464"/>
    <w:rsid w:val="00157315"/>
    <w:rsid w:val="00174DDC"/>
    <w:rsid w:val="0017621B"/>
    <w:rsid w:val="0017687E"/>
    <w:rsid w:val="0019578D"/>
    <w:rsid w:val="00195A5F"/>
    <w:rsid w:val="001B2F6A"/>
    <w:rsid w:val="001B3D0E"/>
    <w:rsid w:val="001D0703"/>
    <w:rsid w:val="001D50E0"/>
    <w:rsid w:val="00210B8C"/>
    <w:rsid w:val="002641DB"/>
    <w:rsid w:val="00294FBC"/>
    <w:rsid w:val="002A4EA4"/>
    <w:rsid w:val="002B21B3"/>
    <w:rsid w:val="002C2B98"/>
    <w:rsid w:val="002C3073"/>
    <w:rsid w:val="002D186A"/>
    <w:rsid w:val="002E139B"/>
    <w:rsid w:val="002F0D51"/>
    <w:rsid w:val="003044EA"/>
    <w:rsid w:val="0033302E"/>
    <w:rsid w:val="00360587"/>
    <w:rsid w:val="0039705F"/>
    <w:rsid w:val="00397D75"/>
    <w:rsid w:val="003A4108"/>
    <w:rsid w:val="003C23CB"/>
    <w:rsid w:val="003E4C77"/>
    <w:rsid w:val="003F3B53"/>
    <w:rsid w:val="00412551"/>
    <w:rsid w:val="00426EB0"/>
    <w:rsid w:val="004378DD"/>
    <w:rsid w:val="004443B0"/>
    <w:rsid w:val="00457A3E"/>
    <w:rsid w:val="00482303"/>
    <w:rsid w:val="004B1139"/>
    <w:rsid w:val="004B1F01"/>
    <w:rsid w:val="004D0A71"/>
    <w:rsid w:val="004D2BAC"/>
    <w:rsid w:val="004E6F2E"/>
    <w:rsid w:val="005010D4"/>
    <w:rsid w:val="00505258"/>
    <w:rsid w:val="0051165E"/>
    <w:rsid w:val="005232EC"/>
    <w:rsid w:val="0055543D"/>
    <w:rsid w:val="00564A73"/>
    <w:rsid w:val="00574DFE"/>
    <w:rsid w:val="00585284"/>
    <w:rsid w:val="00592386"/>
    <w:rsid w:val="005C6527"/>
    <w:rsid w:val="005D0598"/>
    <w:rsid w:val="005D6474"/>
    <w:rsid w:val="005D7264"/>
    <w:rsid w:val="005E1634"/>
    <w:rsid w:val="005E511B"/>
    <w:rsid w:val="006001F5"/>
    <w:rsid w:val="006046C6"/>
    <w:rsid w:val="00605AA7"/>
    <w:rsid w:val="00624BA0"/>
    <w:rsid w:val="00651D49"/>
    <w:rsid w:val="00656A6F"/>
    <w:rsid w:val="006A7623"/>
    <w:rsid w:val="006C51AE"/>
    <w:rsid w:val="006E24D7"/>
    <w:rsid w:val="006E2B23"/>
    <w:rsid w:val="006F38E9"/>
    <w:rsid w:val="007124BE"/>
    <w:rsid w:val="00712CE1"/>
    <w:rsid w:val="007C5053"/>
    <w:rsid w:val="007E2B87"/>
    <w:rsid w:val="007E4A81"/>
    <w:rsid w:val="008102B4"/>
    <w:rsid w:val="00814CB4"/>
    <w:rsid w:val="00817D08"/>
    <w:rsid w:val="008722EC"/>
    <w:rsid w:val="00880A3D"/>
    <w:rsid w:val="008B05CF"/>
    <w:rsid w:val="008B3749"/>
    <w:rsid w:val="008C45B4"/>
    <w:rsid w:val="008C550C"/>
    <w:rsid w:val="00901068"/>
    <w:rsid w:val="00910B40"/>
    <w:rsid w:val="00920F07"/>
    <w:rsid w:val="00921B27"/>
    <w:rsid w:val="00924360"/>
    <w:rsid w:val="00925BF9"/>
    <w:rsid w:val="009265D3"/>
    <w:rsid w:val="0093669B"/>
    <w:rsid w:val="00984460"/>
    <w:rsid w:val="00997A1D"/>
    <w:rsid w:val="009B5AA4"/>
    <w:rsid w:val="009D3641"/>
    <w:rsid w:val="009E225A"/>
    <w:rsid w:val="009F4320"/>
    <w:rsid w:val="00A02338"/>
    <w:rsid w:val="00A20014"/>
    <w:rsid w:val="00A27F31"/>
    <w:rsid w:val="00A75EB7"/>
    <w:rsid w:val="00A90F39"/>
    <w:rsid w:val="00AA4BC1"/>
    <w:rsid w:val="00AC3DD2"/>
    <w:rsid w:val="00AE421F"/>
    <w:rsid w:val="00AE4916"/>
    <w:rsid w:val="00AF62D9"/>
    <w:rsid w:val="00B1487B"/>
    <w:rsid w:val="00B15830"/>
    <w:rsid w:val="00B33568"/>
    <w:rsid w:val="00B34AAE"/>
    <w:rsid w:val="00B4743F"/>
    <w:rsid w:val="00B55193"/>
    <w:rsid w:val="00B77C54"/>
    <w:rsid w:val="00B84A21"/>
    <w:rsid w:val="00B96B15"/>
    <w:rsid w:val="00BA592C"/>
    <w:rsid w:val="00BB7EF6"/>
    <w:rsid w:val="00BE5B2D"/>
    <w:rsid w:val="00BF3B55"/>
    <w:rsid w:val="00C11187"/>
    <w:rsid w:val="00C13B3E"/>
    <w:rsid w:val="00C21287"/>
    <w:rsid w:val="00C31BA0"/>
    <w:rsid w:val="00C42D5C"/>
    <w:rsid w:val="00C446BC"/>
    <w:rsid w:val="00C7626E"/>
    <w:rsid w:val="00C879A8"/>
    <w:rsid w:val="00C907E2"/>
    <w:rsid w:val="00C9210A"/>
    <w:rsid w:val="00C97D54"/>
    <w:rsid w:val="00CA17D1"/>
    <w:rsid w:val="00CE240A"/>
    <w:rsid w:val="00D30FFE"/>
    <w:rsid w:val="00D406B4"/>
    <w:rsid w:val="00D619A0"/>
    <w:rsid w:val="00D67386"/>
    <w:rsid w:val="00D7042F"/>
    <w:rsid w:val="00D955E5"/>
    <w:rsid w:val="00D95BAE"/>
    <w:rsid w:val="00DB35A6"/>
    <w:rsid w:val="00DB48C5"/>
    <w:rsid w:val="00DB5639"/>
    <w:rsid w:val="00DB6493"/>
    <w:rsid w:val="00DE5E75"/>
    <w:rsid w:val="00DF0879"/>
    <w:rsid w:val="00DF17E3"/>
    <w:rsid w:val="00E073B9"/>
    <w:rsid w:val="00E149A2"/>
    <w:rsid w:val="00E360D2"/>
    <w:rsid w:val="00E74DE2"/>
    <w:rsid w:val="00EA42A2"/>
    <w:rsid w:val="00EB4BD2"/>
    <w:rsid w:val="00ED2938"/>
    <w:rsid w:val="00ED31D3"/>
    <w:rsid w:val="00EE10F2"/>
    <w:rsid w:val="00EE2BDA"/>
    <w:rsid w:val="00F23BF2"/>
    <w:rsid w:val="00F32296"/>
    <w:rsid w:val="00F6675F"/>
    <w:rsid w:val="00F73EBB"/>
    <w:rsid w:val="00F82E4F"/>
    <w:rsid w:val="00F838AD"/>
    <w:rsid w:val="00FA7F73"/>
    <w:rsid w:val="00FB763F"/>
    <w:rsid w:val="00FC366D"/>
    <w:rsid w:val="00FD16AA"/>
    <w:rsid w:val="00FE59F1"/>
    <w:rsid w:val="00FF7C37"/>
    <w:rsid w:val="049B3E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3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E139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E139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2E139B"/>
    <w:pPr>
      <w:widowControl/>
      <w:spacing w:before="75" w:after="75"/>
      <w:jc w:val="left"/>
    </w:pPr>
    <w:rPr>
      <w:rFonts w:ascii="宋体" w:eastAsia="宋体" w:hAnsi="宋体" w:cs="宋体"/>
      <w:kern w:val="0"/>
      <w:sz w:val="24"/>
      <w:szCs w:val="24"/>
    </w:rPr>
  </w:style>
  <w:style w:type="character" w:customStyle="1" w:styleId="Char0">
    <w:name w:val="页眉 Char"/>
    <w:basedOn w:val="a0"/>
    <w:link w:val="a4"/>
    <w:uiPriority w:val="99"/>
    <w:qFormat/>
    <w:rsid w:val="002E139B"/>
    <w:rPr>
      <w:sz w:val="18"/>
      <w:szCs w:val="18"/>
    </w:rPr>
  </w:style>
  <w:style w:type="character" w:customStyle="1" w:styleId="Char">
    <w:name w:val="页脚 Char"/>
    <w:basedOn w:val="a0"/>
    <w:link w:val="a3"/>
    <w:uiPriority w:val="99"/>
    <w:rsid w:val="002E139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4</DocSecurity>
  <Lines>4</Lines>
  <Paragraphs>1</Paragraphs>
  <ScaleCrop>false</ScaleCrop>
  <Company>Microsoft</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2025-11-11T16:01:00Z</dcterms:created>
  <dcterms:modified xsi:type="dcterms:W3CDTF">2025-11-11T16:01:00Z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C5DFA689FCFB45D7BF6DC49C91083D19_12</vt:lpwstr>
  </property>
</Properties>
</file>