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7DF" w:rsidRPr="00874721" w:rsidRDefault="00010CC1" w:rsidP="00874721">
      <w:pPr>
        <w:spacing w:line="360" w:lineRule="auto"/>
        <w:jc w:val="center"/>
        <w:rPr>
          <w:rFonts w:ascii="Times New Roman" w:eastAsia="宋体" w:hAnsi="Times New Roman" w:cs="Times New Roman"/>
          <w:b/>
          <w:bCs/>
          <w:sz w:val="24"/>
          <w:szCs w:val="24"/>
        </w:rPr>
      </w:pPr>
      <w:bookmarkStart w:id="0" w:name="_GoBack"/>
      <w:bookmarkEnd w:id="0"/>
      <w:r>
        <w:rPr>
          <w:rFonts w:ascii="Times New Roman" w:eastAsia="宋体" w:hAnsi="Times New Roman" w:cs="Times New Roman" w:hint="eastAsia"/>
          <w:b/>
          <w:bCs/>
          <w:sz w:val="24"/>
          <w:szCs w:val="24"/>
        </w:rPr>
        <w:t>华夏基金管理有限公司关于</w:t>
      </w:r>
      <w:r w:rsidR="00057E94">
        <w:rPr>
          <w:rFonts w:ascii="Times New Roman" w:eastAsia="宋体" w:hAnsi="Times New Roman" w:cs="Times New Roman"/>
          <w:b/>
          <w:bCs/>
          <w:sz w:val="24"/>
          <w:szCs w:val="24"/>
        </w:rPr>
        <w:t>华夏中证浙江国资创新发展交易型开放式指数证券投资基金联接基金</w:t>
      </w:r>
      <w:r w:rsidR="00874721" w:rsidRPr="00010CC1">
        <w:rPr>
          <w:rFonts w:ascii="Times New Roman" w:eastAsia="宋体" w:hAnsi="Times New Roman" w:cs="Times New Roman"/>
          <w:b/>
          <w:bCs/>
          <w:sz w:val="24"/>
          <w:szCs w:val="24"/>
        </w:rPr>
        <w:t>基金份额持有人大会</w:t>
      </w:r>
      <w:r w:rsidR="00365364">
        <w:rPr>
          <w:rFonts w:ascii="Times New Roman" w:eastAsia="宋体" w:hAnsi="Times New Roman" w:cs="Times New Roman" w:hint="eastAsia"/>
          <w:b/>
          <w:bCs/>
          <w:sz w:val="24"/>
          <w:szCs w:val="24"/>
        </w:rPr>
        <w:t>会议</w:t>
      </w:r>
      <w:r w:rsidR="00D0594E">
        <w:rPr>
          <w:rFonts w:ascii="Times New Roman" w:eastAsia="宋体" w:hAnsi="Times New Roman" w:cs="Times New Roman" w:hint="eastAsia"/>
          <w:b/>
          <w:bCs/>
          <w:sz w:val="24"/>
          <w:szCs w:val="24"/>
        </w:rPr>
        <w:t>情况的</w:t>
      </w:r>
      <w:r w:rsidR="00874721" w:rsidRPr="00010CC1">
        <w:rPr>
          <w:rFonts w:ascii="Times New Roman" w:eastAsia="宋体" w:hAnsi="Times New Roman" w:cs="Times New Roman"/>
          <w:b/>
          <w:bCs/>
          <w:sz w:val="24"/>
          <w:szCs w:val="24"/>
        </w:rPr>
        <w:t>公告</w:t>
      </w:r>
    </w:p>
    <w:p w:rsidR="00874721" w:rsidRPr="00874721" w:rsidRDefault="00874721" w:rsidP="00874721">
      <w:pPr>
        <w:spacing w:line="360" w:lineRule="auto"/>
        <w:rPr>
          <w:rFonts w:ascii="Times New Roman" w:eastAsia="宋体" w:hAnsi="Times New Roman" w:cs="Times New Roman"/>
          <w:sz w:val="24"/>
          <w:szCs w:val="24"/>
        </w:rPr>
      </w:pPr>
    </w:p>
    <w:p w:rsidR="00D0594E" w:rsidRDefault="00D0594E" w:rsidP="00D0594E">
      <w:pPr>
        <w:spacing w:line="360" w:lineRule="auto"/>
        <w:ind w:firstLineChars="200" w:firstLine="480"/>
        <w:rPr>
          <w:rFonts w:ascii="Times New Roman" w:eastAsia="宋体" w:hAnsi="Times New Roman" w:cs="Times New Roman"/>
          <w:sz w:val="24"/>
          <w:szCs w:val="24"/>
        </w:rPr>
      </w:pPr>
      <w:r w:rsidRPr="009E4BA6">
        <w:rPr>
          <w:rFonts w:ascii="Times New Roman" w:eastAsia="宋体" w:hAnsi="Times New Roman" w:cs="Times New Roman"/>
          <w:color w:val="000000" w:themeColor="text1"/>
          <w:sz w:val="24"/>
          <w:szCs w:val="24"/>
        </w:rPr>
        <w:t>根据《中华人民共和国证券投资基金法》《公开募集证券投资基金运作管理办法》《公开募集证券投资基金信息披露管理办法》和《</w:t>
      </w:r>
      <w:r w:rsidR="00057E94">
        <w:rPr>
          <w:rFonts w:ascii="Times New Roman" w:eastAsia="宋体" w:hAnsi="Times New Roman" w:cs="Times New Roman" w:hint="eastAsia"/>
          <w:color w:val="000000" w:themeColor="text1"/>
          <w:sz w:val="24"/>
          <w:szCs w:val="24"/>
        </w:rPr>
        <w:t>华夏中证浙江国资创新发展交易型开放式指数证券投资基金联接基金</w:t>
      </w:r>
      <w:r w:rsidRPr="009E4BA6">
        <w:rPr>
          <w:rFonts w:ascii="Times New Roman" w:eastAsia="宋体" w:hAnsi="Times New Roman" w:cs="Times New Roman"/>
          <w:color w:val="000000" w:themeColor="text1"/>
          <w:sz w:val="24"/>
          <w:szCs w:val="24"/>
        </w:rPr>
        <w:t>基金合同》</w:t>
      </w:r>
      <w:r>
        <w:rPr>
          <w:rFonts w:ascii="Times New Roman" w:eastAsia="宋体" w:hAnsi="Times New Roman" w:cs="Times New Roman" w:hint="eastAsia"/>
          <w:color w:val="000000" w:themeColor="text1"/>
          <w:sz w:val="24"/>
          <w:szCs w:val="24"/>
        </w:rPr>
        <w:t>的规定，</w:t>
      </w:r>
      <w:r w:rsidRPr="00AB38DC">
        <w:rPr>
          <w:rFonts w:ascii="Times New Roman" w:eastAsia="宋体" w:hAnsi="Times New Roman" w:cs="Times New Roman" w:hint="eastAsia"/>
          <w:color w:val="000000" w:themeColor="text1"/>
          <w:sz w:val="24"/>
          <w:szCs w:val="24"/>
        </w:rPr>
        <w:t>华夏基金管理有限公司（以下简称“基金管理人”）于</w:t>
      </w:r>
      <w:r w:rsidR="00057E94">
        <w:rPr>
          <w:rFonts w:ascii="Times New Roman" w:eastAsia="宋体" w:hAnsi="Times New Roman" w:cs="Times New Roman"/>
          <w:color w:val="000000" w:themeColor="text1"/>
          <w:sz w:val="24"/>
          <w:szCs w:val="24"/>
        </w:rPr>
        <w:t>2025</w:t>
      </w:r>
      <w:r w:rsidR="00057E94">
        <w:rPr>
          <w:rFonts w:ascii="Times New Roman" w:eastAsia="宋体" w:hAnsi="Times New Roman" w:cs="Times New Roman"/>
          <w:color w:val="000000" w:themeColor="text1"/>
          <w:sz w:val="24"/>
          <w:szCs w:val="24"/>
        </w:rPr>
        <w:t>年</w:t>
      </w:r>
      <w:r w:rsidR="00057E94">
        <w:rPr>
          <w:rFonts w:ascii="Times New Roman" w:eastAsia="宋体" w:hAnsi="Times New Roman" w:cs="Times New Roman"/>
          <w:color w:val="000000" w:themeColor="text1"/>
          <w:sz w:val="24"/>
          <w:szCs w:val="24"/>
        </w:rPr>
        <w:t>9</w:t>
      </w:r>
      <w:r w:rsidR="00057E94">
        <w:rPr>
          <w:rFonts w:ascii="Times New Roman" w:eastAsia="宋体" w:hAnsi="Times New Roman" w:cs="Times New Roman"/>
          <w:color w:val="000000" w:themeColor="text1"/>
          <w:sz w:val="24"/>
          <w:szCs w:val="24"/>
        </w:rPr>
        <w:t>月</w:t>
      </w:r>
      <w:r w:rsidR="00057E94">
        <w:rPr>
          <w:rFonts w:ascii="Times New Roman" w:eastAsia="宋体" w:hAnsi="Times New Roman" w:cs="Times New Roman"/>
          <w:color w:val="000000" w:themeColor="text1"/>
          <w:sz w:val="24"/>
          <w:szCs w:val="24"/>
        </w:rPr>
        <w:t>3</w:t>
      </w:r>
      <w:r w:rsidR="000F6C40">
        <w:rPr>
          <w:rFonts w:ascii="Times New Roman" w:eastAsia="宋体" w:hAnsi="Times New Roman" w:cs="Times New Roman"/>
          <w:color w:val="000000" w:themeColor="text1"/>
          <w:sz w:val="24"/>
          <w:szCs w:val="24"/>
        </w:rPr>
        <w:t>日</w:t>
      </w:r>
      <w:r w:rsidRPr="00AB38DC">
        <w:rPr>
          <w:rFonts w:ascii="Times New Roman" w:eastAsia="宋体" w:hAnsi="Times New Roman" w:cs="Times New Roman"/>
          <w:color w:val="000000" w:themeColor="text1"/>
          <w:sz w:val="24"/>
          <w:szCs w:val="24"/>
        </w:rPr>
        <w:t>发布《</w:t>
      </w:r>
      <w:r w:rsidR="000F6C40" w:rsidRPr="000F6C40">
        <w:rPr>
          <w:rFonts w:ascii="Times New Roman" w:eastAsia="宋体" w:hAnsi="Times New Roman" w:cs="Times New Roman" w:hint="eastAsia"/>
          <w:color w:val="000000" w:themeColor="text1"/>
          <w:sz w:val="24"/>
          <w:szCs w:val="24"/>
        </w:rPr>
        <w:t>华夏基金管理有限公司关于以通讯方式召开</w:t>
      </w:r>
      <w:r w:rsidR="00057E94">
        <w:rPr>
          <w:rFonts w:ascii="Times New Roman" w:eastAsia="宋体" w:hAnsi="Times New Roman" w:cs="Times New Roman" w:hint="eastAsia"/>
          <w:color w:val="000000" w:themeColor="text1"/>
          <w:sz w:val="24"/>
          <w:szCs w:val="24"/>
        </w:rPr>
        <w:t>华夏中证浙江国资创新发展交易型开放式指数证券投资基金联接基金</w:t>
      </w:r>
      <w:r w:rsidR="000F6C40" w:rsidRPr="000F6C40">
        <w:rPr>
          <w:rFonts w:ascii="Times New Roman" w:eastAsia="宋体" w:hAnsi="Times New Roman" w:cs="Times New Roman" w:hint="eastAsia"/>
          <w:color w:val="000000" w:themeColor="text1"/>
          <w:sz w:val="24"/>
          <w:szCs w:val="24"/>
        </w:rPr>
        <w:t>基金份额持有人大会的公告</w:t>
      </w:r>
      <w:r w:rsidRPr="00AB38DC">
        <w:rPr>
          <w:rFonts w:ascii="Times New Roman" w:eastAsia="宋体" w:hAnsi="Times New Roman" w:cs="Times New Roman"/>
          <w:color w:val="000000" w:themeColor="text1"/>
          <w:sz w:val="24"/>
          <w:szCs w:val="24"/>
        </w:rPr>
        <w:t>》</w:t>
      </w:r>
      <w:r w:rsidR="00072FD0">
        <w:rPr>
          <w:rFonts w:ascii="Times New Roman" w:eastAsia="宋体" w:hAnsi="Times New Roman" w:cs="Times New Roman" w:hint="eastAsia"/>
          <w:color w:val="000000" w:themeColor="text1"/>
          <w:sz w:val="24"/>
          <w:szCs w:val="24"/>
        </w:rPr>
        <w:t>，</w:t>
      </w:r>
      <w:r w:rsidR="00072FD0" w:rsidRPr="00AB6717">
        <w:rPr>
          <w:rFonts w:ascii="Times New Roman" w:eastAsia="宋体" w:hAnsi="宋体" w:cs="Times New Roman" w:hint="eastAsia"/>
          <w:color w:val="000000" w:themeColor="text1"/>
          <w:sz w:val="24"/>
          <w:szCs w:val="24"/>
        </w:rPr>
        <w:t>审议《</w:t>
      </w:r>
      <w:r w:rsidR="000F6C40" w:rsidRPr="00514AE0">
        <w:rPr>
          <w:rFonts w:ascii="Times New Roman" w:eastAsia="宋体" w:hAnsi="宋体" w:cs="Times New Roman" w:hint="eastAsia"/>
          <w:sz w:val="24"/>
          <w:szCs w:val="24"/>
        </w:rPr>
        <w:t>关于</w:t>
      </w:r>
      <w:r w:rsidR="00057E94">
        <w:rPr>
          <w:rFonts w:ascii="Times New Roman" w:eastAsia="宋体" w:hAnsi="宋体" w:cs="Times New Roman" w:hint="eastAsia"/>
          <w:sz w:val="24"/>
          <w:szCs w:val="24"/>
        </w:rPr>
        <w:t>华夏中证浙江国资创新发展交易型开放式指数证券投资基金联接基金</w:t>
      </w:r>
      <w:r w:rsidR="000F6C40" w:rsidRPr="00514AE0">
        <w:rPr>
          <w:rFonts w:ascii="Times New Roman" w:eastAsia="宋体" w:hAnsi="宋体" w:cs="Times New Roman" w:hint="eastAsia"/>
          <w:sz w:val="24"/>
          <w:szCs w:val="24"/>
        </w:rPr>
        <w:t>持续运作的议案</w:t>
      </w:r>
      <w:r w:rsidR="00072FD0" w:rsidRPr="00AB6717">
        <w:rPr>
          <w:rFonts w:ascii="Times New Roman" w:eastAsia="宋体" w:hAnsi="宋体"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w:t>
      </w:r>
      <w:r w:rsidRPr="00D0594E">
        <w:rPr>
          <w:rFonts w:ascii="Times New Roman" w:eastAsia="宋体" w:hAnsi="Times New Roman" w:cs="Times New Roman" w:hint="eastAsia"/>
          <w:sz w:val="24"/>
          <w:szCs w:val="24"/>
        </w:rPr>
        <w:t>现将本次基金份额持有人</w:t>
      </w:r>
      <w:r>
        <w:rPr>
          <w:rFonts w:ascii="Times New Roman" w:eastAsia="宋体" w:hAnsi="Times New Roman" w:cs="Times New Roman" w:hint="eastAsia"/>
          <w:sz w:val="24"/>
          <w:szCs w:val="24"/>
        </w:rPr>
        <w:t>大会会议情况</w:t>
      </w:r>
      <w:r w:rsidRPr="00D0594E">
        <w:rPr>
          <w:rFonts w:ascii="Times New Roman" w:eastAsia="宋体" w:hAnsi="Times New Roman" w:cs="Times New Roman" w:hint="eastAsia"/>
          <w:sz w:val="24"/>
          <w:szCs w:val="24"/>
        </w:rPr>
        <w:t>公告如下：</w:t>
      </w:r>
    </w:p>
    <w:p w:rsidR="00D0594E" w:rsidRDefault="00D0594E" w:rsidP="0087472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w:t>
      </w:r>
      <w:r w:rsidRPr="00D0594E">
        <w:rPr>
          <w:rFonts w:ascii="Times New Roman" w:eastAsia="宋体" w:hAnsi="Times New Roman" w:cs="Times New Roman" w:hint="eastAsia"/>
          <w:sz w:val="24"/>
          <w:szCs w:val="24"/>
        </w:rPr>
        <w:t>基金份额持有人大会会议情况</w:t>
      </w:r>
    </w:p>
    <w:p w:rsidR="00D0594E" w:rsidRPr="00D0594E" w:rsidRDefault="00D0594E" w:rsidP="00D0594E">
      <w:pPr>
        <w:spacing w:line="360" w:lineRule="auto"/>
        <w:ind w:firstLineChars="200" w:firstLine="480"/>
        <w:rPr>
          <w:rFonts w:ascii="Times New Roman" w:eastAsia="宋体" w:hAnsi="宋体" w:cs="Times New Roman"/>
          <w:sz w:val="24"/>
          <w:szCs w:val="24"/>
        </w:rPr>
      </w:pPr>
      <w:r w:rsidRPr="00D0594E">
        <w:rPr>
          <w:rFonts w:ascii="Times New Roman" w:eastAsia="宋体" w:hAnsi="Times New Roman" w:cs="Times New Roman" w:hint="eastAsia"/>
          <w:sz w:val="24"/>
          <w:szCs w:val="21"/>
        </w:rPr>
        <w:t>基金管理人以通讯方式组织召开了</w:t>
      </w:r>
      <w:r w:rsidR="00057E94">
        <w:rPr>
          <w:rFonts w:ascii="Times New Roman" w:eastAsia="宋体" w:hAnsi="Times New Roman" w:cs="Times New Roman" w:hint="eastAsia"/>
          <w:color w:val="000000" w:themeColor="text1"/>
          <w:sz w:val="24"/>
          <w:szCs w:val="24"/>
        </w:rPr>
        <w:t>华夏中证浙江国资创新发展交易型开放式指数证券投资基金联接基金</w:t>
      </w:r>
      <w:r w:rsidRPr="00AB38DC">
        <w:rPr>
          <w:rFonts w:ascii="Times New Roman" w:eastAsia="宋体" w:hAnsi="Times New Roman" w:cs="Times New Roman"/>
          <w:color w:val="000000" w:themeColor="text1"/>
          <w:sz w:val="24"/>
          <w:szCs w:val="24"/>
        </w:rPr>
        <w:t>（以下简称</w:t>
      </w:r>
      <w:r w:rsidRPr="00F35F0F">
        <w:rPr>
          <w:rFonts w:ascii="宋体" w:eastAsia="宋体" w:hAnsi="宋体" w:cs="Times New Roman"/>
          <w:color w:val="000000" w:themeColor="text1"/>
          <w:sz w:val="24"/>
          <w:szCs w:val="24"/>
        </w:rPr>
        <w:t>“本基金”）</w:t>
      </w:r>
      <w:r>
        <w:rPr>
          <w:rFonts w:ascii="Times New Roman" w:eastAsia="宋体" w:hAnsi="Times New Roman" w:cs="Times New Roman" w:hint="eastAsia"/>
          <w:sz w:val="24"/>
          <w:szCs w:val="24"/>
        </w:rPr>
        <w:t>的</w:t>
      </w:r>
      <w:r w:rsidRPr="00D0594E">
        <w:rPr>
          <w:rFonts w:ascii="Times New Roman" w:eastAsia="宋体" w:hAnsi="宋体" w:cs="Times New Roman"/>
          <w:sz w:val="24"/>
          <w:szCs w:val="24"/>
        </w:rPr>
        <w:t>基金份额持有人大会</w:t>
      </w:r>
      <w:r w:rsidRPr="00D0594E">
        <w:rPr>
          <w:rFonts w:ascii="Times New Roman" w:eastAsia="宋体" w:hAnsi="Times New Roman" w:cs="Times New Roman" w:hint="eastAsia"/>
          <w:sz w:val="24"/>
          <w:szCs w:val="24"/>
        </w:rPr>
        <w:t>，审议</w:t>
      </w:r>
      <w:r w:rsidR="00B976F1" w:rsidRPr="00514AE0">
        <w:rPr>
          <w:rFonts w:ascii="Times New Roman" w:eastAsia="宋体" w:hAnsi="宋体" w:cs="Times New Roman"/>
          <w:sz w:val="24"/>
          <w:szCs w:val="24"/>
        </w:rPr>
        <w:t>《</w:t>
      </w:r>
      <w:r w:rsidR="00B976F1" w:rsidRPr="00514AE0">
        <w:rPr>
          <w:rFonts w:ascii="Times New Roman" w:eastAsia="宋体" w:hAnsi="宋体" w:cs="Times New Roman" w:hint="eastAsia"/>
          <w:sz w:val="24"/>
          <w:szCs w:val="24"/>
        </w:rPr>
        <w:t>关于</w:t>
      </w:r>
      <w:r w:rsidR="00057E94">
        <w:rPr>
          <w:rFonts w:ascii="Times New Roman" w:eastAsia="宋体" w:hAnsi="宋体" w:cs="Times New Roman" w:hint="eastAsia"/>
          <w:sz w:val="24"/>
          <w:szCs w:val="24"/>
        </w:rPr>
        <w:t>华夏中证浙江国资创新发展交易型开放式指数证券投资基金联接基金</w:t>
      </w:r>
      <w:r w:rsidR="00B976F1" w:rsidRPr="00514AE0">
        <w:rPr>
          <w:rFonts w:ascii="Times New Roman" w:eastAsia="宋体" w:hAnsi="宋体" w:cs="Times New Roman"/>
          <w:sz w:val="24"/>
          <w:szCs w:val="24"/>
        </w:rPr>
        <w:t>持续运作的议案》</w:t>
      </w:r>
      <w:r w:rsidRPr="00D0594E">
        <w:rPr>
          <w:rFonts w:ascii="Times New Roman" w:eastAsia="宋体" w:hAnsi="Times New Roman" w:cs="Times New Roman"/>
          <w:sz w:val="24"/>
          <w:szCs w:val="24"/>
        </w:rPr>
        <w:t>。</w:t>
      </w:r>
      <w:r w:rsidRPr="00D0594E">
        <w:rPr>
          <w:rFonts w:ascii="Times New Roman" w:eastAsia="宋体" w:hAnsi="Times New Roman" w:cs="Times New Roman" w:hint="eastAsia"/>
          <w:sz w:val="24"/>
          <w:szCs w:val="21"/>
        </w:rPr>
        <w:t>会议表决票收取时间为</w:t>
      </w:r>
      <w:r w:rsidR="00057E94" w:rsidRPr="00057E94">
        <w:rPr>
          <w:rFonts w:ascii="Times New Roman" w:eastAsia="宋体" w:hAnsi="Times New Roman" w:cs="Times New Roman"/>
          <w:sz w:val="24"/>
          <w:szCs w:val="24"/>
        </w:rPr>
        <w:t>2025</w:t>
      </w:r>
      <w:r w:rsidR="00057E94" w:rsidRPr="00057E94">
        <w:rPr>
          <w:rFonts w:ascii="Times New Roman" w:eastAsia="宋体" w:hAnsi="Times New Roman" w:cs="Times New Roman"/>
          <w:sz w:val="24"/>
          <w:szCs w:val="24"/>
        </w:rPr>
        <w:t>年</w:t>
      </w:r>
      <w:r w:rsidR="00057E94" w:rsidRPr="00057E94">
        <w:rPr>
          <w:rFonts w:ascii="Times New Roman" w:eastAsia="宋体" w:hAnsi="Times New Roman" w:cs="Times New Roman"/>
          <w:sz w:val="24"/>
          <w:szCs w:val="24"/>
        </w:rPr>
        <w:t>9</w:t>
      </w:r>
      <w:r w:rsidR="00057E94" w:rsidRPr="00057E94">
        <w:rPr>
          <w:rFonts w:ascii="Times New Roman" w:eastAsia="宋体" w:hAnsi="Times New Roman" w:cs="Times New Roman"/>
          <w:sz w:val="24"/>
          <w:szCs w:val="24"/>
        </w:rPr>
        <w:t>月</w:t>
      </w:r>
      <w:r w:rsidR="00057E94" w:rsidRPr="00057E94">
        <w:rPr>
          <w:rFonts w:ascii="Times New Roman" w:eastAsia="宋体" w:hAnsi="Times New Roman" w:cs="Times New Roman"/>
          <w:sz w:val="24"/>
          <w:szCs w:val="24"/>
        </w:rPr>
        <w:t>11</w:t>
      </w:r>
      <w:r w:rsidR="00057E94" w:rsidRPr="00057E94">
        <w:rPr>
          <w:rFonts w:ascii="Times New Roman" w:eastAsia="宋体" w:hAnsi="Times New Roman" w:cs="Times New Roman"/>
          <w:sz w:val="24"/>
          <w:szCs w:val="24"/>
        </w:rPr>
        <w:t>日至</w:t>
      </w:r>
      <w:r w:rsidR="00057E94" w:rsidRPr="00057E94">
        <w:rPr>
          <w:rFonts w:ascii="Times New Roman" w:eastAsia="宋体" w:hAnsi="Times New Roman" w:cs="Times New Roman"/>
          <w:sz w:val="24"/>
          <w:szCs w:val="24"/>
        </w:rPr>
        <w:t>2025</w:t>
      </w:r>
      <w:r w:rsidR="00057E94" w:rsidRPr="00057E94">
        <w:rPr>
          <w:rFonts w:ascii="Times New Roman" w:eastAsia="宋体" w:hAnsi="Times New Roman" w:cs="Times New Roman"/>
          <w:sz w:val="24"/>
          <w:szCs w:val="24"/>
        </w:rPr>
        <w:t>年</w:t>
      </w:r>
      <w:r w:rsidR="00057E94" w:rsidRPr="00057E94">
        <w:rPr>
          <w:rFonts w:ascii="Times New Roman" w:eastAsia="宋体" w:hAnsi="Times New Roman" w:cs="Times New Roman"/>
          <w:sz w:val="24"/>
          <w:szCs w:val="24"/>
        </w:rPr>
        <w:t>11</w:t>
      </w:r>
      <w:r w:rsidR="00057E94" w:rsidRPr="00057E94">
        <w:rPr>
          <w:rFonts w:ascii="Times New Roman" w:eastAsia="宋体" w:hAnsi="Times New Roman" w:cs="Times New Roman"/>
          <w:sz w:val="24"/>
          <w:szCs w:val="24"/>
        </w:rPr>
        <w:t>月</w:t>
      </w:r>
      <w:r w:rsidR="00057E94" w:rsidRPr="00057E94">
        <w:rPr>
          <w:rFonts w:ascii="Times New Roman" w:eastAsia="宋体" w:hAnsi="Times New Roman" w:cs="Times New Roman"/>
          <w:sz w:val="24"/>
          <w:szCs w:val="24"/>
        </w:rPr>
        <w:t>10</w:t>
      </w:r>
      <w:r w:rsidR="00057E94" w:rsidRPr="00057E94">
        <w:rPr>
          <w:rFonts w:ascii="Times New Roman" w:eastAsia="宋体" w:hAnsi="Times New Roman" w:cs="Times New Roman"/>
          <w:sz w:val="24"/>
          <w:szCs w:val="24"/>
        </w:rPr>
        <w:t>日</w:t>
      </w:r>
      <w:r w:rsidRPr="00D0594E">
        <w:rPr>
          <w:rFonts w:ascii="Times New Roman" w:eastAsia="宋体" w:hAnsi="Times New Roman" w:cs="Times New Roman"/>
          <w:sz w:val="24"/>
          <w:szCs w:val="24"/>
        </w:rPr>
        <w:t>17:00</w:t>
      </w:r>
      <w:r w:rsidRPr="00D0594E">
        <w:rPr>
          <w:rFonts w:ascii="Times New Roman" w:eastAsia="宋体" w:hAnsi="Times New Roman" w:cs="Times New Roman" w:hint="eastAsia"/>
          <w:sz w:val="24"/>
          <w:szCs w:val="21"/>
        </w:rPr>
        <w:t>止，计票时间为</w:t>
      </w:r>
      <w:r w:rsidR="00057E94" w:rsidRPr="00057E94">
        <w:rPr>
          <w:rFonts w:ascii="Times New Roman" w:eastAsia="宋体" w:hAnsi="Times New Roman" w:cs="Times New Roman"/>
          <w:sz w:val="24"/>
          <w:szCs w:val="24"/>
        </w:rPr>
        <w:t>2025</w:t>
      </w:r>
      <w:r w:rsidR="00057E94" w:rsidRPr="00057E94">
        <w:rPr>
          <w:rFonts w:ascii="Times New Roman" w:eastAsia="宋体" w:hAnsi="Times New Roman" w:cs="Times New Roman"/>
          <w:sz w:val="24"/>
          <w:szCs w:val="24"/>
        </w:rPr>
        <w:t>年</w:t>
      </w:r>
      <w:r w:rsidR="00057E94" w:rsidRPr="00057E94">
        <w:rPr>
          <w:rFonts w:ascii="Times New Roman" w:eastAsia="宋体" w:hAnsi="Times New Roman" w:cs="Times New Roman"/>
          <w:sz w:val="24"/>
          <w:szCs w:val="24"/>
        </w:rPr>
        <w:t>11</w:t>
      </w:r>
      <w:r w:rsidR="00057E94" w:rsidRPr="00057E94">
        <w:rPr>
          <w:rFonts w:ascii="Times New Roman" w:eastAsia="宋体" w:hAnsi="Times New Roman" w:cs="Times New Roman"/>
          <w:sz w:val="24"/>
          <w:szCs w:val="24"/>
        </w:rPr>
        <w:t>月</w:t>
      </w:r>
      <w:r w:rsidR="00057E94" w:rsidRPr="00057E94">
        <w:rPr>
          <w:rFonts w:ascii="Times New Roman" w:eastAsia="宋体" w:hAnsi="Times New Roman" w:cs="Times New Roman"/>
          <w:sz w:val="24"/>
          <w:szCs w:val="24"/>
        </w:rPr>
        <w:t>11</w:t>
      </w:r>
      <w:r w:rsidR="00057E94" w:rsidRPr="00057E94">
        <w:rPr>
          <w:rFonts w:ascii="Times New Roman" w:eastAsia="宋体" w:hAnsi="Times New Roman" w:cs="Times New Roman"/>
          <w:sz w:val="24"/>
          <w:szCs w:val="24"/>
        </w:rPr>
        <w:t>日</w:t>
      </w:r>
      <w:r>
        <w:rPr>
          <w:rFonts w:ascii="Times New Roman" w:eastAsia="宋体" w:hAnsi="Times New Roman" w:cs="Times New Roman" w:hint="eastAsia"/>
          <w:sz w:val="24"/>
          <w:szCs w:val="21"/>
        </w:rPr>
        <w:t>。</w:t>
      </w:r>
      <w:r w:rsidRPr="00D0594E">
        <w:rPr>
          <w:rFonts w:ascii="Times New Roman" w:eastAsia="宋体" w:hAnsi="Times New Roman" w:cs="Times New Roman" w:hint="eastAsia"/>
          <w:sz w:val="24"/>
          <w:szCs w:val="21"/>
        </w:rPr>
        <w:t>本次计</w:t>
      </w:r>
      <w:r w:rsidRPr="00D0594E">
        <w:rPr>
          <w:rFonts w:ascii="Times New Roman" w:eastAsia="宋体" w:hAnsi="Times New Roman" w:cs="Times New Roman" w:hint="eastAsia"/>
          <w:sz w:val="24"/>
          <w:szCs w:val="24"/>
        </w:rPr>
        <w:t>票由基金管理人授权的两名监督员在基金托管人</w:t>
      </w:r>
      <w:r w:rsidR="00057E94" w:rsidRPr="00057E94">
        <w:rPr>
          <w:rFonts w:ascii="Times New Roman" w:eastAsia="宋体" w:hAnsi="宋体" w:cs="Times New Roman" w:hint="eastAsia"/>
          <w:sz w:val="24"/>
          <w:szCs w:val="24"/>
        </w:rPr>
        <w:t>中国农业银行股份有限公司</w:t>
      </w:r>
      <w:r w:rsidRPr="00D0594E">
        <w:rPr>
          <w:rFonts w:ascii="Times New Roman" w:eastAsia="宋体" w:hAnsi="Times New Roman" w:cs="Times New Roman" w:hint="eastAsia"/>
          <w:sz w:val="24"/>
          <w:szCs w:val="24"/>
        </w:rPr>
        <w:t>授权代表的监督下进行，</w:t>
      </w:r>
      <w:r w:rsidRPr="00D0594E">
        <w:rPr>
          <w:rFonts w:ascii="Times New Roman" w:eastAsia="宋体" w:hAnsi="Times New Roman" w:cs="Times New Roman"/>
          <w:sz w:val="24"/>
          <w:szCs w:val="24"/>
        </w:rPr>
        <w:t>北京市中信公证处对计票</w:t>
      </w:r>
      <w:r w:rsidRPr="00D0594E">
        <w:rPr>
          <w:rFonts w:ascii="Times New Roman" w:eastAsia="宋体" w:hAnsi="宋体" w:cs="Times New Roman"/>
          <w:sz w:val="24"/>
          <w:szCs w:val="24"/>
        </w:rPr>
        <w:t>过程进行了公证，北京市天元律师事务所对计票过程进行了见证。</w:t>
      </w:r>
    </w:p>
    <w:p w:rsidR="00D0594E" w:rsidRPr="00A87C74" w:rsidRDefault="00D0594E" w:rsidP="00EF762F">
      <w:pPr>
        <w:spacing w:line="360" w:lineRule="auto"/>
        <w:ind w:firstLineChars="200" w:firstLine="480"/>
        <w:rPr>
          <w:rFonts w:ascii="Times New Roman" w:eastAsia="宋体" w:hAnsi="Times New Roman" w:cs="Times New Roman"/>
          <w:sz w:val="24"/>
          <w:szCs w:val="21"/>
        </w:rPr>
      </w:pPr>
      <w:bookmarkStart w:id="1" w:name="_Hlk181693761"/>
      <w:r w:rsidRPr="00EF762F">
        <w:rPr>
          <w:rFonts w:ascii="Times New Roman" w:eastAsia="宋体" w:hAnsi="Times New Roman" w:cs="Times New Roman"/>
          <w:sz w:val="24"/>
          <w:szCs w:val="21"/>
        </w:rPr>
        <w:t>根据计票结果，</w:t>
      </w:r>
      <w:r w:rsidRPr="00A87C74">
        <w:rPr>
          <w:rFonts w:ascii="Times New Roman" w:eastAsia="宋体" w:hAnsi="Times New Roman" w:cs="Times New Roman"/>
          <w:sz w:val="24"/>
          <w:szCs w:val="21"/>
        </w:rPr>
        <w:t>本</w:t>
      </w:r>
      <w:r w:rsidR="00EF762F" w:rsidRPr="00EF762F">
        <w:rPr>
          <w:rFonts w:ascii="Times New Roman" w:eastAsia="宋体" w:hAnsi="Times New Roman" w:cs="Times New Roman" w:hint="eastAsia"/>
          <w:sz w:val="24"/>
          <w:szCs w:val="21"/>
        </w:rPr>
        <w:t>次大会</w:t>
      </w:r>
      <w:r w:rsidRPr="00A87C74">
        <w:rPr>
          <w:rFonts w:ascii="Times New Roman" w:eastAsia="宋体" w:hAnsi="Times New Roman" w:cs="Times New Roman"/>
          <w:sz w:val="24"/>
          <w:szCs w:val="21"/>
        </w:rPr>
        <w:t>本人直接出具书面意见或授权他人代表出具书面意见的基金份额持有人所持有的基金份额</w:t>
      </w:r>
      <w:r w:rsidRPr="00A87C74">
        <w:rPr>
          <w:rFonts w:ascii="Times New Roman" w:eastAsia="宋体" w:hAnsi="Times New Roman" w:cs="Times New Roman" w:hint="eastAsia"/>
          <w:sz w:val="24"/>
          <w:szCs w:val="21"/>
        </w:rPr>
        <w:t>未达到</w:t>
      </w:r>
      <w:r w:rsidRPr="00A87C74">
        <w:rPr>
          <w:rFonts w:ascii="Times New Roman" w:eastAsia="宋体" w:hAnsi="Times New Roman" w:cs="Times New Roman"/>
          <w:sz w:val="24"/>
          <w:szCs w:val="21"/>
        </w:rPr>
        <w:t>权益登记日基金总份额的</w:t>
      </w:r>
      <w:r w:rsidR="00EF762F" w:rsidRPr="00A87C74">
        <w:rPr>
          <w:rFonts w:ascii="Times New Roman" w:eastAsia="宋体" w:hAnsi="Times New Roman" w:cs="Times New Roman" w:hint="eastAsia"/>
          <w:sz w:val="24"/>
          <w:szCs w:val="21"/>
        </w:rPr>
        <w:t>二分之一（含二分之一）</w:t>
      </w:r>
      <w:r w:rsidRPr="00EF762F">
        <w:rPr>
          <w:rFonts w:ascii="Times New Roman" w:eastAsia="宋体" w:hAnsi="Times New Roman" w:cs="Times New Roman" w:hint="eastAsia"/>
          <w:sz w:val="24"/>
          <w:szCs w:val="21"/>
        </w:rPr>
        <w:t>，</w:t>
      </w:r>
      <w:r w:rsidRPr="00A87C74">
        <w:rPr>
          <w:rFonts w:ascii="Times New Roman" w:eastAsia="宋体" w:hAnsi="Times New Roman" w:cs="Times New Roman" w:hint="eastAsia"/>
          <w:sz w:val="24"/>
          <w:szCs w:val="21"/>
        </w:rPr>
        <w:t>未</w:t>
      </w:r>
      <w:r w:rsidRPr="00A87C74">
        <w:rPr>
          <w:rFonts w:ascii="Times New Roman" w:eastAsia="宋体" w:hAnsi="Times New Roman" w:cs="Times New Roman"/>
          <w:sz w:val="24"/>
          <w:szCs w:val="21"/>
        </w:rPr>
        <w:t>达到</w:t>
      </w:r>
      <w:r w:rsidRPr="00A87C74">
        <w:rPr>
          <w:rFonts w:ascii="Times New Roman" w:eastAsia="宋体" w:hAnsi="Times New Roman" w:cs="Times New Roman" w:hint="eastAsia"/>
          <w:sz w:val="24"/>
          <w:szCs w:val="21"/>
        </w:rPr>
        <w:t>本次</w:t>
      </w:r>
      <w:r w:rsidRPr="00A87C74">
        <w:rPr>
          <w:rFonts w:ascii="Times New Roman" w:eastAsia="宋体" w:hAnsi="Times New Roman" w:cs="Times New Roman"/>
          <w:sz w:val="24"/>
          <w:szCs w:val="21"/>
        </w:rPr>
        <w:t>基金份额持有人大会召开条件</w:t>
      </w:r>
      <w:r w:rsidRPr="00EF762F">
        <w:rPr>
          <w:rFonts w:ascii="Times New Roman" w:eastAsia="宋体" w:hAnsi="Times New Roman" w:cs="Times New Roman"/>
          <w:sz w:val="24"/>
          <w:szCs w:val="21"/>
        </w:rPr>
        <w:t>。</w:t>
      </w:r>
      <w:bookmarkEnd w:id="1"/>
    </w:p>
    <w:p w:rsidR="00D0594E" w:rsidRDefault="00D0594E" w:rsidP="00D0594E">
      <w:pPr>
        <w:spacing w:line="360" w:lineRule="auto"/>
        <w:ind w:firstLineChars="200" w:firstLine="480"/>
        <w:rPr>
          <w:rFonts w:ascii="Times New Roman" w:eastAsia="宋体" w:hAnsi="Times New Roman" w:cs="Times New Roman"/>
          <w:sz w:val="24"/>
          <w:szCs w:val="21"/>
        </w:rPr>
      </w:pPr>
      <w:r w:rsidRPr="00D0594E">
        <w:rPr>
          <w:rFonts w:ascii="Times New Roman" w:eastAsia="宋体" w:hAnsi="Times New Roman" w:cs="Times New Roman" w:hint="eastAsia"/>
          <w:sz w:val="24"/>
          <w:szCs w:val="21"/>
        </w:rPr>
        <w:t>经本基金托管人确认，本次基金份额持有人大会的公证费</w:t>
      </w:r>
      <w:r w:rsidRPr="00D0594E">
        <w:rPr>
          <w:rFonts w:ascii="Times New Roman" w:eastAsia="宋体" w:hAnsi="Times New Roman" w:cs="Times New Roman" w:hint="eastAsia"/>
          <w:sz w:val="24"/>
          <w:szCs w:val="21"/>
        </w:rPr>
        <w:t>1</w:t>
      </w:r>
      <w:r w:rsidRPr="00D0594E">
        <w:rPr>
          <w:rFonts w:ascii="Times New Roman" w:eastAsia="宋体" w:hAnsi="Times New Roman" w:cs="Times New Roman" w:hint="eastAsia"/>
          <w:sz w:val="24"/>
          <w:szCs w:val="21"/>
        </w:rPr>
        <w:t>万元，律师费</w:t>
      </w:r>
      <w:r w:rsidRPr="00D0594E">
        <w:rPr>
          <w:rFonts w:ascii="Times New Roman" w:eastAsia="宋体" w:hAnsi="Times New Roman" w:cs="Times New Roman"/>
          <w:sz w:val="24"/>
          <w:szCs w:val="21"/>
        </w:rPr>
        <w:t>2</w:t>
      </w:r>
      <w:r w:rsidRPr="00D0594E">
        <w:rPr>
          <w:rFonts w:ascii="Times New Roman" w:eastAsia="宋体" w:hAnsi="Times New Roman" w:cs="Times New Roman" w:hint="eastAsia"/>
          <w:sz w:val="24"/>
          <w:szCs w:val="21"/>
        </w:rPr>
        <w:t>万元，由基金管理人承担。</w:t>
      </w:r>
    </w:p>
    <w:p w:rsidR="00D0594E" w:rsidRDefault="00D0594E" w:rsidP="00D0594E">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二、</w:t>
      </w:r>
      <w:r w:rsidRPr="00D0594E">
        <w:rPr>
          <w:rFonts w:ascii="Times New Roman" w:eastAsia="宋体" w:hAnsi="宋体" w:cs="Times New Roman"/>
          <w:sz w:val="24"/>
          <w:szCs w:val="24"/>
        </w:rPr>
        <w:t>二次召集基金份额持有人大会</w:t>
      </w:r>
    </w:p>
    <w:p w:rsidR="00D0594E" w:rsidRDefault="00D0594E" w:rsidP="00D0594E">
      <w:pPr>
        <w:spacing w:line="360" w:lineRule="auto"/>
        <w:ind w:firstLineChars="200" w:firstLine="480"/>
        <w:rPr>
          <w:rFonts w:ascii="Times New Roman" w:eastAsia="宋体" w:hAnsi="宋体" w:cs="Times New Roman"/>
          <w:sz w:val="24"/>
          <w:szCs w:val="24"/>
        </w:rPr>
      </w:pPr>
      <w:r w:rsidRPr="00D0594E">
        <w:rPr>
          <w:rFonts w:ascii="Times New Roman" w:eastAsia="宋体" w:hAnsi="宋体" w:cs="Times New Roman"/>
          <w:sz w:val="24"/>
          <w:szCs w:val="24"/>
        </w:rPr>
        <w:t>根据《中华人民共和国证券投资基金法》及《基金合同》的规定，</w:t>
      </w:r>
      <w:r w:rsidRPr="00D0594E">
        <w:rPr>
          <w:rFonts w:ascii="Times New Roman" w:eastAsia="宋体" w:hAnsi="宋体" w:cs="Times New Roman" w:hint="eastAsia"/>
          <w:sz w:val="24"/>
          <w:szCs w:val="24"/>
        </w:rPr>
        <w:t>本次基金份额持有人大会不能成功召开的，</w:t>
      </w:r>
      <w:r w:rsidRPr="00D0594E">
        <w:rPr>
          <w:rFonts w:ascii="Times New Roman" w:eastAsia="宋体" w:hAnsi="宋体" w:cs="Times New Roman"/>
          <w:sz w:val="24"/>
          <w:szCs w:val="24"/>
        </w:rPr>
        <w:t>基金管理人可以在规定时间内就同一议案重新召集基金份额持有人大会。</w:t>
      </w:r>
      <w:r w:rsidR="007606D9" w:rsidRPr="00AB6717">
        <w:rPr>
          <w:rFonts w:ascii="Times New Roman" w:eastAsia="宋体" w:hAnsi="宋体" w:cs="Times New Roman"/>
          <w:color w:val="000000" w:themeColor="text1"/>
          <w:sz w:val="24"/>
          <w:szCs w:val="24"/>
        </w:rPr>
        <w:t>重新召开基金份额持有人大会时，</w:t>
      </w:r>
      <w:r w:rsidR="007606D9" w:rsidRPr="00AB6717">
        <w:rPr>
          <w:rFonts w:ascii="Times New Roman" w:eastAsia="宋体" w:hAnsi="宋体" w:cs="Times New Roman" w:hint="eastAsia"/>
          <w:color w:val="000000" w:themeColor="text1"/>
          <w:sz w:val="24"/>
          <w:szCs w:val="24"/>
        </w:rPr>
        <w:t>对于投票而言，除</w:t>
      </w:r>
      <w:r w:rsidR="007606D9" w:rsidRPr="00AB6717">
        <w:rPr>
          <w:rFonts w:ascii="Times New Roman" w:eastAsia="宋体" w:hAnsi="宋体" w:cs="Times New Roman" w:hint="eastAsia"/>
          <w:color w:val="000000" w:themeColor="text1"/>
          <w:sz w:val="24"/>
          <w:szCs w:val="24"/>
        </w:rPr>
        <w:lastRenderedPageBreak/>
        <w:t>非投票人已不在基金份额持有人大会权益登记日名单中，基金份额持有人在本次基金份额持有人大会所投的有效表决票依然有效，但如果基金份额持有人重新进行投票的，则以最新的有效表决票为准；对于授权而言，</w:t>
      </w:r>
      <w:r w:rsidR="007606D9" w:rsidRPr="00AB6717">
        <w:rPr>
          <w:rFonts w:ascii="Times New Roman" w:eastAsia="宋体" w:hAnsi="宋体" w:cs="Times New Roman"/>
          <w:color w:val="000000" w:themeColor="text1"/>
          <w:sz w:val="24"/>
          <w:szCs w:val="24"/>
        </w:rPr>
        <w:t>除非授权文件另有载明，</w:t>
      </w:r>
      <w:r w:rsidR="007606D9" w:rsidRPr="00AB6717">
        <w:rPr>
          <w:rFonts w:ascii="Times New Roman" w:eastAsia="宋体" w:hAnsi="宋体" w:cs="Times New Roman" w:hint="eastAsia"/>
          <w:color w:val="000000" w:themeColor="text1"/>
          <w:sz w:val="24"/>
          <w:szCs w:val="24"/>
        </w:rPr>
        <w:t>或授权委托人已不在基金份额持有人大会权益登记日名单中，</w:t>
      </w:r>
      <w:r w:rsidR="007606D9" w:rsidRPr="00AB6717">
        <w:rPr>
          <w:rFonts w:ascii="Times New Roman" w:eastAsia="宋体" w:hAnsi="宋体" w:cs="Times New Roman"/>
          <w:color w:val="000000" w:themeColor="text1"/>
          <w:sz w:val="24"/>
          <w:szCs w:val="24"/>
        </w:rPr>
        <w:t>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D0594E" w:rsidRDefault="00D0594E" w:rsidP="00D0594E">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三、重要提示</w:t>
      </w:r>
    </w:p>
    <w:p w:rsidR="00D0594E" w:rsidRPr="00D0594E" w:rsidRDefault="00D0594E" w:rsidP="00D0594E">
      <w:pPr>
        <w:spacing w:line="360" w:lineRule="auto"/>
        <w:ind w:firstLineChars="200" w:firstLine="480"/>
        <w:rPr>
          <w:rFonts w:ascii="Times New Roman" w:eastAsia="宋体" w:hAnsi="Times New Roman" w:cs="Times New Roman"/>
          <w:color w:val="000000" w:themeColor="text1"/>
          <w:sz w:val="24"/>
          <w:szCs w:val="24"/>
        </w:rPr>
      </w:pPr>
      <w:r w:rsidRPr="00D0594E">
        <w:rPr>
          <w:rFonts w:ascii="Times New Roman" w:eastAsia="宋体" w:hAnsi="Times New Roman" w:cs="Times New Roman" w:hint="eastAsia"/>
          <w:sz w:val="24"/>
          <w:szCs w:val="24"/>
        </w:rPr>
        <w:t>基金管理人将</w:t>
      </w:r>
      <w:r w:rsidRPr="00D0594E">
        <w:rPr>
          <w:rFonts w:ascii="Times New Roman" w:eastAsia="宋体" w:hAnsi="Times New Roman" w:cs="Times New Roman"/>
          <w:sz w:val="24"/>
          <w:szCs w:val="24"/>
        </w:rPr>
        <w:t>就本次会议情况</w:t>
      </w:r>
      <w:r w:rsidRPr="00D0594E">
        <w:rPr>
          <w:rFonts w:ascii="Times New Roman" w:eastAsia="宋体" w:hAnsi="Times New Roman" w:cs="Times New Roman" w:hint="eastAsia"/>
          <w:sz w:val="24"/>
          <w:szCs w:val="24"/>
        </w:rPr>
        <w:t>向中国证监会履行备案手续。</w:t>
      </w:r>
    </w:p>
    <w:p w:rsidR="00D0594E" w:rsidRPr="00D0594E" w:rsidRDefault="00D0594E" w:rsidP="00D0594E">
      <w:pPr>
        <w:spacing w:line="360" w:lineRule="auto"/>
        <w:ind w:firstLineChars="200" w:firstLine="480"/>
        <w:outlineLvl w:val="0"/>
        <w:rPr>
          <w:rFonts w:ascii="Times New Roman" w:eastAsia="宋体" w:hAnsi="Times New Roman" w:cs="Times New Roman"/>
          <w:sz w:val="24"/>
          <w:szCs w:val="21"/>
        </w:rPr>
      </w:pPr>
      <w:r>
        <w:rPr>
          <w:rFonts w:ascii="Times New Roman" w:eastAsia="宋体" w:hAnsi="Times New Roman" w:cs="Times New Roman" w:hint="eastAsia"/>
          <w:sz w:val="24"/>
          <w:szCs w:val="21"/>
        </w:rPr>
        <w:t>四、</w:t>
      </w:r>
      <w:r w:rsidRPr="00D0594E">
        <w:rPr>
          <w:rFonts w:ascii="Times New Roman" w:eastAsia="宋体" w:hAnsi="Times New Roman" w:cs="Times New Roman" w:hint="eastAsia"/>
          <w:sz w:val="24"/>
          <w:szCs w:val="21"/>
        </w:rPr>
        <w:t>备查文件</w:t>
      </w:r>
    </w:p>
    <w:p w:rsidR="00D0594E" w:rsidRDefault="00D0594E" w:rsidP="00D0594E">
      <w:pPr>
        <w:spacing w:line="360" w:lineRule="auto"/>
        <w:ind w:firstLineChars="200" w:firstLine="480"/>
        <w:rPr>
          <w:rFonts w:ascii="Times New Roman" w:eastAsia="宋体" w:hAnsi="Times New Roman" w:cs="Times New Roman"/>
          <w:sz w:val="24"/>
          <w:szCs w:val="21"/>
        </w:rPr>
      </w:pPr>
      <w:r w:rsidRPr="00D0594E">
        <w:rPr>
          <w:rFonts w:ascii="Times New Roman" w:eastAsia="宋体" w:hAnsi="Times New Roman" w:cs="Times New Roman" w:hint="eastAsia"/>
          <w:sz w:val="24"/>
          <w:szCs w:val="21"/>
        </w:rPr>
        <w:t>（一）附件一：《</w:t>
      </w:r>
      <w:r w:rsidR="000F6C40" w:rsidRPr="00514AE0">
        <w:rPr>
          <w:rFonts w:ascii="Times New Roman" w:eastAsia="宋体" w:hAnsi="宋体" w:cs="Times New Roman" w:hint="eastAsia"/>
          <w:sz w:val="24"/>
          <w:szCs w:val="24"/>
        </w:rPr>
        <w:t>关于</w:t>
      </w:r>
      <w:r w:rsidR="00057E94">
        <w:rPr>
          <w:rFonts w:ascii="Times New Roman" w:eastAsia="宋体" w:hAnsi="宋体" w:cs="Times New Roman" w:hint="eastAsia"/>
          <w:sz w:val="24"/>
          <w:szCs w:val="24"/>
        </w:rPr>
        <w:t>华夏中证浙江国资创新发展交易型开放式指数证券投资基金联接基金</w:t>
      </w:r>
      <w:r w:rsidR="000F6C40" w:rsidRPr="00514AE0">
        <w:rPr>
          <w:rFonts w:ascii="Times New Roman" w:eastAsia="宋体" w:hAnsi="宋体" w:cs="Times New Roman" w:hint="eastAsia"/>
          <w:sz w:val="24"/>
          <w:szCs w:val="24"/>
        </w:rPr>
        <w:t>持续运作的议案</w:t>
      </w:r>
      <w:r w:rsidRPr="00D0594E">
        <w:rPr>
          <w:rFonts w:ascii="Times New Roman" w:eastAsia="宋体" w:hAnsi="Times New Roman" w:cs="Times New Roman" w:hint="eastAsia"/>
          <w:sz w:val="24"/>
          <w:szCs w:val="21"/>
        </w:rPr>
        <w:t>》</w:t>
      </w:r>
      <w:r>
        <w:rPr>
          <w:rFonts w:ascii="Times New Roman" w:eastAsia="宋体" w:hAnsi="Times New Roman" w:cs="Times New Roman" w:hint="eastAsia"/>
          <w:sz w:val="24"/>
          <w:szCs w:val="21"/>
        </w:rPr>
        <w:t>；</w:t>
      </w:r>
      <w:r w:rsidRPr="00D0594E">
        <w:rPr>
          <w:rFonts w:ascii="Times New Roman" w:eastAsia="宋体" w:hAnsi="Times New Roman" w:cs="Times New Roman" w:hint="eastAsia"/>
          <w:sz w:val="24"/>
          <w:szCs w:val="21"/>
        </w:rPr>
        <w:t>附件二：《</w:t>
      </w:r>
      <w:r w:rsidR="00057E94">
        <w:rPr>
          <w:rFonts w:ascii="Times New Roman" w:eastAsia="宋体" w:hAnsi="宋体" w:cs="Times New Roman" w:hint="eastAsia"/>
          <w:sz w:val="24"/>
          <w:szCs w:val="24"/>
        </w:rPr>
        <w:t>华夏中证浙江国资创新发展交易型开放式指数证券投资基金联接基金</w:t>
      </w:r>
      <w:r w:rsidR="000F6C40" w:rsidRPr="00514AE0">
        <w:rPr>
          <w:rFonts w:ascii="Times New Roman" w:eastAsia="宋体" w:hAnsi="宋体" w:cs="Times New Roman"/>
          <w:sz w:val="24"/>
          <w:szCs w:val="24"/>
        </w:rPr>
        <w:t>基金份额持有人大会通讯表决票</w:t>
      </w:r>
      <w:r w:rsidRPr="00D0594E">
        <w:rPr>
          <w:rFonts w:ascii="Times New Roman" w:eastAsia="宋体" w:hAnsi="Times New Roman" w:cs="Times New Roman" w:hint="eastAsia"/>
          <w:sz w:val="24"/>
          <w:szCs w:val="21"/>
        </w:rPr>
        <w:t>》</w:t>
      </w:r>
      <w:r>
        <w:rPr>
          <w:rFonts w:ascii="Times New Roman" w:eastAsia="宋体" w:hAnsi="Times New Roman" w:cs="Times New Roman" w:hint="eastAsia"/>
          <w:sz w:val="24"/>
          <w:szCs w:val="21"/>
        </w:rPr>
        <w:t>；</w:t>
      </w:r>
      <w:r w:rsidRPr="00D0594E">
        <w:rPr>
          <w:rFonts w:ascii="Times New Roman" w:eastAsia="宋体" w:hAnsi="Times New Roman" w:cs="Times New Roman" w:hint="eastAsia"/>
          <w:sz w:val="24"/>
          <w:szCs w:val="21"/>
        </w:rPr>
        <w:t>附件三：《</w:t>
      </w:r>
      <w:r w:rsidR="000F6C40" w:rsidRPr="00514AE0">
        <w:rPr>
          <w:rFonts w:ascii="Times New Roman" w:eastAsia="宋体" w:hAnsi="宋体" w:cs="Times New Roman"/>
          <w:sz w:val="24"/>
          <w:szCs w:val="24"/>
        </w:rPr>
        <w:t>授权委托书</w:t>
      </w:r>
      <w:r w:rsidRPr="00D0594E">
        <w:rPr>
          <w:rFonts w:ascii="Times New Roman" w:eastAsia="宋体" w:hAnsi="Times New Roman" w:cs="Times New Roman" w:hint="eastAsia"/>
          <w:sz w:val="24"/>
          <w:szCs w:val="21"/>
        </w:rPr>
        <w:t>》</w:t>
      </w:r>
    </w:p>
    <w:p w:rsidR="00D0594E" w:rsidRPr="00D0594E" w:rsidRDefault="00D0594E" w:rsidP="00D0594E">
      <w:pPr>
        <w:spacing w:line="360" w:lineRule="auto"/>
        <w:ind w:firstLineChars="200" w:firstLine="480"/>
        <w:rPr>
          <w:rFonts w:ascii="Times New Roman" w:eastAsia="宋体" w:hAnsi="Times New Roman" w:cs="Times New Roman"/>
          <w:sz w:val="24"/>
          <w:szCs w:val="21"/>
        </w:rPr>
      </w:pPr>
      <w:r w:rsidRPr="00D0594E">
        <w:rPr>
          <w:rFonts w:ascii="Times New Roman" w:eastAsia="宋体" w:hAnsi="Times New Roman" w:cs="Times New Roman" w:hint="eastAsia"/>
          <w:sz w:val="24"/>
          <w:szCs w:val="21"/>
        </w:rPr>
        <w:t>（二）北京市中信公证处出具的公证书</w:t>
      </w:r>
    </w:p>
    <w:p w:rsidR="00D0594E" w:rsidRPr="00D0594E" w:rsidRDefault="00D0594E" w:rsidP="00D0594E">
      <w:pPr>
        <w:spacing w:line="360" w:lineRule="auto"/>
        <w:ind w:firstLineChars="200" w:firstLine="480"/>
        <w:rPr>
          <w:rFonts w:ascii="Times New Roman" w:eastAsia="宋体" w:hAnsi="Times New Roman" w:cs="Times New Roman"/>
          <w:sz w:val="24"/>
          <w:szCs w:val="21"/>
        </w:rPr>
      </w:pPr>
      <w:r w:rsidRPr="00D0594E">
        <w:rPr>
          <w:rFonts w:ascii="Times New Roman" w:eastAsia="宋体" w:hAnsi="Times New Roman" w:cs="Times New Roman" w:hint="eastAsia"/>
          <w:sz w:val="24"/>
          <w:szCs w:val="21"/>
        </w:rPr>
        <w:t>（三）</w:t>
      </w:r>
      <w:r w:rsidRPr="00D0594E">
        <w:rPr>
          <w:rFonts w:ascii="Times New Roman" w:eastAsia="宋体" w:hAnsi="宋体" w:cs="Times New Roman"/>
          <w:sz w:val="24"/>
          <w:szCs w:val="24"/>
        </w:rPr>
        <w:t>北京市天元律师事务所</w:t>
      </w:r>
      <w:r w:rsidRPr="00D0594E">
        <w:rPr>
          <w:rFonts w:ascii="Times New Roman" w:eastAsia="宋体" w:hAnsi="Times New Roman" w:cs="Times New Roman"/>
          <w:sz w:val="24"/>
          <w:szCs w:val="21"/>
        </w:rPr>
        <w:t>出具的法律意见书</w:t>
      </w:r>
    </w:p>
    <w:p w:rsidR="00D0594E" w:rsidRPr="00D0594E" w:rsidRDefault="00D0594E" w:rsidP="00D0594E">
      <w:pPr>
        <w:spacing w:line="360" w:lineRule="auto"/>
        <w:ind w:firstLineChars="200" w:firstLine="480"/>
        <w:rPr>
          <w:rFonts w:ascii="Times New Roman" w:eastAsia="宋体" w:hAnsi="Times New Roman" w:cs="Times New Roman"/>
          <w:sz w:val="24"/>
          <w:szCs w:val="21"/>
        </w:rPr>
      </w:pPr>
      <w:r w:rsidRPr="00D0594E">
        <w:rPr>
          <w:rFonts w:ascii="Times New Roman" w:eastAsia="宋体" w:hAnsi="Times New Roman" w:cs="Times New Roman" w:hint="eastAsia"/>
          <w:sz w:val="24"/>
          <w:szCs w:val="21"/>
        </w:rPr>
        <w:t>特此公告</w:t>
      </w:r>
    </w:p>
    <w:p w:rsidR="00D0594E" w:rsidRPr="00D0594E" w:rsidRDefault="00D0594E" w:rsidP="00D0594E">
      <w:pPr>
        <w:spacing w:line="360" w:lineRule="auto"/>
        <w:jc w:val="right"/>
        <w:rPr>
          <w:rFonts w:ascii="Times New Roman" w:eastAsia="宋体" w:hAnsi="Times New Roman" w:cs="Times New Roman"/>
          <w:sz w:val="24"/>
          <w:szCs w:val="21"/>
        </w:rPr>
      </w:pPr>
    </w:p>
    <w:p w:rsidR="00D0594E" w:rsidRPr="00D0594E" w:rsidRDefault="00D0594E" w:rsidP="00D0594E">
      <w:pPr>
        <w:spacing w:line="360" w:lineRule="auto"/>
        <w:jc w:val="right"/>
        <w:rPr>
          <w:rFonts w:ascii="Times New Roman" w:eastAsia="宋体" w:hAnsi="Times New Roman" w:cs="Times New Roman"/>
          <w:sz w:val="24"/>
          <w:szCs w:val="21"/>
        </w:rPr>
      </w:pPr>
    </w:p>
    <w:p w:rsidR="00D0594E" w:rsidRPr="00D0594E" w:rsidRDefault="00D0594E" w:rsidP="00D0594E">
      <w:pPr>
        <w:spacing w:line="360" w:lineRule="auto"/>
        <w:jc w:val="right"/>
        <w:rPr>
          <w:rFonts w:ascii="Times New Roman" w:eastAsia="宋体" w:hAnsi="Times New Roman" w:cs="Times New Roman"/>
          <w:sz w:val="24"/>
          <w:szCs w:val="21"/>
        </w:rPr>
      </w:pPr>
      <w:r w:rsidRPr="00D0594E">
        <w:rPr>
          <w:rFonts w:ascii="Times New Roman" w:eastAsia="宋体" w:hAnsi="Times New Roman" w:cs="Times New Roman" w:hint="eastAsia"/>
          <w:sz w:val="24"/>
          <w:szCs w:val="21"/>
        </w:rPr>
        <w:t>华夏基金管理有限公司</w:t>
      </w:r>
    </w:p>
    <w:p w:rsidR="00874721" w:rsidRPr="00874721" w:rsidRDefault="00874721" w:rsidP="00874721">
      <w:pPr>
        <w:spacing w:line="360" w:lineRule="auto"/>
        <w:jc w:val="right"/>
        <w:rPr>
          <w:rFonts w:ascii="Times New Roman" w:eastAsia="宋体" w:hAnsi="Times New Roman" w:cs="Times New Roman"/>
          <w:sz w:val="24"/>
          <w:szCs w:val="24"/>
        </w:rPr>
      </w:pPr>
      <w:r w:rsidRPr="00874721">
        <w:rPr>
          <w:rFonts w:ascii="Times New Roman" w:eastAsia="宋体" w:hAnsi="Times New Roman" w:cs="Times New Roman"/>
          <w:sz w:val="24"/>
          <w:szCs w:val="24"/>
        </w:rPr>
        <w:t>二〇二</w:t>
      </w:r>
      <w:r w:rsidR="000F6C40">
        <w:rPr>
          <w:rFonts w:ascii="Times New Roman" w:eastAsia="宋体" w:hAnsi="Times New Roman" w:cs="Times New Roman" w:hint="eastAsia"/>
          <w:sz w:val="24"/>
          <w:szCs w:val="24"/>
        </w:rPr>
        <w:t>五</w:t>
      </w:r>
      <w:r w:rsidRPr="00874721">
        <w:rPr>
          <w:rFonts w:ascii="Times New Roman" w:eastAsia="宋体" w:hAnsi="Times New Roman" w:cs="Times New Roman"/>
          <w:sz w:val="24"/>
          <w:szCs w:val="24"/>
        </w:rPr>
        <w:t>年</w:t>
      </w:r>
      <w:r w:rsidR="00B976F1">
        <w:rPr>
          <w:rFonts w:ascii="Times New Roman" w:eastAsia="宋体" w:hAnsi="Times New Roman" w:cs="Times New Roman" w:hint="eastAsia"/>
          <w:sz w:val="24"/>
          <w:szCs w:val="24"/>
        </w:rPr>
        <w:t>十</w:t>
      </w:r>
      <w:r w:rsidR="00057E94">
        <w:rPr>
          <w:rFonts w:ascii="Times New Roman" w:eastAsia="宋体" w:hAnsi="Times New Roman" w:cs="Times New Roman" w:hint="eastAsia"/>
          <w:sz w:val="24"/>
          <w:szCs w:val="24"/>
        </w:rPr>
        <w:t>一</w:t>
      </w:r>
      <w:r w:rsidRPr="00874721">
        <w:rPr>
          <w:rFonts w:ascii="Times New Roman" w:eastAsia="宋体" w:hAnsi="Times New Roman" w:cs="Times New Roman"/>
          <w:sz w:val="24"/>
          <w:szCs w:val="24"/>
        </w:rPr>
        <w:t>月</w:t>
      </w:r>
      <w:r w:rsidR="00057E94">
        <w:rPr>
          <w:rFonts w:ascii="Times New Roman" w:eastAsia="宋体" w:hAnsi="Times New Roman" w:cs="Times New Roman" w:hint="eastAsia"/>
          <w:sz w:val="24"/>
          <w:szCs w:val="24"/>
        </w:rPr>
        <w:t>十二</w:t>
      </w:r>
      <w:r w:rsidRPr="00874721">
        <w:rPr>
          <w:rFonts w:ascii="Times New Roman" w:eastAsia="宋体" w:hAnsi="Times New Roman" w:cs="Times New Roman"/>
          <w:sz w:val="24"/>
          <w:szCs w:val="24"/>
        </w:rPr>
        <w:t>日</w:t>
      </w:r>
    </w:p>
    <w:sectPr w:rsidR="00874721" w:rsidRPr="00874721" w:rsidSect="002968D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882" w:rsidRDefault="007A2882" w:rsidP="00874721">
      <w:r>
        <w:separator/>
      </w:r>
    </w:p>
  </w:endnote>
  <w:endnote w:type="continuationSeparator" w:id="0">
    <w:p w:rsidR="007A2882" w:rsidRDefault="007A2882" w:rsidP="0087472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374799"/>
      <w:docPartObj>
        <w:docPartGallery w:val="Page Numbers (Bottom of Page)"/>
        <w:docPartUnique/>
      </w:docPartObj>
    </w:sdtPr>
    <w:sdtContent>
      <w:p w:rsidR="00BC0C53" w:rsidRDefault="002968D2">
        <w:pPr>
          <w:pStyle w:val="a4"/>
          <w:jc w:val="center"/>
        </w:pPr>
        <w:r>
          <w:fldChar w:fldCharType="begin"/>
        </w:r>
        <w:r w:rsidR="00BC0C53">
          <w:instrText>PAGE   \* MERGEFORMAT</w:instrText>
        </w:r>
        <w:r>
          <w:fldChar w:fldCharType="separate"/>
        </w:r>
        <w:r w:rsidR="00024116" w:rsidRPr="00024116">
          <w:rPr>
            <w:noProof/>
            <w:lang w:val="zh-CN"/>
          </w:rPr>
          <w:t>1</w:t>
        </w:r>
        <w:r>
          <w:fldChar w:fldCharType="end"/>
        </w:r>
      </w:p>
    </w:sdtContent>
  </w:sdt>
  <w:p w:rsidR="00DF76CB" w:rsidRDefault="00DF76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882" w:rsidRDefault="007A2882" w:rsidP="00874721">
      <w:r>
        <w:separator/>
      </w:r>
    </w:p>
  </w:footnote>
  <w:footnote w:type="continuationSeparator" w:id="0">
    <w:p w:rsidR="007A2882" w:rsidRDefault="007A2882" w:rsidP="008747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07DF"/>
    <w:rsid w:val="00007CFD"/>
    <w:rsid w:val="00010CC1"/>
    <w:rsid w:val="00024116"/>
    <w:rsid w:val="00057E94"/>
    <w:rsid w:val="0006473D"/>
    <w:rsid w:val="00066957"/>
    <w:rsid w:val="00072FD0"/>
    <w:rsid w:val="000D6B6A"/>
    <w:rsid w:val="000D7CF7"/>
    <w:rsid w:val="000F6C40"/>
    <w:rsid w:val="00131E60"/>
    <w:rsid w:val="001C70C0"/>
    <w:rsid w:val="002914E8"/>
    <w:rsid w:val="002968D2"/>
    <w:rsid w:val="00297E73"/>
    <w:rsid w:val="002D0B8B"/>
    <w:rsid w:val="00365364"/>
    <w:rsid w:val="003A6CE9"/>
    <w:rsid w:val="00411424"/>
    <w:rsid w:val="00495456"/>
    <w:rsid w:val="00496DE3"/>
    <w:rsid w:val="004A3182"/>
    <w:rsid w:val="004D07DF"/>
    <w:rsid w:val="004E6566"/>
    <w:rsid w:val="005440C1"/>
    <w:rsid w:val="006722C9"/>
    <w:rsid w:val="006A5000"/>
    <w:rsid w:val="007606D9"/>
    <w:rsid w:val="007A2882"/>
    <w:rsid w:val="007A606C"/>
    <w:rsid w:val="007F41BA"/>
    <w:rsid w:val="00843B60"/>
    <w:rsid w:val="00874721"/>
    <w:rsid w:val="00896622"/>
    <w:rsid w:val="008A34CE"/>
    <w:rsid w:val="00914564"/>
    <w:rsid w:val="009351A5"/>
    <w:rsid w:val="009C4425"/>
    <w:rsid w:val="009D3685"/>
    <w:rsid w:val="009E2047"/>
    <w:rsid w:val="00A24FB8"/>
    <w:rsid w:val="00A46ECB"/>
    <w:rsid w:val="00A87C74"/>
    <w:rsid w:val="00AF103C"/>
    <w:rsid w:val="00B45BC5"/>
    <w:rsid w:val="00B976F1"/>
    <w:rsid w:val="00BC0C53"/>
    <w:rsid w:val="00BC5695"/>
    <w:rsid w:val="00BD2290"/>
    <w:rsid w:val="00C82166"/>
    <w:rsid w:val="00CD5AF9"/>
    <w:rsid w:val="00CE48A5"/>
    <w:rsid w:val="00D0594E"/>
    <w:rsid w:val="00D7702A"/>
    <w:rsid w:val="00DF76CB"/>
    <w:rsid w:val="00E0186B"/>
    <w:rsid w:val="00E0527B"/>
    <w:rsid w:val="00ED7A22"/>
    <w:rsid w:val="00EF762F"/>
    <w:rsid w:val="00F35F0F"/>
    <w:rsid w:val="00F425D9"/>
    <w:rsid w:val="00F80CF4"/>
    <w:rsid w:val="00F944EF"/>
    <w:rsid w:val="00FA49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8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721"/>
    <w:pPr>
      <w:tabs>
        <w:tab w:val="center" w:pos="4153"/>
        <w:tab w:val="right" w:pos="8306"/>
      </w:tabs>
      <w:snapToGrid w:val="0"/>
      <w:jc w:val="center"/>
    </w:pPr>
    <w:rPr>
      <w:sz w:val="18"/>
      <w:szCs w:val="18"/>
    </w:rPr>
  </w:style>
  <w:style w:type="character" w:customStyle="1" w:styleId="Char">
    <w:name w:val="页眉 Char"/>
    <w:basedOn w:val="a0"/>
    <w:link w:val="a3"/>
    <w:uiPriority w:val="99"/>
    <w:rsid w:val="00874721"/>
    <w:rPr>
      <w:sz w:val="18"/>
      <w:szCs w:val="18"/>
    </w:rPr>
  </w:style>
  <w:style w:type="paragraph" w:styleId="a4">
    <w:name w:val="footer"/>
    <w:basedOn w:val="a"/>
    <w:link w:val="Char0"/>
    <w:uiPriority w:val="99"/>
    <w:unhideWhenUsed/>
    <w:rsid w:val="00874721"/>
    <w:pPr>
      <w:tabs>
        <w:tab w:val="center" w:pos="4153"/>
        <w:tab w:val="right" w:pos="8306"/>
      </w:tabs>
      <w:snapToGrid w:val="0"/>
      <w:jc w:val="left"/>
    </w:pPr>
    <w:rPr>
      <w:sz w:val="18"/>
      <w:szCs w:val="18"/>
    </w:rPr>
  </w:style>
  <w:style w:type="character" w:customStyle="1" w:styleId="Char0">
    <w:name w:val="页脚 Char"/>
    <w:basedOn w:val="a0"/>
    <w:link w:val="a4"/>
    <w:uiPriority w:val="99"/>
    <w:rsid w:val="00874721"/>
    <w:rPr>
      <w:sz w:val="18"/>
      <w:szCs w:val="18"/>
    </w:rPr>
  </w:style>
  <w:style w:type="paragraph" w:styleId="a5">
    <w:name w:val="List Paragraph"/>
    <w:basedOn w:val="a"/>
    <w:uiPriority w:val="34"/>
    <w:qFormat/>
    <w:rsid w:val="00874721"/>
    <w:pPr>
      <w:ind w:firstLineChars="200" w:firstLine="420"/>
    </w:pPr>
  </w:style>
  <w:style w:type="paragraph" w:styleId="a6">
    <w:name w:val="Balloon Text"/>
    <w:basedOn w:val="a"/>
    <w:link w:val="Char1"/>
    <w:uiPriority w:val="99"/>
    <w:semiHidden/>
    <w:unhideWhenUsed/>
    <w:rsid w:val="00A46ECB"/>
    <w:rPr>
      <w:sz w:val="18"/>
      <w:szCs w:val="18"/>
    </w:rPr>
  </w:style>
  <w:style w:type="character" w:customStyle="1" w:styleId="Char1">
    <w:name w:val="批注框文本 Char"/>
    <w:basedOn w:val="a0"/>
    <w:link w:val="a6"/>
    <w:uiPriority w:val="99"/>
    <w:semiHidden/>
    <w:rsid w:val="00A46ECB"/>
    <w:rPr>
      <w:sz w:val="18"/>
      <w:szCs w:val="18"/>
    </w:rPr>
  </w:style>
  <w:style w:type="paragraph" w:styleId="a7">
    <w:name w:val="Revision"/>
    <w:hidden/>
    <w:uiPriority w:val="99"/>
    <w:semiHidden/>
    <w:rsid w:val="007A606C"/>
  </w:style>
  <w:style w:type="character" w:styleId="a8">
    <w:name w:val="annotation reference"/>
    <w:basedOn w:val="a0"/>
    <w:uiPriority w:val="99"/>
    <w:semiHidden/>
    <w:unhideWhenUsed/>
    <w:rsid w:val="00297E73"/>
    <w:rPr>
      <w:sz w:val="21"/>
      <w:szCs w:val="21"/>
    </w:rPr>
  </w:style>
  <w:style w:type="paragraph" w:styleId="a9">
    <w:name w:val="annotation text"/>
    <w:basedOn w:val="a"/>
    <w:link w:val="Char2"/>
    <w:uiPriority w:val="99"/>
    <w:semiHidden/>
    <w:unhideWhenUsed/>
    <w:rsid w:val="00297E73"/>
    <w:pPr>
      <w:jc w:val="left"/>
    </w:pPr>
  </w:style>
  <w:style w:type="character" w:customStyle="1" w:styleId="Char2">
    <w:name w:val="批注文字 Char"/>
    <w:basedOn w:val="a0"/>
    <w:link w:val="a9"/>
    <w:uiPriority w:val="99"/>
    <w:semiHidden/>
    <w:rsid w:val="00297E73"/>
  </w:style>
  <w:style w:type="paragraph" w:styleId="aa">
    <w:name w:val="annotation subject"/>
    <w:basedOn w:val="a9"/>
    <w:next w:val="a9"/>
    <w:link w:val="Char3"/>
    <w:uiPriority w:val="99"/>
    <w:semiHidden/>
    <w:unhideWhenUsed/>
    <w:rsid w:val="00297E73"/>
    <w:rPr>
      <w:b/>
      <w:bCs/>
    </w:rPr>
  </w:style>
  <w:style w:type="character" w:customStyle="1" w:styleId="Char3">
    <w:name w:val="批注主题 Char"/>
    <w:basedOn w:val="Char2"/>
    <w:link w:val="aa"/>
    <w:uiPriority w:val="99"/>
    <w:semiHidden/>
    <w:rsid w:val="00297E73"/>
    <w:rPr>
      <w:b/>
      <w:bCs/>
    </w:rPr>
  </w:style>
</w:styles>
</file>

<file path=word/webSettings.xml><?xml version="1.0" encoding="utf-8"?>
<w:webSettings xmlns:r="http://schemas.openxmlformats.org/officeDocument/2006/relationships" xmlns:w="http://schemas.openxmlformats.org/wordprocessingml/2006/main">
  <w:divs>
    <w:div w:id="839155045">
      <w:bodyDiv w:val="1"/>
      <w:marLeft w:val="0"/>
      <w:marRight w:val="0"/>
      <w:marTop w:val="0"/>
      <w:marBottom w:val="0"/>
      <w:divBdr>
        <w:top w:val="none" w:sz="0" w:space="0" w:color="auto"/>
        <w:left w:val="none" w:sz="0" w:space="0" w:color="auto"/>
        <w:bottom w:val="none" w:sz="0" w:space="0" w:color="auto"/>
        <w:right w:val="none" w:sz="0" w:space="0" w:color="auto"/>
      </w:divBdr>
    </w:div>
    <w:div w:id="126866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1118</Characters>
  <Application>Microsoft Office Word</Application>
  <DocSecurity>4</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2025-11-11T16:02:00Z</dcterms:created>
  <dcterms:modified xsi:type="dcterms:W3CDTF">2025-11-11T16:02:00Z</dcterms:modified>
</cp:coreProperties>
</file>